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png" ContentType="image/png"/>
  <Override PartName="/word/media/image2.png" ContentType="image/png"/>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 SECURITIES AND EXCHANGE COMMISSION</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9064" w:type="dxa"/>
        <w:jc w:val="left"/>
        <w:tblInd w:w="0" w:type="dxa"/>
        <w:tblCellMar>
          <w:top w:w="28" w:type="dxa"/>
          <w:left w:w="28" w:type="dxa"/>
          <w:bottom w:w="28" w:type="dxa"/>
          <w:right w:w="28" w:type="dxa"/>
        </w:tblCellMar>
      </w:tblPr>
      <w:tblGrid>
        <w:gridCol w:w="138"/>
        <w:gridCol w:w="121"/>
        <w:gridCol w:w="121"/>
        <w:gridCol w:w="2538"/>
        <w:gridCol w:w="2538"/>
        <w:gridCol w:w="3608"/>
      </w:tblGrid>
      <w:tr>
        <w:trPr/>
        <w:tc>
          <w:tcPr>
            <w:tcW w:w="13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538" w:type="dxa"/>
            <w:tcBorders/>
            <w:shd w:fill="auto" w:val="clear"/>
            <w:vAlign w:val="center"/>
          </w:tcPr>
          <w:p>
            <w:pPr>
              <w:pStyle w:val="TableContents"/>
              <w:spacing w:before="0" w:after="283"/>
              <w:rPr>
                <w:sz w:val="4"/>
                <w:szCs w:val="4"/>
              </w:rPr>
            </w:pPr>
            <w:r>
              <w:rPr>
                <w:sz w:val="4"/>
                <w:szCs w:val="4"/>
              </w:rPr>
            </w:r>
          </w:p>
        </w:tc>
        <w:tc>
          <w:tcPr>
            <w:tcW w:w="2538" w:type="dxa"/>
            <w:tcBorders/>
            <w:shd w:fill="auto" w:val="clear"/>
            <w:vAlign w:val="center"/>
          </w:tcPr>
          <w:p>
            <w:pPr>
              <w:pStyle w:val="TableContents"/>
              <w:spacing w:before="0" w:after="283"/>
              <w:rPr>
                <w:sz w:val="4"/>
                <w:szCs w:val="4"/>
              </w:rPr>
            </w:pPr>
            <w:r>
              <w:rPr>
                <w:sz w:val="4"/>
                <w:szCs w:val="4"/>
              </w:rPr>
            </w:r>
          </w:p>
        </w:tc>
        <w:tc>
          <w:tcPr>
            <w:tcW w:w="3608" w:type="dxa"/>
            <w:tcBorders/>
            <w:shd w:fill="auto" w:val="clear"/>
            <w:vAlign w:val="center"/>
          </w:tcPr>
          <w:p>
            <w:pPr>
              <w:pStyle w:val="TableContents"/>
              <w:spacing w:before="0" w:after="283"/>
              <w:rPr>
                <w:sz w:val="4"/>
                <w:szCs w:val="4"/>
              </w:rPr>
            </w:pPr>
            <w:r>
              <w:rPr>
                <w:sz w:val="4"/>
                <w:szCs w:val="4"/>
              </w:rPr>
            </w:r>
          </w:p>
        </w:tc>
      </w:tr>
      <w:tr>
        <w:trPr/>
        <w:tc>
          <w:tcPr>
            <w:tcW w:w="9064" w:type="dxa"/>
            <w:gridSpan w:val="6"/>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12"/>
              </w:rPr>
            </w:pPr>
            <w:r>
              <w:rPr>
                <w:rFonts w:ascii="Times New Roman;sans-serif" w:hAnsi="Times New Roman;sans-serif"/>
                <w:b/>
                <w:color w:val="000000"/>
                <w:sz w:val="12"/>
              </w:rPr>
              <w:t>(Mark One)</w:t>
            </w:r>
          </w:p>
        </w:tc>
      </w:tr>
      <w:tr>
        <w:trPr/>
        <w:tc>
          <w:tcPr>
            <w:tcW w:w="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68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r>
        <w:trPr/>
        <w:tc>
          <w:tcPr>
            <w:tcW w:w="380" w:type="dxa"/>
            <w:gridSpan w:val="3"/>
            <w:tcBorders/>
            <w:shd w:fill="auto" w:val="clear"/>
            <w:vAlign w:val="center"/>
          </w:tcPr>
          <w:p>
            <w:pPr>
              <w:pStyle w:val="TableContents"/>
              <w:spacing w:before="0" w:after="283"/>
              <w:rPr>
                <w:sz w:val="4"/>
                <w:szCs w:val="4"/>
              </w:rPr>
            </w:pPr>
            <w:r>
              <w:rPr>
                <w:sz w:val="4"/>
                <w:szCs w:val="4"/>
              </w:rPr>
            </w:r>
          </w:p>
        </w:tc>
        <w:tc>
          <w:tcPr>
            <w:tcW w:w="868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rPr>
          <w:rFonts w:ascii="Times New Roman;sans-serif" w:hAnsi="Times New Roman;sans-serif"/>
          <w:b/>
          <w:color w:val="000000"/>
          <w:sz w:val="16"/>
        </w:rPr>
      </w:pPr>
      <w:r>
        <w:rPr>
          <w:rFonts w:ascii="Times New Roman;sans-serif" w:hAnsi="Times New Roman;sans-serif"/>
          <w:b/>
          <w:color w:val="000000"/>
          <w:sz w:val="16"/>
        </w:rPr>
        <w:t xml:space="preserve">For the quarterly period ended March 31, 2023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left"/>
        <w:tblInd w:w="0" w:type="dxa"/>
        <w:tblCellMar>
          <w:top w:w="28" w:type="dxa"/>
          <w:left w:w="28" w:type="dxa"/>
          <w:bottom w:w="28" w:type="dxa"/>
          <w:right w:w="28" w:type="dxa"/>
        </w:tblCellMar>
      </w:tblPr>
      <w:tblGrid>
        <w:gridCol w:w="124"/>
        <w:gridCol w:w="109"/>
        <w:gridCol w:w="109"/>
        <w:gridCol w:w="2536"/>
        <w:gridCol w:w="2536"/>
        <w:gridCol w:w="35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6" w:type="dxa"/>
            <w:tcBorders/>
            <w:shd w:fill="auto" w:val="clear"/>
            <w:vAlign w:val="center"/>
          </w:tcPr>
          <w:p>
            <w:pPr>
              <w:pStyle w:val="TableContents"/>
              <w:spacing w:before="0" w:after="283"/>
              <w:rPr>
                <w:sz w:val="4"/>
                <w:szCs w:val="4"/>
              </w:rPr>
            </w:pPr>
            <w:r>
              <w:rPr>
                <w:sz w:val="4"/>
                <w:szCs w:val="4"/>
              </w:rPr>
            </w:r>
          </w:p>
        </w:tc>
        <w:tc>
          <w:tcPr>
            <w:tcW w:w="2536" w:type="dxa"/>
            <w:tcBorders/>
            <w:shd w:fill="auto" w:val="clear"/>
            <w:vAlign w:val="center"/>
          </w:tcPr>
          <w:p>
            <w:pPr>
              <w:pStyle w:val="TableContents"/>
              <w:spacing w:before="0" w:after="283"/>
              <w:rPr>
                <w:sz w:val="4"/>
                <w:szCs w:val="4"/>
              </w:rPr>
            </w:pPr>
            <w:r>
              <w:rPr>
                <w:sz w:val="4"/>
                <w:szCs w:val="4"/>
              </w:rPr>
            </w:r>
          </w:p>
        </w:tc>
        <w:tc>
          <w:tcPr>
            <w:tcW w:w="35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6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TRANSITION PERIOD FROM __________________ TO __________________</w:t>
            </w:r>
          </w:p>
        </w:tc>
      </w:tr>
    </w:tbl>
    <w:p>
      <w:pPr>
        <w:pStyle w:val="TextBody"/>
        <w:spacing w:before="0" w:after="0"/>
        <w:rPr/>
      </w:pPr>
      <w:r>
        <w:rPr/>
      </w:r>
    </w:p>
    <w:p>
      <w:pPr>
        <w:pStyle w:val="TextBody"/>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1-31447 </w:t>
      </w:r>
    </w:p>
    <w:p>
      <w:pPr>
        <w:pStyle w:val="TextBody"/>
        <w:spacing w:lineRule="auto" w:line="345"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CenterPoint Energy, Inc. </w:t>
      </w:r>
    </w:p>
    <w:p>
      <w:pPr>
        <w:pStyle w:val="TextBody"/>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8281" w:type="dxa"/>
        <w:jc w:val="left"/>
        <w:tblInd w:w="0" w:type="dxa"/>
        <w:tblCellMar>
          <w:top w:w="28" w:type="dxa"/>
          <w:left w:w="28" w:type="dxa"/>
          <w:bottom w:w="28" w:type="dxa"/>
          <w:right w:w="28" w:type="dxa"/>
        </w:tblCellMar>
      </w:tblPr>
      <w:tblGrid>
        <w:gridCol w:w="1553"/>
        <w:gridCol w:w="1356"/>
        <w:gridCol w:w="1380"/>
        <w:gridCol w:w="255"/>
        <w:gridCol w:w="255"/>
        <w:gridCol w:w="256"/>
        <w:gridCol w:w="185"/>
        <w:gridCol w:w="185"/>
        <w:gridCol w:w="186"/>
        <w:gridCol w:w="778"/>
        <w:gridCol w:w="778"/>
        <w:gridCol w:w="1114"/>
      </w:tblGrid>
      <w:tr>
        <w:trPr/>
        <w:tc>
          <w:tcPr>
            <w:tcW w:w="1553"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Texas</w:t>
            </w:r>
          </w:p>
        </w:tc>
        <w:tc>
          <w:tcPr>
            <w:tcW w:w="132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74-0694415</w:t>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132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505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1111 Louisiana</w:t>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Houston</w:t>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Texas</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77002</w:t>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132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(713) 207-1111 </w:t>
      </w:r>
    </w:p>
    <w:p>
      <w:pPr>
        <w:pStyle w:val="TextBody"/>
        <w:spacing w:lineRule="auto" w:line="264"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spacing w:before="0" w:after="0"/>
        <w:rPr/>
      </w:pPr>
      <w:r>
        <w:rPr/>
      </w:r>
    </w:p>
    <w:p>
      <w:pPr>
        <w:pStyle w:val="TextBody"/>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1-3187 </w:t>
      </w:r>
    </w:p>
    <w:p>
      <w:pPr>
        <w:pStyle w:val="TextBody"/>
        <w:spacing w:lineRule="auto" w:line="345"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CenterPoint Energy Houston Electric, LLC </w:t>
      </w:r>
    </w:p>
    <w:p>
      <w:pPr>
        <w:pStyle w:val="TextBody"/>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8281" w:type="dxa"/>
        <w:jc w:val="left"/>
        <w:tblInd w:w="0" w:type="dxa"/>
        <w:tblCellMar>
          <w:top w:w="28" w:type="dxa"/>
          <w:left w:w="28" w:type="dxa"/>
          <w:bottom w:w="28" w:type="dxa"/>
          <w:right w:w="28" w:type="dxa"/>
        </w:tblCellMar>
      </w:tblPr>
      <w:tblGrid>
        <w:gridCol w:w="1553"/>
        <w:gridCol w:w="1356"/>
        <w:gridCol w:w="1380"/>
        <w:gridCol w:w="255"/>
        <w:gridCol w:w="255"/>
        <w:gridCol w:w="256"/>
        <w:gridCol w:w="185"/>
        <w:gridCol w:w="185"/>
        <w:gridCol w:w="186"/>
        <w:gridCol w:w="778"/>
        <w:gridCol w:w="778"/>
        <w:gridCol w:w="1114"/>
      </w:tblGrid>
      <w:tr>
        <w:trPr/>
        <w:tc>
          <w:tcPr>
            <w:tcW w:w="1553"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Texas</w:t>
            </w:r>
          </w:p>
        </w:tc>
        <w:tc>
          <w:tcPr>
            <w:tcW w:w="132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22-3865106</w:t>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132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505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1111 Louisiana</w:t>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Houston</w:t>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Texas</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77002</w:t>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132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(713) 207-1111 </w:t>
      </w:r>
    </w:p>
    <w:p>
      <w:pPr>
        <w:pStyle w:val="TextBody"/>
        <w:spacing w:lineRule="auto" w:line="264"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spacing w:before="0" w:after="0"/>
        <w:jc w:val="center"/>
        <w:rPr/>
      </w:pPr>
      <w:r>
        <w:rPr/>
      </w:r>
    </w:p>
    <w:p>
      <w:pPr>
        <w:pStyle w:val="TextBody"/>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1-13265 </w:t>
      </w:r>
    </w:p>
    <w:p>
      <w:pPr>
        <w:pStyle w:val="TextBody"/>
        <w:spacing w:lineRule="auto" w:line="345" w:before="0" w:after="0"/>
        <w:jc w:val="center"/>
        <w:rPr>
          <w:rFonts w:ascii="Times New Roman;sans-serif" w:hAnsi="Times New Roman;sans-serif"/>
          <w:b/>
          <w:color w:val="000000"/>
          <w:sz w:val="32"/>
        </w:rPr>
      </w:pPr>
      <w:r>
        <w:rPr>
          <w:rFonts w:ascii="Times New Roman;sans-serif" w:hAnsi="Times New Roman;sans-serif"/>
          <w:b/>
          <w:color w:val="000000"/>
          <w:sz w:val="32"/>
        </w:rPr>
        <w:t>CenterPoint Energy Resources Corp.</w:t>
      </w:r>
    </w:p>
    <w:p>
      <w:pPr>
        <w:pStyle w:val="TextBody"/>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8281" w:type="dxa"/>
        <w:jc w:val="left"/>
        <w:tblInd w:w="0" w:type="dxa"/>
        <w:tblCellMar>
          <w:top w:w="28" w:type="dxa"/>
          <w:left w:w="28" w:type="dxa"/>
          <w:bottom w:w="28" w:type="dxa"/>
          <w:right w:w="28" w:type="dxa"/>
        </w:tblCellMar>
      </w:tblPr>
      <w:tblGrid>
        <w:gridCol w:w="1549"/>
        <w:gridCol w:w="1364"/>
        <w:gridCol w:w="1376"/>
        <w:gridCol w:w="255"/>
        <w:gridCol w:w="255"/>
        <w:gridCol w:w="256"/>
        <w:gridCol w:w="185"/>
        <w:gridCol w:w="185"/>
        <w:gridCol w:w="186"/>
        <w:gridCol w:w="778"/>
        <w:gridCol w:w="778"/>
        <w:gridCol w:w="1114"/>
      </w:tblGrid>
      <w:tr>
        <w:trPr/>
        <w:tc>
          <w:tcPr>
            <w:tcW w:w="1549"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32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76-0511406</w:t>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132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505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1111 Louisiana</w:t>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Houston</w:t>
            </w:r>
          </w:p>
        </w:tc>
        <w:tc>
          <w:tcPr>
            <w:tcW w:w="556"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Texas</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77002</w:t>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132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(713) 207-1111 </w:t>
      </w:r>
    </w:p>
    <w:p>
      <w:pPr>
        <w:pStyle w:val="TextBody"/>
        <w:spacing w:lineRule="auto" w:line="264"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spacing w:before="0" w:after="0"/>
        <w:jc w:val="center"/>
        <w:rPr/>
      </w:pPr>
      <w:r>
        <w:rPr/>
      </w:r>
    </w:p>
    <w:tbl>
      <w:tblPr>
        <w:tblW w:w="9654" w:type="dxa"/>
        <w:jc w:val="left"/>
        <w:tblInd w:w="0" w:type="dxa"/>
        <w:tblCellMar>
          <w:top w:w="28" w:type="dxa"/>
          <w:left w:w="28" w:type="dxa"/>
          <w:bottom w:w="28" w:type="dxa"/>
          <w:right w:w="28" w:type="dxa"/>
        </w:tblCellMar>
      </w:tblPr>
      <w:tblGrid>
        <w:gridCol w:w="1120"/>
        <w:gridCol w:w="985"/>
        <w:gridCol w:w="985"/>
        <w:gridCol w:w="1015"/>
        <w:gridCol w:w="1015"/>
        <w:gridCol w:w="1015"/>
        <w:gridCol w:w="363"/>
        <w:gridCol w:w="363"/>
        <w:gridCol w:w="363"/>
        <w:gridCol w:w="712"/>
        <w:gridCol w:w="712"/>
        <w:gridCol w:w="1006"/>
      </w:tblGrid>
      <w:tr>
        <w:trPr/>
        <w:tc>
          <w:tcPr>
            <w:tcW w:w="1120"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r>
      <w:tr>
        <w:trPr/>
        <w:tc>
          <w:tcPr>
            <w:tcW w:w="965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u w:val="single"/>
              </w:rPr>
            </w:pPr>
            <w:r>
              <w:rPr>
                <w:rFonts w:ascii="Times New Roman;sans-serif" w:hAnsi="Times New Roman;sans-serif"/>
                <w:b/>
                <w:color w:val="000000"/>
                <w:sz w:val="12"/>
                <w:u w:val="single"/>
              </w:rPr>
              <w:t>Registrant</w:t>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u w:val="single"/>
              </w:rPr>
            </w:pPr>
            <w:r>
              <w:rPr>
                <w:rFonts w:ascii="Times New Roman;sans-serif" w:hAnsi="Times New Roman;sans-serif"/>
                <w:b/>
                <w:color w:val="000000"/>
                <w:sz w:val="12"/>
                <w:u w:val="single"/>
              </w:rPr>
              <w:t>Title of each class</w:t>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u w:val="single"/>
              </w:rPr>
            </w:pPr>
            <w:r>
              <w:rPr>
                <w:rFonts w:ascii="Times New Roman;sans-serif" w:hAnsi="Times New Roman;sans-serif"/>
                <w:b/>
                <w:color w:val="000000"/>
                <w:sz w:val="12"/>
                <w:u w:val="single"/>
              </w:rPr>
              <w:t>Trading Symbol(s)</w:t>
            </w:r>
          </w:p>
        </w:tc>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u w:val="single"/>
              </w:rPr>
            </w:pPr>
            <w:r>
              <w:rPr>
                <w:rFonts w:ascii="Times New Roman;sans-serif" w:hAnsi="Times New Roman;sans-serif"/>
                <w:b/>
                <w:color w:val="000000"/>
                <w:sz w:val="12"/>
                <w:u w:val="single"/>
              </w:rPr>
              <w:t>Name of each exchange on which registered</w:t>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CenterPoint Energy, Inc. </w:t>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w:t>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CNP</w:t>
            </w:r>
          </w:p>
        </w:tc>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New York Stock Exchange</w:t>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NYSE Chicago</w:t>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CenterPoint Energy Houston Electric, LLC</w:t>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6.95% General Mortgage Bonds due 2033</w:t>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New York Stock Exchange</w:t>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CenterPoint Energy Resources Corp.</w:t>
            </w:r>
          </w:p>
        </w:tc>
        <w:tc>
          <w:tcPr>
            <w:tcW w:w="3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6.625% Senior Notes due 2037</w:t>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New York Stock Exchange</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4803" w:type="dxa"/>
        <w:jc w:val="center"/>
        <w:tblInd w:w="0" w:type="dxa"/>
        <w:tblCellMar>
          <w:top w:w="28" w:type="dxa"/>
          <w:left w:w="28" w:type="dxa"/>
          <w:bottom w:w="28" w:type="dxa"/>
          <w:right w:w="28" w:type="dxa"/>
        </w:tblCellMar>
      </w:tblPr>
      <w:tblGrid>
        <w:gridCol w:w="1119"/>
        <w:gridCol w:w="982"/>
        <w:gridCol w:w="988"/>
        <w:gridCol w:w="120"/>
        <w:gridCol w:w="120"/>
        <w:gridCol w:w="121"/>
        <w:gridCol w:w="109"/>
        <w:gridCol w:w="109"/>
        <w:gridCol w:w="109"/>
        <w:gridCol w:w="109"/>
        <w:gridCol w:w="109"/>
        <w:gridCol w:w="109"/>
        <w:gridCol w:w="109"/>
        <w:gridCol w:w="109"/>
        <w:gridCol w:w="109"/>
        <w:gridCol w:w="109"/>
        <w:gridCol w:w="109"/>
        <w:gridCol w:w="154"/>
      </w:tblGrid>
      <w:tr>
        <w:trPr/>
        <w:tc>
          <w:tcPr>
            <w:tcW w:w="1119"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Inc.</w:t>
            </w:r>
          </w:p>
        </w:tc>
        <w:tc>
          <w:tcPr>
            <w:tcW w:w="3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Houston Electric, LLC</w:t>
            </w:r>
          </w:p>
        </w:tc>
        <w:tc>
          <w:tcPr>
            <w:tcW w:w="3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Resources Corp.</w:t>
            </w:r>
          </w:p>
        </w:tc>
        <w:tc>
          <w:tcPr>
            <w:tcW w:w="3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4803" w:type="dxa"/>
        <w:jc w:val="left"/>
        <w:tblInd w:w="0" w:type="dxa"/>
        <w:tblCellMar>
          <w:top w:w="28" w:type="dxa"/>
          <w:left w:w="28" w:type="dxa"/>
          <w:bottom w:w="28" w:type="dxa"/>
          <w:right w:w="28" w:type="dxa"/>
        </w:tblCellMar>
      </w:tblPr>
      <w:tblGrid>
        <w:gridCol w:w="1119"/>
        <w:gridCol w:w="982"/>
        <w:gridCol w:w="988"/>
        <w:gridCol w:w="120"/>
        <w:gridCol w:w="120"/>
        <w:gridCol w:w="121"/>
        <w:gridCol w:w="109"/>
        <w:gridCol w:w="109"/>
        <w:gridCol w:w="109"/>
        <w:gridCol w:w="109"/>
        <w:gridCol w:w="109"/>
        <w:gridCol w:w="109"/>
        <w:gridCol w:w="109"/>
        <w:gridCol w:w="109"/>
        <w:gridCol w:w="109"/>
        <w:gridCol w:w="109"/>
        <w:gridCol w:w="109"/>
        <w:gridCol w:w="154"/>
      </w:tblGrid>
      <w:tr>
        <w:trPr/>
        <w:tc>
          <w:tcPr>
            <w:tcW w:w="1119"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Inc.</w:t>
            </w:r>
          </w:p>
        </w:tc>
        <w:tc>
          <w:tcPr>
            <w:tcW w:w="3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Houston Electric, LLC</w:t>
            </w:r>
          </w:p>
        </w:tc>
        <w:tc>
          <w:tcPr>
            <w:tcW w:w="3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Resources Corp.</w:t>
            </w:r>
          </w:p>
        </w:tc>
        <w:tc>
          <w:tcPr>
            <w:tcW w:w="3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10205" w:type="dxa"/>
        <w:jc w:val="left"/>
        <w:tblInd w:w="0" w:type="dxa"/>
        <w:tblCellMar>
          <w:top w:w="28" w:type="dxa"/>
          <w:left w:w="28" w:type="dxa"/>
          <w:bottom w:w="28" w:type="dxa"/>
          <w:right w:w="28" w:type="dxa"/>
        </w:tblCellMar>
      </w:tblPr>
      <w:tblGrid>
        <w:gridCol w:w="892"/>
        <w:gridCol w:w="783"/>
        <w:gridCol w:w="788"/>
        <w:gridCol w:w="504"/>
        <w:gridCol w:w="504"/>
        <w:gridCol w:w="506"/>
        <w:gridCol w:w="401"/>
        <w:gridCol w:w="401"/>
        <w:gridCol w:w="402"/>
        <w:gridCol w:w="511"/>
        <w:gridCol w:w="511"/>
        <w:gridCol w:w="512"/>
        <w:gridCol w:w="573"/>
        <w:gridCol w:w="573"/>
        <w:gridCol w:w="575"/>
        <w:gridCol w:w="514"/>
        <w:gridCol w:w="514"/>
        <w:gridCol w:w="741"/>
      </w:tblGrid>
      <w:tr>
        <w:trPr/>
        <w:tc>
          <w:tcPr>
            <w:tcW w:w="892"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r>
      <w:tr>
        <w:trPr/>
        <w:tc>
          <w:tcPr>
            <w:tcW w:w="24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Large accelerated filer</w:t>
            </w:r>
          </w:p>
        </w:tc>
        <w:tc>
          <w:tcPr>
            <w:tcW w:w="12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Accelerated filer</w:t>
            </w:r>
          </w:p>
        </w:tc>
        <w:tc>
          <w:tcPr>
            <w:tcW w:w="15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Non-accelerated filer</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Smaller reporting company</w:t>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Emerging growth company</w:t>
            </w:r>
          </w:p>
        </w:tc>
      </w:tr>
      <w:tr>
        <w:trPr/>
        <w:tc>
          <w:tcPr>
            <w:tcW w:w="24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Inc.</w:t>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color w:val="000000"/>
              </w:rPr>
            </w:pPr>
            <w:r>
              <w:rPr>
                <w:color w:val="000000"/>
              </w:rPr>
              <w:t>☑</w:t>
            </w:r>
          </w:p>
        </w:tc>
        <w:tc>
          <w:tcPr>
            <w:tcW w:w="12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5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24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Houston Electric, LLC</w:t>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2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534"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color w:val="000000"/>
              </w:rPr>
            </w:pPr>
            <w:r>
              <w:rPr>
                <w:color w:val="000000"/>
              </w:rPr>
              <w:t>☑</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24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Resources Corp.</w:t>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2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1534"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color w:val="000000"/>
              </w:rPr>
            </w:pPr>
            <w:r>
              <w:rPr>
                <w:color w:val="000000"/>
              </w:rPr>
              <w:t>☑</w:t>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shell company (as defined in Rule 12b-2 of the Exchange Act). </w:t>
      </w:r>
    </w:p>
    <w:tbl>
      <w:tblPr>
        <w:tblW w:w="4803" w:type="dxa"/>
        <w:jc w:val="left"/>
        <w:tblInd w:w="0" w:type="dxa"/>
        <w:tblCellMar>
          <w:top w:w="28" w:type="dxa"/>
          <w:left w:w="28" w:type="dxa"/>
          <w:bottom w:w="28" w:type="dxa"/>
          <w:right w:w="28" w:type="dxa"/>
        </w:tblCellMar>
      </w:tblPr>
      <w:tblGrid>
        <w:gridCol w:w="1119"/>
        <w:gridCol w:w="982"/>
        <w:gridCol w:w="988"/>
        <w:gridCol w:w="120"/>
        <w:gridCol w:w="120"/>
        <w:gridCol w:w="121"/>
        <w:gridCol w:w="109"/>
        <w:gridCol w:w="109"/>
        <w:gridCol w:w="109"/>
        <w:gridCol w:w="109"/>
        <w:gridCol w:w="109"/>
        <w:gridCol w:w="109"/>
        <w:gridCol w:w="109"/>
        <w:gridCol w:w="109"/>
        <w:gridCol w:w="109"/>
        <w:gridCol w:w="109"/>
        <w:gridCol w:w="109"/>
        <w:gridCol w:w="154"/>
      </w:tblGrid>
      <w:tr>
        <w:trPr/>
        <w:tc>
          <w:tcPr>
            <w:tcW w:w="1119"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Inc.</w:t>
            </w:r>
          </w:p>
        </w:tc>
        <w:tc>
          <w:tcPr>
            <w:tcW w:w="3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Houston Electric, LLC</w:t>
            </w:r>
          </w:p>
        </w:tc>
        <w:tc>
          <w:tcPr>
            <w:tcW w:w="3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 Resources Corp.</w:t>
            </w:r>
          </w:p>
        </w:tc>
        <w:tc>
          <w:tcPr>
            <w:tcW w:w="3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the number of shares outstanding of each of the issuers’ classes of common stock as of April 19, 2023:</w:t>
      </w:r>
    </w:p>
    <w:tbl>
      <w:tblPr>
        <w:tblW w:w="10205" w:type="dxa"/>
        <w:jc w:val="left"/>
        <w:tblInd w:w="0" w:type="dxa"/>
        <w:tblCellMar>
          <w:top w:w="28" w:type="dxa"/>
          <w:left w:w="28" w:type="dxa"/>
          <w:bottom w:w="28" w:type="dxa"/>
          <w:right w:w="28" w:type="dxa"/>
        </w:tblCellMar>
      </w:tblPr>
      <w:tblGrid>
        <w:gridCol w:w="1011"/>
        <w:gridCol w:w="704"/>
        <w:gridCol w:w="704"/>
        <w:gridCol w:w="109"/>
        <w:gridCol w:w="109"/>
        <w:gridCol w:w="109"/>
        <w:gridCol w:w="335"/>
        <w:gridCol w:w="335"/>
        <w:gridCol w:w="336"/>
        <w:gridCol w:w="1928"/>
        <w:gridCol w:w="1873"/>
        <w:gridCol w:w="2652"/>
      </w:tblGrid>
      <w:tr>
        <w:trPr/>
        <w:tc>
          <w:tcPr>
            <w:tcW w:w="101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c>
          <w:tcPr>
            <w:tcW w:w="1873" w:type="dxa"/>
            <w:tcBorders/>
            <w:shd w:fill="auto" w:val="clear"/>
            <w:vAlign w:val="center"/>
          </w:tcPr>
          <w:p>
            <w:pPr>
              <w:pStyle w:val="TableContents"/>
              <w:spacing w:before="0" w:after="283"/>
              <w:rPr>
                <w:sz w:val="4"/>
                <w:szCs w:val="4"/>
              </w:rPr>
            </w:pPr>
            <w:r>
              <w:rPr>
                <w:sz w:val="4"/>
                <w:szCs w:val="4"/>
              </w:rPr>
            </w:r>
          </w:p>
        </w:tc>
        <w:tc>
          <w:tcPr>
            <w:tcW w:w="2652" w:type="dxa"/>
            <w:tcBorders/>
            <w:shd w:fill="auto" w:val="clear"/>
            <w:vAlign w:val="center"/>
          </w:tcPr>
          <w:p>
            <w:pPr>
              <w:pStyle w:val="TableContents"/>
              <w:spacing w:before="0" w:after="283"/>
              <w:rPr>
                <w:sz w:val="4"/>
                <w:szCs w:val="4"/>
              </w:rPr>
            </w:pPr>
            <w:r>
              <w:rPr>
                <w:sz w:val="4"/>
                <w:szCs w:val="4"/>
              </w:rPr>
            </w:r>
          </w:p>
        </w:tc>
      </w:tr>
      <w:tr>
        <w:trPr/>
        <w:tc>
          <w:tcPr>
            <w:tcW w:w="241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631,029,243</w:t>
            </w:r>
          </w:p>
        </w:tc>
        <w:tc>
          <w:tcPr>
            <w:tcW w:w="6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common stock outstanding, excluding 166 shares held as treasury stock</w:t>
            </w:r>
          </w:p>
        </w:tc>
      </w:tr>
      <w:tr>
        <w:trPr/>
        <w:tc>
          <w:tcPr>
            <w:tcW w:w="241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 Houston Electric,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6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outstanding, all held by Utility Holding, LLC, a wholly-owned subsidiary of CenterPoint Energy, Inc.</w:t>
            </w:r>
          </w:p>
        </w:tc>
      </w:tr>
      <w:tr>
        <w:trPr/>
        <w:tc>
          <w:tcPr>
            <w:tcW w:w="241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CenterPoint Energy Resources Corp.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64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common stock outstanding, all held by Utility Holding, LLC, a wholly-owned subsidiary of CenterPoint Energy, Inc.</w:t>
            </w:r>
          </w:p>
        </w:tc>
      </w:tr>
    </w:tbl>
    <w:p>
      <w:pPr>
        <w:pStyle w:val="TextBody"/>
        <w:spacing w:lineRule="auto" w:line="288" w:before="0" w:after="0"/>
        <w:jc w:val="both"/>
        <w:rPr>
          <w:color w:val="000000"/>
        </w:rPr>
      </w:pPr>
      <w:r>
        <w:rPr>
          <w:color w:val="000000"/>
        </w:rPr>
        <w: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948" w:type="dxa"/>
        <w:jc w:val="left"/>
        <w:tblInd w:w="0" w:type="dxa"/>
        <w:tblCellMar>
          <w:top w:w="28" w:type="dxa"/>
          <w:left w:w="28" w:type="dxa"/>
          <w:bottom w:w="28" w:type="dxa"/>
          <w:right w:w="28" w:type="dxa"/>
        </w:tblCellMar>
      </w:tblPr>
      <w:tblGrid>
        <w:gridCol w:w="320"/>
        <w:gridCol w:w="281"/>
        <w:gridCol w:w="283"/>
        <w:gridCol w:w="109"/>
        <w:gridCol w:w="109"/>
        <w:gridCol w:w="109"/>
        <w:gridCol w:w="2454"/>
        <w:gridCol w:w="2454"/>
        <w:gridCol w:w="2457"/>
        <w:gridCol w:w="109"/>
        <w:gridCol w:w="109"/>
        <w:gridCol w:w="154"/>
      </w:tblGrid>
      <w:tr>
        <w:trPr/>
        <w:tc>
          <w:tcPr>
            <w:tcW w:w="32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24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INFORMATION</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9">
              <w:r>
                <w:rPr>
                  <w:rStyle w:val="InternetLink"/>
                  <w:rFonts w:ascii="Times New Roman;sans-serif" w:hAnsi="Times New Roman;sans-serif"/>
                  <w:b w:val="false"/>
                  <w:color w:val="0000FF"/>
                  <w:sz w:val="20"/>
                  <w:u w:val="single"/>
                </w:rPr>
                <w:t>Financial Statements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9">
              <w:r>
                <w:rPr>
                  <w:rStyle w:val="InternetLink"/>
                  <w:rFonts w:ascii="Times New Roman;sans-serif" w:hAnsi="Times New Roman;sans-serif"/>
                  <w:b w:val="false"/>
                  <w:color w:val="0000FF"/>
                  <w:sz w:val="20"/>
                  <w:u w:val="single"/>
                </w:rPr>
                <w:t>1</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22">
              <w:r>
                <w:rPr>
                  <w:rStyle w:val="InternetLink"/>
                  <w:rFonts w:ascii="Times New Roman;sans-serif" w:hAnsi="Times New Roman;sans-serif"/>
                  <w:b w:val="false"/>
                  <w:color w:val="0000FF"/>
                  <w:sz w:val="20"/>
                  <w:u w:val="single"/>
                </w:rPr>
                <w:t>CenterPoint Energy, Inc. Financial Statements</w:t>
              </w:r>
            </w:hyperlink>
            <w:r>
              <w:rPr>
                <w:color w:val="000000"/>
              </w:rPr>
              <w:t xml:space="preserve"> </w:t>
            </w:r>
            <w:r>
              <w:rPr>
                <w:rFonts w:ascii="Times New Roman;sans-serif" w:hAnsi="Times New Roman;sans-serif"/>
                <w:b w:val="false"/>
                <w:color w:val="000000"/>
                <w:sz w:val="20"/>
              </w:rPr>
              <w:t>(unaudited)</w:t>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22">
              <w:r>
                <w:rPr>
                  <w:rStyle w:val="InternetLink"/>
                  <w:rFonts w:ascii="Times New Roman;sans-serif" w:hAnsi="Times New Roman;sans-serif"/>
                  <w:b w:val="false"/>
                  <w:color w:val="0000FF"/>
                  <w:sz w:val="20"/>
                  <w:u w:val="single"/>
                </w:rPr>
                <w:t>1</w:t>
              </w:r>
            </w:hyperlink>
          </w:p>
        </w:tc>
      </w:tr>
      <w:tr>
        <w:trPr/>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43">
              <w:r>
                <w:rPr>
                  <w:rStyle w:val="InternetLink"/>
                  <w:rFonts w:ascii="Times New Roman;sans-serif" w:hAnsi="Times New Roman;sans-serif"/>
                  <w:b w:val="false"/>
                  <w:color w:val="0000FF"/>
                  <w:sz w:val="20"/>
                  <w:u w:val="single"/>
                </w:rPr>
                <w:t>CenterPoint Energy Houston Electric, LLC Financial Statements</w:t>
              </w:r>
            </w:hyperlink>
            <w:r>
              <w:rPr>
                <w:color w:val="000000"/>
              </w:rPr>
              <w:t xml:space="preserve"> </w:t>
            </w:r>
            <w:r>
              <w:rPr>
                <w:rFonts w:ascii="Times New Roman;sans-serif" w:hAnsi="Times New Roman;sans-serif"/>
                <w:b w:val="false"/>
                <w:color w:val="000000"/>
                <w:sz w:val="20"/>
              </w:rPr>
              <w:t>(unaudited)</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43">
              <w:r>
                <w:rPr>
                  <w:rStyle w:val="InternetLink"/>
                  <w:rFonts w:ascii="Times New Roman;sans-serif" w:hAnsi="Times New Roman;sans-serif"/>
                  <w:b w:val="false"/>
                  <w:color w:val="0000FF"/>
                  <w:sz w:val="20"/>
                  <w:u w:val="single"/>
                </w:rPr>
                <w:t>7</w:t>
              </w:r>
            </w:hyperlink>
          </w:p>
        </w:tc>
      </w:tr>
      <w:tr>
        <w:trPr/>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58">
              <w:r>
                <w:rPr>
                  <w:rStyle w:val="InternetLink"/>
                  <w:rFonts w:ascii="Times New Roman;sans-serif" w:hAnsi="Times New Roman;sans-serif"/>
                  <w:b w:val="false"/>
                  <w:color w:val="0000FF"/>
                  <w:sz w:val="20"/>
                  <w:u w:val="single"/>
                </w:rPr>
                <w:t>CenterPoint Energy Resources Corp. Financial Statements</w:t>
              </w:r>
            </w:hyperlink>
            <w:r>
              <w:rPr>
                <w:color w:val="000000"/>
              </w:rPr>
              <w:t xml:space="preserve"> </w:t>
            </w:r>
            <w:r>
              <w:rPr>
                <w:rFonts w:ascii="Times New Roman;sans-serif" w:hAnsi="Times New Roman;sans-serif"/>
                <w:b w:val="false"/>
                <w:color w:val="000000"/>
                <w:sz w:val="20"/>
              </w:rPr>
              <w:t>(unaudited)</w:t>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58">
              <w:r>
                <w:rPr>
                  <w:rStyle w:val="InternetLink"/>
                  <w:rFonts w:ascii="Times New Roman;sans-serif" w:hAnsi="Times New Roman;sans-serif"/>
                  <w:b w:val="false"/>
                  <w:color w:val="0000FF"/>
                  <w:sz w:val="20"/>
                  <w:u w:val="single"/>
                </w:rPr>
                <w:t>13</w:t>
              </w:r>
            </w:hyperlink>
          </w:p>
        </w:tc>
      </w:tr>
      <w:tr>
        <w:trPr/>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73">
              <w:r>
                <w:rPr>
                  <w:rStyle w:val="InternetLink"/>
                  <w:rFonts w:ascii="Times New Roman;sans-serif" w:hAnsi="Times New Roman;sans-serif"/>
                  <w:b w:val="false"/>
                  <w:color w:val="0000FF"/>
                  <w:sz w:val="20"/>
                  <w:u w:val="single"/>
                </w:rPr>
                <w:t>Combined Notes to Interim Condensed Financial Statements</w:t>
              </w:r>
            </w:hyperlink>
            <w:r>
              <w:rPr>
                <w:color w:val="000000"/>
              </w:rPr>
              <w:t xml:space="preserve"> </w:t>
            </w:r>
            <w:r>
              <w:rPr>
                <w:rFonts w:ascii="Times New Roman;sans-serif" w:hAnsi="Times New Roman;sans-serif"/>
                <w:b w:val="false"/>
                <w:color w:val="000000"/>
                <w:sz w:val="20"/>
              </w:rPr>
              <w:t>(unaudited)</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73">
              <w:r>
                <w:rPr>
                  <w:rStyle w:val="InternetLink"/>
                  <w:rFonts w:ascii="Times New Roman;sans-serif" w:hAnsi="Times New Roman;sans-serif"/>
                  <w:b w:val="false"/>
                  <w:color w:val="0000FF"/>
                  <w:sz w:val="20"/>
                  <w:u w:val="single"/>
                </w:rPr>
                <w:t>19</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76">
              <w:r>
                <w:rPr>
                  <w:rStyle w:val="InternetLink"/>
                  <w:rFonts w:ascii="Times New Roman;sans-serif" w:hAnsi="Times New Roman;sans-serif"/>
                  <w:b w:val="false"/>
                  <w:color w:val="0000FF"/>
                  <w:sz w:val="20"/>
                  <w:u w:val="single"/>
                </w:rPr>
                <w:t xml:space="preserve">(1) Background and Basis of Presentation </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76">
              <w:r>
                <w:rPr>
                  <w:rStyle w:val="InternetLink"/>
                  <w:rFonts w:ascii="Times New Roman;sans-serif" w:hAnsi="Times New Roman;sans-serif"/>
                  <w:b w:val="false"/>
                  <w:color w:val="0000FF"/>
                  <w:sz w:val="20"/>
                  <w:u w:val="single"/>
                </w:rPr>
                <w:t>19</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79">
              <w:r>
                <w:rPr>
                  <w:rStyle w:val="InternetLink"/>
                  <w:rFonts w:ascii="Times New Roman;sans-serif" w:hAnsi="Times New Roman;sans-serif"/>
                  <w:b w:val="false"/>
                  <w:color w:val="0000FF"/>
                  <w:sz w:val="20"/>
                  <w:u w:val="single"/>
                </w:rPr>
                <w:t>(2) New Accounting Pronouncements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79">
              <w:r>
                <w:rPr>
                  <w:rStyle w:val="InternetLink"/>
                  <w:rFonts w:ascii="Times New Roman;sans-serif" w:hAnsi="Times New Roman;sans-serif"/>
                  <w:b w:val="false"/>
                  <w:color w:val="0000FF"/>
                  <w:sz w:val="20"/>
                  <w:u w:val="single"/>
                </w:rPr>
                <w:t>20</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82">
              <w:r>
                <w:rPr>
                  <w:rStyle w:val="InternetLink"/>
                  <w:rFonts w:ascii="Times New Roman;sans-serif" w:hAnsi="Times New Roman;sans-serif"/>
                  <w:b w:val="false"/>
                  <w:color w:val="0000FF"/>
                  <w:sz w:val="20"/>
                  <w:u w:val="single"/>
                </w:rPr>
                <w:t>(3) Divestitures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82">
              <w:r>
                <w:rPr>
                  <w:rStyle w:val="InternetLink"/>
                  <w:rFonts w:ascii="Times New Roman;sans-serif" w:hAnsi="Times New Roman;sans-serif"/>
                  <w:b w:val="false"/>
                  <w:color w:val="0000FF"/>
                  <w:sz w:val="20"/>
                  <w:u w:val="single"/>
                </w:rPr>
                <w:t>20</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85">
              <w:r>
                <w:rPr>
                  <w:rStyle w:val="InternetLink"/>
                  <w:rFonts w:ascii="Times New Roman;sans-serif" w:hAnsi="Times New Roman;sans-serif"/>
                  <w:b w:val="false"/>
                  <w:color w:val="0000FF"/>
                  <w:sz w:val="20"/>
                  <w:u w:val="single"/>
                </w:rPr>
                <w:t>(4) Revenue Recognition and Allowance for Credit Losses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85">
              <w:r>
                <w:rPr>
                  <w:rStyle w:val="InternetLink"/>
                  <w:rFonts w:ascii="Times New Roman;sans-serif" w:hAnsi="Times New Roman;sans-serif"/>
                  <w:b w:val="false"/>
                  <w:color w:val="0000FF"/>
                  <w:sz w:val="20"/>
                  <w:u w:val="single"/>
                </w:rPr>
                <w:t>21</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91">
              <w:r>
                <w:rPr>
                  <w:rStyle w:val="InternetLink"/>
                  <w:rFonts w:ascii="Times New Roman;sans-serif" w:hAnsi="Times New Roman;sans-serif"/>
                  <w:b w:val="false"/>
                  <w:color w:val="0000FF"/>
                  <w:sz w:val="20"/>
                  <w:u w:val="single"/>
                </w:rPr>
                <w:t xml:space="preserve">(5) Employee Benefit Plans </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91">
              <w:r>
                <w:rPr>
                  <w:rStyle w:val="InternetLink"/>
                  <w:rFonts w:ascii="Times New Roman;sans-serif" w:hAnsi="Times New Roman;sans-serif"/>
                  <w:b w:val="false"/>
                  <w:color w:val="0000FF"/>
                  <w:sz w:val="20"/>
                  <w:u w:val="single"/>
                </w:rPr>
                <w:t>24</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97">
              <w:r>
                <w:rPr>
                  <w:rStyle w:val="InternetLink"/>
                  <w:rFonts w:ascii="Times New Roman;sans-serif" w:hAnsi="Times New Roman;sans-serif"/>
                  <w:b w:val="false"/>
                  <w:color w:val="0000FF"/>
                  <w:sz w:val="20"/>
                  <w:u w:val="single"/>
                </w:rPr>
                <w:t>(6) Regulatory Matters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97">
              <w:r>
                <w:rPr>
                  <w:rStyle w:val="InternetLink"/>
                  <w:rFonts w:ascii="Times New Roman;sans-serif" w:hAnsi="Times New Roman;sans-serif"/>
                  <w:b w:val="false"/>
                  <w:color w:val="0000FF"/>
                  <w:sz w:val="20"/>
                  <w:u w:val="single"/>
                </w:rPr>
                <w:t>25</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00">
              <w:r>
                <w:rPr>
                  <w:rStyle w:val="InternetLink"/>
                  <w:rFonts w:ascii="Times New Roman;sans-serif" w:hAnsi="Times New Roman;sans-serif"/>
                  <w:b w:val="false"/>
                  <w:color w:val="0000FF"/>
                  <w:sz w:val="20"/>
                  <w:u w:val="single"/>
                </w:rPr>
                <w:t xml:space="preserve">(7) Derivative Instruments </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00">
              <w:r>
                <w:rPr>
                  <w:rStyle w:val="InternetLink"/>
                  <w:rFonts w:ascii="Times New Roman;sans-serif" w:hAnsi="Times New Roman;sans-serif"/>
                  <w:b w:val="false"/>
                  <w:color w:val="0000FF"/>
                  <w:sz w:val="20"/>
                  <w:u w:val="single"/>
                </w:rPr>
                <w:t>28</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03">
              <w:r>
                <w:rPr>
                  <w:rStyle w:val="InternetLink"/>
                  <w:rFonts w:ascii="Times New Roman;sans-serif" w:hAnsi="Times New Roman;sans-serif"/>
                  <w:b w:val="false"/>
                  <w:color w:val="0000FF"/>
                  <w:sz w:val="20"/>
                  <w:u w:val="single"/>
                </w:rPr>
                <w:t xml:space="preserve">(8) Fair Value Measurements </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03">
              <w:r>
                <w:rPr>
                  <w:rStyle w:val="InternetLink"/>
                  <w:rFonts w:ascii="Times New Roman;sans-serif" w:hAnsi="Times New Roman;sans-serif"/>
                  <w:b w:val="false"/>
                  <w:color w:val="0000FF"/>
                  <w:sz w:val="20"/>
                  <w:u w:val="single"/>
                </w:rPr>
                <w:t>30</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06">
              <w:r>
                <w:rPr>
                  <w:rStyle w:val="InternetLink"/>
                  <w:rFonts w:ascii="Times New Roman;sans-serif" w:hAnsi="Times New Roman;sans-serif"/>
                  <w:b w:val="false"/>
                  <w:color w:val="0000FF"/>
                  <w:sz w:val="20"/>
                  <w:u w:val="single"/>
                </w:rPr>
                <w:t>(9) Goodwill and Other Intangibles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06">
              <w:r>
                <w:rPr>
                  <w:rStyle w:val="InternetLink"/>
                  <w:rFonts w:ascii="Times New Roman;sans-serif" w:hAnsi="Times New Roman;sans-serif"/>
                  <w:b w:val="false"/>
                  <w:color w:val="0000FF"/>
                  <w:sz w:val="20"/>
                  <w:u w:val="single"/>
                </w:rPr>
                <w:t>31</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09">
              <w:r>
                <w:rPr>
                  <w:rStyle w:val="InternetLink"/>
                  <w:rFonts w:ascii="Times New Roman;sans-serif" w:hAnsi="Times New Roman;sans-serif"/>
                  <w:b w:val="false"/>
                  <w:color w:val="0000FF"/>
                  <w:sz w:val="20"/>
                  <w:u w:val="single"/>
                </w:rPr>
                <w:t>(10) Equity Securities and Indexed Debt Securities (ZENS)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09">
              <w:r>
                <w:rPr>
                  <w:rStyle w:val="InternetLink"/>
                  <w:rFonts w:ascii="Times New Roman;sans-serif" w:hAnsi="Times New Roman;sans-serif"/>
                  <w:b w:val="false"/>
                  <w:color w:val="0000FF"/>
                  <w:sz w:val="20"/>
                  <w:u w:val="single"/>
                </w:rPr>
                <w:t>32</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12">
              <w:r>
                <w:rPr>
                  <w:rStyle w:val="InternetLink"/>
                  <w:rFonts w:ascii="Times New Roman;sans-serif" w:hAnsi="Times New Roman;sans-serif"/>
                  <w:b w:val="false"/>
                  <w:color w:val="0000FF"/>
                  <w:sz w:val="20"/>
                  <w:u w:val="single"/>
                </w:rPr>
                <w:t>(11) Short-term Borrowings and Long-term Debt</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12">
              <w:r>
                <w:rPr>
                  <w:rStyle w:val="InternetLink"/>
                  <w:rFonts w:ascii="Times New Roman;sans-serif" w:hAnsi="Times New Roman;sans-serif"/>
                  <w:b w:val="false"/>
                  <w:color w:val="0000FF"/>
                  <w:sz w:val="20"/>
                  <w:u w:val="single"/>
                </w:rPr>
                <w:t>34</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15">
              <w:r>
                <w:rPr>
                  <w:rStyle w:val="InternetLink"/>
                  <w:rFonts w:ascii="Times New Roman;sans-serif" w:hAnsi="Times New Roman;sans-serif"/>
                  <w:b w:val="false"/>
                  <w:color w:val="0000FF"/>
                  <w:sz w:val="20"/>
                  <w:u w:val="single"/>
                </w:rPr>
                <w:t>(12) Income Taxes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15">
              <w:r>
                <w:rPr>
                  <w:rStyle w:val="InternetLink"/>
                  <w:rFonts w:ascii="Times New Roman;sans-serif" w:hAnsi="Times New Roman;sans-serif"/>
                  <w:b w:val="false"/>
                  <w:color w:val="0000FF"/>
                  <w:sz w:val="20"/>
                  <w:u w:val="single"/>
                </w:rPr>
                <w:t>36</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18">
              <w:r>
                <w:rPr>
                  <w:rStyle w:val="InternetLink"/>
                  <w:rFonts w:ascii="Times New Roman;sans-serif" w:hAnsi="Times New Roman;sans-serif"/>
                  <w:b w:val="false"/>
                  <w:color w:val="0000FF"/>
                  <w:sz w:val="20"/>
                  <w:u w:val="single"/>
                </w:rPr>
                <w:t>(13) Commitments and Contingencies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18">
              <w:r>
                <w:rPr>
                  <w:rStyle w:val="InternetLink"/>
                  <w:rFonts w:ascii="Times New Roman;sans-serif" w:hAnsi="Times New Roman;sans-serif"/>
                  <w:b w:val="false"/>
                  <w:color w:val="0000FF"/>
                  <w:sz w:val="20"/>
                  <w:u w:val="single"/>
                </w:rPr>
                <w:t>37</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21">
              <w:r>
                <w:rPr>
                  <w:rStyle w:val="InternetLink"/>
                  <w:rFonts w:ascii="Times New Roman;sans-serif" w:hAnsi="Times New Roman;sans-serif"/>
                  <w:b w:val="false"/>
                  <w:color w:val="0000FF"/>
                  <w:sz w:val="20"/>
                  <w:u w:val="single"/>
                </w:rPr>
                <w:t>(14) Earnings Per Share</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21">
              <w:r>
                <w:rPr>
                  <w:rStyle w:val="InternetLink"/>
                  <w:rFonts w:ascii="Times New Roman;sans-serif" w:hAnsi="Times New Roman;sans-serif"/>
                  <w:b w:val="false"/>
                  <w:color w:val="0000FF"/>
                  <w:sz w:val="20"/>
                  <w:u w:val="single"/>
                </w:rPr>
                <w:t>42</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27">
              <w:r>
                <w:rPr>
                  <w:rStyle w:val="InternetLink"/>
                  <w:rFonts w:ascii="Times New Roman;sans-serif" w:hAnsi="Times New Roman;sans-serif"/>
                  <w:b w:val="false"/>
                  <w:color w:val="0000FF"/>
                  <w:sz w:val="20"/>
                  <w:u w:val="single"/>
                </w:rPr>
                <w:t>(15) Reportable Segments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27">
              <w:r>
                <w:rPr>
                  <w:rStyle w:val="InternetLink"/>
                  <w:rFonts w:ascii="Times New Roman;sans-serif" w:hAnsi="Times New Roman;sans-serif"/>
                  <w:b w:val="false"/>
                  <w:color w:val="0000FF"/>
                  <w:sz w:val="20"/>
                  <w:u w:val="single"/>
                </w:rPr>
                <w:t>43</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30">
              <w:r>
                <w:rPr>
                  <w:rStyle w:val="InternetLink"/>
                  <w:rFonts w:ascii="Times New Roman;sans-serif" w:hAnsi="Times New Roman;sans-serif"/>
                  <w:b w:val="false"/>
                  <w:color w:val="0000FF"/>
                  <w:sz w:val="20"/>
                  <w:u w:val="single"/>
                </w:rPr>
                <w:t>(16) Supplemental Disclosure of Cash Flow Information</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30">
              <w:r>
                <w:rPr>
                  <w:rStyle w:val="InternetLink"/>
                  <w:rFonts w:ascii="Times New Roman;sans-serif" w:hAnsi="Times New Roman;sans-serif"/>
                  <w:b w:val="false"/>
                  <w:color w:val="0000FF"/>
                  <w:sz w:val="20"/>
                  <w:u w:val="single"/>
                </w:rPr>
                <w:t>45</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33">
              <w:r>
                <w:rPr>
                  <w:rStyle w:val="InternetLink"/>
                  <w:rFonts w:ascii="Times New Roman;sans-serif" w:hAnsi="Times New Roman;sans-serif"/>
                  <w:b w:val="false"/>
                  <w:color w:val="0000FF"/>
                  <w:sz w:val="20"/>
                  <w:u w:val="single"/>
                </w:rPr>
                <w:t>(17) Related Party Transactions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33">
              <w:r>
                <w:rPr>
                  <w:rStyle w:val="InternetLink"/>
                  <w:rFonts w:ascii="Times New Roman;sans-serif" w:hAnsi="Times New Roman;sans-serif"/>
                  <w:b w:val="false"/>
                  <w:color w:val="0000FF"/>
                  <w:sz w:val="20"/>
                  <w:u w:val="single"/>
                </w:rPr>
                <w:t>45</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39">
              <w:r>
                <w:rPr>
                  <w:rStyle w:val="InternetLink"/>
                  <w:rFonts w:ascii="Times New Roman;sans-serif" w:hAnsi="Times New Roman;sans-serif"/>
                  <w:b w:val="false"/>
                  <w:color w:val="0000FF"/>
                  <w:sz w:val="20"/>
                  <w:u w:val="single"/>
                </w:rPr>
                <w:t>(18) Equity</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39">
              <w:r>
                <w:rPr>
                  <w:rStyle w:val="InternetLink"/>
                  <w:rFonts w:ascii="Times New Roman;sans-serif" w:hAnsi="Times New Roman;sans-serif"/>
                  <w:b w:val="false"/>
                  <w:color w:val="0000FF"/>
                  <w:sz w:val="20"/>
                  <w:u w:val="single"/>
                </w:rPr>
                <w:t>46</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48">
              <w:r>
                <w:rPr>
                  <w:rStyle w:val="InternetLink"/>
                  <w:rFonts w:ascii="Times New Roman;sans-serif" w:hAnsi="Times New Roman;sans-serif"/>
                  <w:b w:val="false"/>
                  <w:color w:val="0000FF"/>
                  <w:sz w:val="20"/>
                  <w:u w:val="single"/>
                </w:rPr>
                <w:t>(19) Leases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45">
              <w:r>
                <w:rPr>
                  <w:rStyle w:val="InternetLink"/>
                  <w:rFonts w:ascii="Times New Roman;sans-serif" w:hAnsi="Times New Roman;sans-serif"/>
                  <w:b w:val="false"/>
                  <w:color w:val="0000FF"/>
                  <w:sz w:val="20"/>
                  <w:u w:val="single"/>
                </w:rPr>
                <w:t>47</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48">
              <w:r>
                <w:rPr>
                  <w:rStyle w:val="InternetLink"/>
                  <w:rFonts w:ascii="Times New Roman;sans-serif" w:hAnsi="Times New Roman;sans-serif"/>
                  <w:b w:val="false"/>
                  <w:color w:val="0000FF"/>
                  <w:sz w:val="20"/>
                  <w:u w:val="single"/>
                </w:rPr>
                <w:t>(20) Subsequent Events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48">
              <w:r>
                <w:rPr>
                  <w:rStyle w:val="InternetLink"/>
                  <w:rFonts w:ascii="Times New Roman;sans-serif" w:hAnsi="Times New Roman;sans-serif"/>
                  <w:b w:val="false"/>
                  <w:color w:val="0000FF"/>
                  <w:sz w:val="20"/>
                  <w:u w:val="single"/>
                </w:rPr>
                <w:t>50</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5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54">
              <w:r>
                <w:rPr>
                  <w:rStyle w:val="InternetLink"/>
                  <w:rFonts w:ascii="Times New Roman;sans-serif" w:hAnsi="Times New Roman;sans-serif"/>
                  <w:b w:val="false"/>
                  <w:color w:val="0000FF"/>
                  <w:sz w:val="20"/>
                  <w:u w:val="single"/>
                </w:rPr>
                <w:t>51</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57">
              <w:r>
                <w:rPr>
                  <w:rStyle w:val="InternetLink"/>
                  <w:rFonts w:ascii="Times New Roman;sans-serif" w:hAnsi="Times New Roman;sans-serif"/>
                  <w:b w:val="false"/>
                  <w:color w:val="0000FF"/>
                  <w:sz w:val="20"/>
                  <w:u w:val="single"/>
                </w:rPr>
                <w:t>Recent Events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57">
              <w:r>
                <w:rPr>
                  <w:rStyle w:val="InternetLink"/>
                  <w:rFonts w:ascii="Times New Roman;sans-serif" w:hAnsi="Times New Roman;sans-serif"/>
                  <w:b w:val="false"/>
                  <w:color w:val="0000FF"/>
                  <w:sz w:val="20"/>
                  <w:u w:val="single"/>
                </w:rPr>
                <w:t>51</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Consolidated Results of Operations</w:t>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60">
              <w:r>
                <w:rPr>
                  <w:rStyle w:val="InternetLink"/>
                  <w:rFonts w:ascii="Times New Roman;sans-serif" w:hAnsi="Times New Roman;sans-serif"/>
                  <w:b w:val="false"/>
                  <w:color w:val="0000FF"/>
                  <w:sz w:val="20"/>
                  <w:u w:val="single"/>
                </w:rPr>
                <w:t>52</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Results of Operations by Reportable Segment</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66">
              <w:r>
                <w:rPr>
                  <w:rStyle w:val="InternetLink"/>
                  <w:rFonts w:ascii="Times New Roman;sans-serif" w:hAnsi="Times New Roman;sans-serif"/>
                  <w:b w:val="false"/>
                  <w:color w:val="0000FF"/>
                  <w:sz w:val="20"/>
                  <w:u w:val="single"/>
                </w:rPr>
                <w:t>53</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75">
              <w:r>
                <w:rPr>
                  <w:rStyle w:val="InternetLink"/>
                  <w:rFonts w:ascii="Times New Roman;sans-serif" w:hAnsi="Times New Roman;sans-serif"/>
                  <w:b w:val="false"/>
                  <w:color w:val="0000FF"/>
                  <w:sz w:val="20"/>
                  <w:u w:val="single"/>
                </w:rPr>
                <w:t>Certain Factors Affecting Future Earnings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75">
              <w:r>
                <w:rPr>
                  <w:rStyle w:val="InternetLink"/>
                  <w:rFonts w:ascii="Times New Roman;sans-serif" w:hAnsi="Times New Roman;sans-serif"/>
                  <w:b w:val="false"/>
                  <w:color w:val="0000FF"/>
                  <w:sz w:val="20"/>
                  <w:u w:val="single"/>
                </w:rPr>
                <w:t>61</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78">
              <w:r>
                <w:rPr>
                  <w:rStyle w:val="InternetLink"/>
                  <w:rFonts w:ascii="Times New Roman;sans-serif" w:hAnsi="Times New Roman;sans-serif"/>
                  <w:b w:val="false"/>
                  <w:color w:val="0000FF"/>
                  <w:sz w:val="20"/>
                  <w:u w:val="single"/>
                </w:rPr>
                <w:t>Liquidity and Capital Resources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78">
              <w:r>
                <w:rPr>
                  <w:rStyle w:val="InternetLink"/>
                  <w:rFonts w:ascii="Times New Roman;sans-serif" w:hAnsi="Times New Roman;sans-serif"/>
                  <w:b w:val="false"/>
                  <w:color w:val="0000FF"/>
                  <w:sz w:val="20"/>
                  <w:u w:val="single"/>
                </w:rPr>
                <w:t>61</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93">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93">
              <w:r>
                <w:rPr>
                  <w:rStyle w:val="InternetLink"/>
                  <w:rFonts w:ascii="Times New Roman;sans-serif" w:hAnsi="Times New Roman;sans-serif"/>
                  <w:b w:val="false"/>
                  <w:color w:val="0000FF"/>
                  <w:sz w:val="20"/>
                  <w:u w:val="single"/>
                </w:rPr>
                <w:t>73</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196">
              <w:r>
                <w:rPr>
                  <w:rStyle w:val="InternetLink"/>
                  <w:rFonts w:ascii="Times New Roman;sans-serif" w:hAnsi="Times New Roman;sans-serif"/>
                  <w:b w:val="false"/>
                  <w:color w:val="0000FF"/>
                  <w:sz w:val="20"/>
                  <w:u w:val="single"/>
                </w:rPr>
                <w:t>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196">
              <w:r>
                <w:rPr>
                  <w:rStyle w:val="InternetLink"/>
                  <w:rFonts w:ascii="Times New Roman;sans-serif" w:hAnsi="Times New Roman;sans-serif"/>
                  <w:b w:val="false"/>
                  <w:color w:val="0000FF"/>
                  <w:sz w:val="20"/>
                  <w:u w:val="single"/>
                </w:rPr>
                <w:t>74</w:t>
              </w:r>
            </w:hyperlink>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202">
              <w:r>
                <w:rPr>
                  <w:rStyle w:val="InternetLink"/>
                  <w:rFonts w:ascii="Times New Roman;sans-serif" w:hAnsi="Times New Roman;sans-serif"/>
                  <w:b w:val="false"/>
                  <w:color w:val="0000FF"/>
                  <w:sz w:val="20"/>
                  <w:u w:val="single"/>
                </w:rPr>
                <w:t>Legal Proceedings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202">
              <w:r>
                <w:rPr>
                  <w:rStyle w:val="InternetLink"/>
                  <w:rFonts w:ascii="Times New Roman;sans-serif" w:hAnsi="Times New Roman;sans-serif"/>
                  <w:b w:val="false"/>
                  <w:color w:val="0000FF"/>
                  <w:sz w:val="20"/>
                  <w:u w:val="single"/>
                </w:rPr>
                <w:t>75</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205">
              <w:r>
                <w:rPr>
                  <w:rStyle w:val="InternetLink"/>
                  <w:rFonts w:ascii="Times New Roman;sans-serif" w:hAnsi="Times New Roman;sans-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205">
              <w:r>
                <w:rPr>
                  <w:rStyle w:val="InternetLink"/>
                  <w:rFonts w:ascii="Times New Roman;sans-serif" w:hAnsi="Times New Roman;sans-serif"/>
                  <w:b w:val="false"/>
                  <w:color w:val="0000FF"/>
                  <w:sz w:val="20"/>
                  <w:u w:val="single"/>
                </w:rPr>
                <w:t>75</w:t>
              </w:r>
            </w:hyperlink>
          </w:p>
        </w:tc>
      </w:tr>
      <w:tr>
        <w:trPr/>
        <w:tc>
          <w:tcPr>
            <w:tcW w:w="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214">
              <w:r>
                <w:rPr>
                  <w:rStyle w:val="InternetLink"/>
                  <w:rFonts w:ascii="Times New Roman;sans-serif" w:hAnsi="Times New Roman;sans-serif"/>
                  <w:b w:val="false"/>
                  <w:color w:val="0000FF"/>
                  <w:sz w:val="20"/>
                  <w:u w:val="single"/>
                </w:rPr>
                <w:t>Exhibits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214">
              <w:r>
                <w:rPr>
                  <w:rStyle w:val="InternetLink"/>
                  <w:rFonts w:ascii="Times New Roman;sans-serif" w:hAnsi="Times New Roman;sans-serif"/>
                  <w:b w:val="false"/>
                  <w:color w:val="0000FF"/>
                  <w:sz w:val="20"/>
                  <w:u w:val="single"/>
                </w:rPr>
                <w:t>75</w:t>
              </w:r>
            </w:hyperlink>
          </w:p>
        </w:tc>
      </w:tr>
      <w:tr>
        <w:trPr/>
        <w:tc>
          <w:tcPr>
            <w:tcW w:w="8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c0a4c71db82451fac5907a4d7ebac01_217">
              <w:r>
                <w:rPr>
                  <w:rStyle w:val="InternetLink"/>
                  <w:rFonts w:ascii="Times New Roman;sans-serif" w:hAnsi="Times New Roman;sans-serif"/>
                  <w:b w:val="false"/>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2c0a4c71db82451fac5907a4d7ebac01_217">
              <w:r>
                <w:rPr>
                  <w:rStyle w:val="InternetLink"/>
                  <w:rFonts w:ascii="Times New Roman;sans-serif" w:hAnsi="Times New Roman;sans-serif"/>
                  <w:b w:val="false"/>
                  <w:color w:val="0000FF"/>
                  <w:sz w:val="20"/>
                  <w:u w:val="single"/>
                </w:rPr>
                <w:t>79</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727"/>
        <w:gridCol w:w="469"/>
        <w:gridCol w:w="479"/>
        <w:gridCol w:w="121"/>
        <w:gridCol w:w="121"/>
        <w:gridCol w:w="121"/>
        <w:gridCol w:w="2641"/>
        <w:gridCol w:w="2276"/>
        <w:gridCol w:w="3250"/>
      </w:tblGrid>
      <w:tr>
        <w:trPr/>
        <w:tc>
          <w:tcPr>
            <w:tcW w:w="727"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641" w:type="dxa"/>
            <w:tcBorders/>
            <w:shd w:fill="auto" w:val="clear"/>
            <w:vAlign w:val="center"/>
          </w:tcPr>
          <w:p>
            <w:pPr>
              <w:pStyle w:val="TableContents"/>
              <w:spacing w:before="0" w:after="283"/>
              <w:rPr>
                <w:sz w:val="4"/>
                <w:szCs w:val="4"/>
              </w:rPr>
            </w:pPr>
            <w:r>
              <w:rPr>
                <w:sz w:val="4"/>
                <w:szCs w:val="4"/>
              </w:rPr>
            </w:r>
          </w:p>
        </w:tc>
        <w:tc>
          <w:tcPr>
            <w:tcW w:w="2276" w:type="dxa"/>
            <w:tcBorders/>
            <w:shd w:fill="auto" w:val="clear"/>
            <w:vAlign w:val="center"/>
          </w:tcPr>
          <w:p>
            <w:pPr>
              <w:pStyle w:val="TableContents"/>
              <w:spacing w:before="0" w:after="283"/>
              <w:rPr>
                <w:sz w:val="4"/>
                <w:szCs w:val="4"/>
              </w:rPr>
            </w:pPr>
            <w:r>
              <w:rPr>
                <w:sz w:val="4"/>
                <w:szCs w:val="4"/>
              </w:rPr>
            </w:r>
          </w:p>
        </w:tc>
        <w:tc>
          <w:tcPr>
            <w:tcW w:w="3250"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GLOSSARY</w:t>
            </w:r>
          </w:p>
        </w:tc>
      </w:tr>
      <w:tr>
        <w:trPr/>
        <w:tc>
          <w:tcPr>
            <w:tcW w:w="16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ACE</w:t>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Affordable Clean Energy</w:t>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AFSI</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financial statement income</w:t>
            </w:r>
          </w:p>
        </w:tc>
      </w:tr>
      <w:tr>
        <w:trPr/>
        <w:tc>
          <w:tcPr>
            <w:tcW w:w="1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AFUDC</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funds used during construction</w:t>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AMA</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Management Agreement</w:t>
            </w:r>
          </w:p>
        </w:tc>
      </w:tr>
      <w:tr>
        <w:trPr/>
        <w:tc>
          <w:tcPr>
            <w:tcW w:w="1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Arevon</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Arevon Energy, Inc., which was formed through the combination of Capital Dynamics, Inc.’s U.S. Clean Energy Infrastructure business unit and Arevon Asset Management</w:t>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ARO</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w:t>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ARP</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Alternative revenue program</w:t>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ASC</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1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 Purchase Agreement</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 Purchase Agreement, dated as of April 29, 2021, by and between CERC Corp. and Southern Col Midco </w:t>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AT&amp;T</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AT&amp;T Inc.</w:t>
            </w:r>
          </w:p>
        </w:tc>
      </w:tr>
      <w:tr>
        <w:trPr/>
        <w:tc>
          <w:tcPr>
            <w:tcW w:w="1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AT&amp;T Common</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AT&amp;T common stock</w:t>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Bcf</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Billion cubic feet</w:t>
            </w:r>
          </w:p>
        </w:tc>
      </w:tr>
      <w:tr>
        <w:trPr/>
        <w:tc>
          <w:tcPr>
            <w:tcW w:w="1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Board</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 of CenterPoint Energy, Inc.</w:t>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Bond Companies</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Bond Company IV and Restoration Bond Company, each a wholly-owned, bankruptcy remote entity formed solely for the purpose of purchasing and owning transition or system restoration property through the issuance of Securitization Bonds</w:t>
            </w:r>
          </w:p>
        </w:tc>
      </w:tr>
      <w:tr>
        <w:trPr/>
        <w:tc>
          <w:tcPr>
            <w:tcW w:w="1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Bond Company IV</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CenterPoint Energy Transition Bond Company IV, LLC, a wholly-owned subsidiary of Houston Electric</w:t>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BTA</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 Transfer Agreement</w:t>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CAMT</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Alternative Minimum Tax</w:t>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CARES Act</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Coronavirus Aid, Relief, and Economic Security Act </w:t>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CCR</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Coal Combustion Residuals</w:t>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CECA</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Energy Cost Adjustment</w:t>
            </w:r>
          </w:p>
        </w:tc>
      </w:tr>
      <w:tr>
        <w:trPr/>
        <w:tc>
          <w:tcPr>
            <w:tcW w:w="1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CEIP</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CenterPoint Energy Intrastate Pipelines, LLC, a wholly-owned subsidiary of CERC Corp.</w:t>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CenterPoint Energy</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CenterPoint Energy, Inc., and its subsidiaries</w:t>
            </w:r>
          </w:p>
        </w:tc>
      </w:tr>
      <w:tr>
        <w:trPr/>
        <w:tc>
          <w:tcPr>
            <w:tcW w:w="1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CERC</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CERC Corp., together with its subsidiaries</w:t>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CERC Corp.</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CenterPoint Energy Resources Corp.</w:t>
            </w:r>
          </w:p>
        </w:tc>
      </w:tr>
      <w:tr>
        <w:trPr/>
        <w:tc>
          <w:tcPr>
            <w:tcW w:w="1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CES</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CenterPoint Energy Services, Inc. (now known as Symmetry Energy Solutions, LLC), previously a wholly-owned subsidiary of CERC Corp.</w:t>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Charter Common</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Charter Communications, Inc. common stock</w:t>
            </w:r>
          </w:p>
        </w:tc>
      </w:tr>
      <w:tr>
        <w:trPr/>
        <w:tc>
          <w:tcPr>
            <w:tcW w:w="1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CIP</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Conservation Improvement Program</w:t>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CODM</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Decision Maker, who is each Registrant’s Chief Operating Executive</w:t>
            </w:r>
          </w:p>
        </w:tc>
      </w:tr>
      <w:tr>
        <w:trPr/>
        <w:tc>
          <w:tcPr>
            <w:tcW w:w="1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Common Stock</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CenterPoint Energy, Inc. common stock, par value $0.01 per share</w:t>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Compensation Committee</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 of the Board</w:t>
            </w:r>
          </w:p>
        </w:tc>
      </w:tr>
      <w:tr>
        <w:trPr/>
        <w:tc>
          <w:tcPr>
            <w:tcW w:w="1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COVID-19</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Novel coronavirus disease 2019, and any mutations or variants thereof, and related global outbreak that was subsequently declared a pandemic by the World Health Organization</w:t>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CPCN</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Public Convenience and Necessity</w:t>
            </w:r>
          </w:p>
        </w:tc>
      </w:tr>
      <w:tr>
        <w:trPr/>
        <w:tc>
          <w:tcPr>
            <w:tcW w:w="1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CPP</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Clean Power Plan</w:t>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CSIA</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Compliance and System Improvement Adjustment</w:t>
            </w:r>
          </w:p>
        </w:tc>
      </w:tr>
      <w:tr>
        <w:trPr/>
        <w:tc>
          <w:tcPr>
            <w:tcW w:w="1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DCRF</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Cost Recovery Factor</w:t>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DOC</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Department of Commerce</w:t>
            </w:r>
          </w:p>
        </w:tc>
      </w:tr>
      <w:tr>
        <w:trPr/>
        <w:tc>
          <w:tcPr>
            <w:tcW w:w="1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DRR</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Replacement Rider</w:t>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DSMA</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 Side Management Adjustment</w:t>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67" w:type="dxa"/>
            <w:gridSpan w:val="3"/>
            <w:tcBorders/>
            <w:shd w:fill="auto" w:val="clear"/>
            <w:vAlign w:val="center"/>
          </w:tcPr>
          <w:p>
            <w:pPr>
              <w:pStyle w:val="TableContents"/>
              <w:spacing w:before="0" w:after="283"/>
              <w:rPr>
                <w:sz w:val="4"/>
                <w:szCs w:val="4"/>
              </w:rPr>
            </w:pPr>
            <w:r>
              <w:rPr>
                <w:sz w:val="4"/>
                <w:szCs w:val="4"/>
              </w:rPr>
            </w:r>
          </w:p>
        </w:tc>
      </w:tr>
      <w:tr>
        <w:trPr/>
        <w:tc>
          <w:tcPr>
            <w:tcW w:w="1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ECA</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Cost Adjustment</w:t>
            </w:r>
          </w:p>
        </w:tc>
      </w:tr>
      <w:tr>
        <w:trPr/>
        <w:tc>
          <w:tcPr>
            <w:tcW w:w="1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EDIT</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deferred income taxes</w:t>
            </w:r>
          </w:p>
        </w:tc>
      </w:tr>
    </w:tbl>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729"/>
        <w:gridCol w:w="494"/>
        <w:gridCol w:w="498"/>
        <w:gridCol w:w="121"/>
        <w:gridCol w:w="121"/>
        <w:gridCol w:w="121"/>
        <w:gridCol w:w="2574"/>
        <w:gridCol w:w="2282"/>
        <w:gridCol w:w="3265"/>
      </w:tblGrid>
      <w:tr>
        <w:trPr/>
        <w:tc>
          <w:tcPr>
            <w:tcW w:w="72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574" w:type="dxa"/>
            <w:tcBorders/>
            <w:shd w:fill="auto" w:val="clear"/>
            <w:vAlign w:val="center"/>
          </w:tcPr>
          <w:p>
            <w:pPr>
              <w:pStyle w:val="TableContents"/>
              <w:spacing w:before="0" w:after="283"/>
              <w:rPr>
                <w:sz w:val="4"/>
                <w:szCs w:val="4"/>
              </w:rPr>
            </w:pPr>
            <w:r>
              <w:rPr>
                <w:sz w:val="4"/>
                <w:szCs w:val="4"/>
              </w:rPr>
            </w:r>
          </w:p>
        </w:tc>
        <w:tc>
          <w:tcPr>
            <w:tcW w:w="2282" w:type="dxa"/>
            <w:tcBorders/>
            <w:shd w:fill="auto" w:val="clear"/>
            <w:vAlign w:val="center"/>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GLOSSARY</w:t>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EECR</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Efficiency Cost Recovery</w:t>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EECRF</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Efficiency Cost Recovery Factor</w:t>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EEFC</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Efficiency Funding Component</w:t>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EEFR</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Efficiency Funding Rider</w:t>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Energy Systems Group</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Systems Group, LLC, a wholly-owned subsidiary of Vectren</w:t>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Energy Transfer</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Transfer LP, a Delaware limited partnership</w:t>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Energy Transfer Common Units</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Transfer common units, representing limited partner interests in Energy Transfer</w:t>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Energy Transfer Series G Preferred Units</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Transfer Series G Fixed-Rate Reset Cumulative Redeemable Perpetual Preferred Units, representing limited partner interests in Energy Transfer</w:t>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EPA</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Protection Agency</w:t>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ERCOT</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Electric Reliability Council of Texas</w:t>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February 2021 Winter Storm Event</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extreme and unprecedented winter weather event in February 2021 (Winter Storm Uri) that resulted in electricity generation supply shortages, including in Texas, and natural gas supply shortages and increased wholesale prices of natural gas in the United States, primarily due to prolonged freezing temperatures</w:t>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FERC</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Energy Regulatory Commission</w:t>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Fitch</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Fitch Ratings, Inc.</w:t>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Form 10-Q</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w:t>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GHG</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Greenhouse gases</w:t>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GRIP</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 Reliability Infrastructure Program</w:t>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GWh</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Gigawatt-hours</w:t>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Houston Electric</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CenterPoint Energy Houston Electric, LLC and its subsidiaries</w:t>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IAS</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Accounting Standards</w:t>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IDEM</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 Department of Environmental Management</w:t>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Indiana Electric</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of SIGECO’s electric transmission and distribution services, and includes its power generating and wholesale power operations</w:t>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Indiana Gas</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 Gas Company, Inc., formerly a wholly-owned subsidiary of Vectren, acquired by CERC on June 30, 2022</w:t>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Indiana North</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 operations of Indiana Gas</w:t>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Indiana South</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Gas operations of SIGECO</w:t>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Indiana Utilities</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combination of Indiana Electric, Indiana North and Indiana South</w:t>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Interim Condensed Financial Statements</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Unaudited condensed consolidated interim financial statements and combined notes</w:t>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IRA</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Inflation Reduction Act of 2022</w:t>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IRP</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Integrated Resource Plan</w:t>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IRS</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Revenue Service</w:t>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IURC</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 Utility Regulatory Commission</w:t>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LIBOR</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LLTF</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Lead Time Facilities which are transmission and distribution facilities that have a lead time of at least six months and would aid in restoring power to Houston Electric’s distribution customers following a widespread power outage under Public Utility Regulatory Act Section 39.918</w:t>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LPSC</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Louisiana Public Service Commission</w:t>
            </w:r>
          </w:p>
        </w:tc>
      </w:tr>
      <w:tr>
        <w:trPr/>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LTIP</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Incentive Plan</w:t>
            </w:r>
          </w:p>
        </w:tc>
      </w:tr>
      <w:tr>
        <w:trPr/>
        <w:tc>
          <w:tcPr>
            <w:tcW w:w="1721"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121" w:type="dxa"/>
            <w:gridSpan w:val="3"/>
            <w:tcBorders/>
            <w:shd w:fill="auto" w:val="clear"/>
            <w:vAlign w:val="center"/>
          </w:tcPr>
          <w:p>
            <w:pPr>
              <w:pStyle w:val="TableContents"/>
              <w:spacing w:before="0" w:after="283"/>
              <w:rPr>
                <w:sz w:val="4"/>
                <w:szCs w:val="4"/>
              </w:rPr>
            </w:pPr>
            <w:r>
              <w:rPr>
                <w:sz w:val="4"/>
                <w:szCs w:val="4"/>
              </w:rPr>
            </w:r>
          </w:p>
        </w:tc>
      </w:tr>
      <w:tr>
        <w:trPr/>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M&amp;DOT</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Mortgage and Deed of Trust, dated November 1, 1944, between Houston Lighting and Power Company and Chase Bank of Texas, National Association (formerly, South Texas Commercial National Bank of Houston), as Trustee, as amended and supplemented</w:t>
            </w:r>
          </w:p>
        </w:tc>
      </w:tr>
    </w:tbl>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934"/>
        <w:gridCol w:w="670"/>
        <w:gridCol w:w="678"/>
        <w:gridCol w:w="121"/>
        <w:gridCol w:w="121"/>
        <w:gridCol w:w="121"/>
        <w:gridCol w:w="2336"/>
        <w:gridCol w:w="2155"/>
        <w:gridCol w:w="3069"/>
      </w:tblGrid>
      <w:tr>
        <w:trPr/>
        <w:tc>
          <w:tcPr>
            <w:tcW w:w="934"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36" w:type="dxa"/>
            <w:tcBorders/>
            <w:shd w:fill="auto" w:val="clear"/>
            <w:vAlign w:val="center"/>
          </w:tcPr>
          <w:p>
            <w:pPr>
              <w:pStyle w:val="TableContents"/>
              <w:spacing w:before="0" w:after="283"/>
              <w:rPr>
                <w:sz w:val="4"/>
                <w:szCs w:val="4"/>
              </w:rPr>
            </w:pPr>
            <w:r>
              <w:rPr>
                <w:sz w:val="4"/>
                <w:szCs w:val="4"/>
              </w:rPr>
            </w:r>
          </w:p>
        </w:tc>
        <w:tc>
          <w:tcPr>
            <w:tcW w:w="2155" w:type="dxa"/>
            <w:tcBorders/>
            <w:shd w:fill="auto" w:val="clear"/>
            <w:vAlign w:val="center"/>
          </w:tcPr>
          <w:p>
            <w:pPr>
              <w:pStyle w:val="TableContents"/>
              <w:spacing w:before="0" w:after="283"/>
              <w:rPr>
                <w:sz w:val="4"/>
                <w:szCs w:val="4"/>
              </w:rPr>
            </w:pPr>
            <w:r>
              <w:rPr>
                <w:sz w:val="4"/>
                <w:szCs w:val="4"/>
              </w:rPr>
            </w:r>
          </w:p>
        </w:tc>
        <w:tc>
          <w:tcPr>
            <w:tcW w:w="3069"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GLOSSARY</w:t>
            </w:r>
          </w:p>
        </w:tc>
      </w:tr>
      <w:tr>
        <w:trPr/>
        <w:tc>
          <w:tcPr>
            <w:tcW w:w="2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Merger</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merger of Merger Sub with and into Vectren on the terms and subject to the conditions set forth in the Merger Agreement, with Vectren continuing as the surviving corporation and as a wholly-owned subsidiary of CenterPoint Energy, Inc.</w:t>
            </w:r>
          </w:p>
        </w:tc>
      </w:tr>
      <w:tr>
        <w:trPr/>
        <w:tc>
          <w:tcPr>
            <w:tcW w:w="2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Merger Agreement</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Agreement and Plan of Merger, dated as of April 21, 2018, among CenterPoint Energy, Vectren and Merger Sub</w:t>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Merger Sub</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Pacer Merger Sub, Inc., an Indiana corporation and wholly-owned subsidiary of CenterPoint Energy </w:t>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MGP</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Manufactured gas plant</w:t>
            </w:r>
          </w:p>
        </w:tc>
      </w:tr>
      <w:tr>
        <w:trPr/>
        <w:tc>
          <w:tcPr>
            <w:tcW w:w="2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MISO</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Midcontinent Independent System Operator</w:t>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Moody’s</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Moody’s Investors Service, Inc.</w:t>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MPUC</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 Public Utilities Commission</w:t>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MW</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Megawatt</w:t>
            </w:r>
          </w:p>
        </w:tc>
      </w:tr>
      <w:tr>
        <w:trPr/>
        <w:tc>
          <w:tcPr>
            <w:tcW w:w="2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NERC</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American Electric Reliability Corporation</w:t>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NOx</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Oxides of nitrogen</w:t>
            </w:r>
          </w:p>
        </w:tc>
      </w:tr>
      <w:tr>
        <w:trPr/>
        <w:tc>
          <w:tcPr>
            <w:tcW w:w="2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NRG</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NRG Energy, Inc.</w:t>
            </w:r>
          </w:p>
        </w:tc>
      </w:tr>
      <w:tr>
        <w:trPr/>
        <w:tc>
          <w:tcPr>
            <w:tcW w:w="2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Oriden</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Oriden LLC</w:t>
            </w:r>
          </w:p>
        </w:tc>
      </w:tr>
      <w:tr>
        <w:trPr/>
        <w:tc>
          <w:tcPr>
            <w:tcW w:w="2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Origis</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Origis Energy USA Inc. </w:t>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OUCC</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 Office of Utility Consumer Counselor</w:t>
            </w:r>
          </w:p>
        </w:tc>
      </w:tr>
      <w:tr>
        <w:trPr/>
        <w:tc>
          <w:tcPr>
            <w:tcW w:w="2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PFD</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for decision</w:t>
            </w:r>
          </w:p>
        </w:tc>
      </w:tr>
      <w:tr>
        <w:trPr/>
        <w:tc>
          <w:tcPr>
            <w:tcW w:w="2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Posey Solar</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Posey Solar, LLC, a special purpose entity</w:t>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PPA</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Purchase Agreement</w:t>
            </w:r>
          </w:p>
        </w:tc>
      </w:tr>
      <w:tr>
        <w:trPr/>
        <w:tc>
          <w:tcPr>
            <w:tcW w:w="2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PRPs</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Potentially responsible parties</w:t>
            </w:r>
          </w:p>
        </w:tc>
      </w:tr>
      <w:tr>
        <w:trPr/>
        <w:tc>
          <w:tcPr>
            <w:tcW w:w="2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PTCs</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 Credits</w:t>
            </w:r>
          </w:p>
        </w:tc>
      </w:tr>
      <w:tr>
        <w:trPr/>
        <w:tc>
          <w:tcPr>
            <w:tcW w:w="2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PUCO</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Utilities Commission of Ohio</w:t>
            </w:r>
          </w:p>
        </w:tc>
      </w:tr>
      <w:tr>
        <w:trPr/>
        <w:tc>
          <w:tcPr>
            <w:tcW w:w="2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PUCT</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Utility Commission of Texas</w:t>
            </w:r>
          </w:p>
        </w:tc>
      </w:tr>
      <w:tr>
        <w:trPr/>
        <w:tc>
          <w:tcPr>
            <w:tcW w:w="2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Railroad Commission</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Railroad Commission of Texas</w:t>
            </w:r>
          </w:p>
        </w:tc>
      </w:tr>
      <w:tr>
        <w:trPr/>
        <w:tc>
          <w:tcPr>
            <w:tcW w:w="2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RCRA</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Resource Conservation and Recovery Act of 1976</w:t>
            </w:r>
          </w:p>
        </w:tc>
      </w:tr>
      <w:tr>
        <w:trPr/>
        <w:tc>
          <w:tcPr>
            <w:tcW w:w="2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Registrants</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CenterPoint Energy, Houston Electric and CERC, collectively</w:t>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REP</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electric provider</w:t>
            </w:r>
          </w:p>
        </w:tc>
      </w:tr>
      <w:tr>
        <w:trPr/>
        <w:tc>
          <w:tcPr>
            <w:tcW w:w="2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Restoration Bond Company</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CenterPoint Energy Restoration Bond Company, LLC, a wholly-owned subsidiary of Houston Electric</w:t>
            </w:r>
          </w:p>
        </w:tc>
      </w:tr>
      <w:tr>
        <w:trPr/>
        <w:tc>
          <w:tcPr>
            <w:tcW w:w="2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Restructuring</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CERC Corp.’s common control acquisition of Indiana Gas and VEDO from VUH on June 30, 2022</w:t>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ROE</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on equity</w:t>
            </w:r>
          </w:p>
        </w:tc>
      </w:tr>
      <w:tr>
        <w:trPr/>
        <w:tc>
          <w:tcPr>
            <w:tcW w:w="2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ROU</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w:t>
            </w:r>
          </w:p>
        </w:tc>
      </w:tr>
      <w:tr>
        <w:trPr/>
        <w:tc>
          <w:tcPr>
            <w:tcW w:w="2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RRA</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Regulation Adjustment</w:t>
            </w:r>
          </w:p>
        </w:tc>
      </w:tr>
      <w:tr>
        <w:trPr/>
        <w:tc>
          <w:tcPr>
            <w:tcW w:w="2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RSP</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Stabilization Plan</w:t>
            </w:r>
          </w:p>
        </w:tc>
      </w:tr>
      <w:tr>
        <w:trPr/>
        <w:tc>
          <w:tcPr>
            <w:tcW w:w="2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S&amp;P</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 Global Ratings</w:t>
            </w:r>
          </w:p>
        </w:tc>
      </w:tr>
      <w:tr>
        <w:trPr/>
        <w:tc>
          <w:tcPr>
            <w:tcW w:w="2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Scope 1 emissions</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source of emissions from a company’s operations</w:t>
            </w:r>
          </w:p>
        </w:tc>
      </w:tr>
      <w:tr>
        <w:trPr/>
        <w:tc>
          <w:tcPr>
            <w:tcW w:w="2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Scope 2 emissions</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Indirect source of emissions from a company’s energy usage</w:t>
            </w:r>
          </w:p>
        </w:tc>
      </w:tr>
      <w:tr>
        <w:trPr/>
        <w:tc>
          <w:tcPr>
            <w:tcW w:w="2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Scope 3 emissions</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Indirect source of emissions from a company’s end-users</w:t>
            </w:r>
          </w:p>
        </w:tc>
      </w:tr>
      <w:tr>
        <w:trPr/>
        <w:tc>
          <w:tcPr>
            <w:tcW w:w="2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SEC</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Securitization Bonds</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and system restoration bonds</w:t>
            </w:r>
          </w:p>
        </w:tc>
      </w:tr>
      <w:tr>
        <w:trPr/>
        <w:tc>
          <w:tcPr>
            <w:tcW w:w="2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Securitization Subsidiary</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SIGECO Securitization I, LLC, a direct, wholly-owned subsidiary of SIGECO</w:t>
            </w:r>
          </w:p>
        </w:tc>
      </w:tr>
      <w:tr>
        <w:trPr/>
        <w:tc>
          <w:tcPr>
            <w:tcW w:w="2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Securitization Subsidiary Securitization Bonds        </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Securitization Subsidiary’s Series 2023-A Senior Secured Securitization Bonds </w:t>
            </w:r>
          </w:p>
        </w:tc>
      </w:tr>
      <w:tr>
        <w:trPr/>
        <w:tc>
          <w:tcPr>
            <w:tcW w:w="2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Series A Preferred Stock</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CenterPoint Energy’s Series A Fixed-to-Floating Rate Cumulative Redeemable Perpetual Preferred Stock, par value $0.01 per share, with a liquidation preference of $1,000 per share</w:t>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r>
        <w:trPr/>
        <w:tc>
          <w:tcPr>
            <w:tcW w:w="228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7560"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830"/>
        <w:gridCol w:w="471"/>
        <w:gridCol w:w="476"/>
        <w:gridCol w:w="121"/>
        <w:gridCol w:w="121"/>
        <w:gridCol w:w="121"/>
        <w:gridCol w:w="2377"/>
        <w:gridCol w:w="2347"/>
        <w:gridCol w:w="3341"/>
      </w:tblGrid>
      <w:tr>
        <w:trPr/>
        <w:tc>
          <w:tcPr>
            <w:tcW w:w="83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77" w:type="dxa"/>
            <w:tcBorders/>
            <w:shd w:fill="auto" w:val="clear"/>
            <w:vAlign w:val="center"/>
          </w:tcPr>
          <w:p>
            <w:pPr>
              <w:pStyle w:val="TableContents"/>
              <w:spacing w:before="0" w:after="283"/>
              <w:rPr>
                <w:sz w:val="4"/>
                <w:szCs w:val="4"/>
              </w:rPr>
            </w:pPr>
            <w:r>
              <w:rPr>
                <w:sz w:val="4"/>
                <w:szCs w:val="4"/>
              </w:rPr>
            </w:r>
          </w:p>
        </w:tc>
        <w:tc>
          <w:tcPr>
            <w:tcW w:w="2347" w:type="dxa"/>
            <w:tcBorders/>
            <w:shd w:fill="auto" w:val="clear"/>
            <w:vAlign w:val="center"/>
          </w:tcPr>
          <w:p>
            <w:pPr>
              <w:pStyle w:val="TableContents"/>
              <w:spacing w:before="0" w:after="283"/>
              <w:rPr>
                <w:sz w:val="4"/>
                <w:szCs w:val="4"/>
              </w:rPr>
            </w:pPr>
            <w:r>
              <w:rPr>
                <w:sz w:val="4"/>
                <w:szCs w:val="4"/>
              </w:rPr>
            </w:r>
          </w:p>
        </w:tc>
        <w:tc>
          <w:tcPr>
            <w:tcW w:w="3341"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GLOSSARY</w:t>
            </w:r>
          </w:p>
        </w:tc>
      </w:tr>
      <w:tr>
        <w:trPr/>
        <w:tc>
          <w:tcPr>
            <w:tcW w:w="17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SIGECO</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Southern Indiana Gas and Electric Company, a wholly-owned subsidiary of Vectren</w:t>
            </w:r>
          </w:p>
        </w:tc>
      </w:tr>
      <w:tr>
        <w:trPr/>
        <w:tc>
          <w:tcPr>
            <w:tcW w:w="1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SOFR</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r>
      <w:tr>
        <w:trPr/>
        <w:tc>
          <w:tcPr>
            <w:tcW w:w="17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Southern Col Midco</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Southern Col Midco, LLC, a Delaware limited liability company and an affiliate of Summit Utilities, Inc.</w:t>
            </w:r>
          </w:p>
        </w:tc>
      </w:tr>
      <w:tr>
        <w:trPr/>
        <w:tc>
          <w:tcPr>
            <w:tcW w:w="1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SRC</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Reconciliation Component</w:t>
            </w:r>
          </w:p>
        </w:tc>
      </w:tr>
      <w:tr>
        <w:trPr/>
        <w:tc>
          <w:tcPr>
            <w:tcW w:w="177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065" w:type="dxa"/>
            <w:gridSpan w:val="3"/>
            <w:tcBorders/>
            <w:shd w:fill="auto" w:val="clear"/>
            <w:vAlign w:val="center"/>
          </w:tcPr>
          <w:p>
            <w:pPr>
              <w:pStyle w:val="TableContents"/>
              <w:spacing w:before="0" w:after="283"/>
              <w:rPr>
                <w:sz w:val="4"/>
                <w:szCs w:val="4"/>
              </w:rPr>
            </w:pPr>
            <w:r>
              <w:rPr>
                <w:sz w:val="4"/>
                <w:szCs w:val="4"/>
              </w:rPr>
            </w:r>
          </w:p>
        </w:tc>
      </w:tr>
      <w:tr>
        <w:trPr/>
        <w:tc>
          <w:tcPr>
            <w:tcW w:w="177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065" w:type="dxa"/>
            <w:gridSpan w:val="3"/>
            <w:tcBorders/>
            <w:shd w:fill="auto" w:val="clear"/>
            <w:vAlign w:val="center"/>
          </w:tcPr>
          <w:p>
            <w:pPr>
              <w:pStyle w:val="TableContents"/>
              <w:spacing w:before="0" w:after="283"/>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TBD</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be determined</w:t>
            </w:r>
          </w:p>
        </w:tc>
      </w:tr>
      <w:tr>
        <w:trPr/>
        <w:tc>
          <w:tcPr>
            <w:tcW w:w="177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065" w:type="dxa"/>
            <w:gridSpan w:val="3"/>
            <w:tcBorders/>
            <w:shd w:fill="auto" w:val="clear"/>
            <w:vAlign w:val="center"/>
          </w:tcPr>
          <w:p>
            <w:pPr>
              <w:pStyle w:val="TableContents"/>
              <w:spacing w:before="0" w:after="283"/>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TCJA</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reform legislation informally called the Tax Cuts and Jobs Act of 2017</w:t>
            </w:r>
          </w:p>
        </w:tc>
      </w:tr>
      <w:tr>
        <w:trPr/>
        <w:tc>
          <w:tcPr>
            <w:tcW w:w="17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TCOS</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Cost of Service</w:t>
            </w:r>
          </w:p>
        </w:tc>
      </w:tr>
      <w:tr>
        <w:trPr/>
        <w:tc>
          <w:tcPr>
            <w:tcW w:w="1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TCRF</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Cost Recovery Factor</w:t>
            </w:r>
          </w:p>
        </w:tc>
      </w:tr>
      <w:tr>
        <w:trPr/>
        <w:tc>
          <w:tcPr>
            <w:tcW w:w="17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TDSIC</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Distribution and Storage System Improvement Charge</w:t>
            </w:r>
          </w:p>
        </w:tc>
      </w:tr>
      <w:tr>
        <w:trPr/>
        <w:tc>
          <w:tcPr>
            <w:tcW w:w="1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TDU</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and distribution utility</w:t>
            </w:r>
          </w:p>
        </w:tc>
      </w:tr>
      <w:tr>
        <w:trPr/>
        <w:tc>
          <w:tcPr>
            <w:tcW w:w="17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TEEEF</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leased or costs incurred as “temporary emergency electric energy facilities” under the Public Utility Regulatory Act Section 39.918, also referred to as mobile generation</w:t>
            </w:r>
          </w:p>
        </w:tc>
      </w:tr>
      <w:tr>
        <w:trPr/>
        <w:tc>
          <w:tcPr>
            <w:tcW w:w="177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065" w:type="dxa"/>
            <w:gridSpan w:val="3"/>
            <w:tcBorders/>
            <w:shd w:fill="auto" w:val="clear"/>
            <w:vAlign w:val="center"/>
          </w:tcPr>
          <w:p>
            <w:pPr>
              <w:pStyle w:val="TableContents"/>
              <w:spacing w:before="0" w:after="283"/>
              <w:rPr>
                <w:sz w:val="4"/>
                <w:szCs w:val="4"/>
              </w:rPr>
            </w:pPr>
            <w:r>
              <w:rPr>
                <w:sz w:val="4"/>
                <w:szCs w:val="4"/>
              </w:rPr>
            </w:r>
          </w:p>
        </w:tc>
      </w:tr>
      <w:tr>
        <w:trPr/>
        <w:tc>
          <w:tcPr>
            <w:tcW w:w="177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065" w:type="dxa"/>
            <w:gridSpan w:val="3"/>
            <w:tcBorders/>
            <w:shd w:fill="auto" w:val="clear"/>
            <w:vAlign w:val="center"/>
          </w:tcPr>
          <w:p>
            <w:pPr>
              <w:pStyle w:val="TableContents"/>
              <w:spacing w:before="0" w:after="283"/>
              <w:rPr>
                <w:sz w:val="4"/>
                <w:szCs w:val="4"/>
              </w:rPr>
            </w:pPr>
            <w:r>
              <w:rPr>
                <w:sz w:val="4"/>
                <w:szCs w:val="4"/>
              </w:rPr>
            </w:r>
          </w:p>
        </w:tc>
      </w:tr>
      <w:tr>
        <w:trPr/>
        <w:tc>
          <w:tcPr>
            <w:tcW w:w="177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065" w:type="dxa"/>
            <w:gridSpan w:val="3"/>
            <w:tcBorders/>
            <w:shd w:fill="auto" w:val="clear"/>
            <w:vAlign w:val="center"/>
          </w:tcPr>
          <w:p>
            <w:pPr>
              <w:pStyle w:val="TableContents"/>
              <w:spacing w:before="0" w:after="283"/>
              <w:rPr>
                <w:sz w:val="4"/>
                <w:szCs w:val="4"/>
              </w:rPr>
            </w:pPr>
            <w:r>
              <w:rPr>
                <w:sz w:val="4"/>
                <w:szCs w:val="4"/>
              </w:rPr>
            </w:r>
          </w:p>
        </w:tc>
      </w:tr>
      <w:tr>
        <w:trPr/>
        <w:tc>
          <w:tcPr>
            <w:tcW w:w="177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065" w:type="dxa"/>
            <w:gridSpan w:val="3"/>
            <w:tcBorders/>
            <w:shd w:fill="auto" w:val="clear"/>
            <w:vAlign w:val="center"/>
          </w:tcPr>
          <w:p>
            <w:pPr>
              <w:pStyle w:val="TableContents"/>
              <w:spacing w:before="0" w:after="283"/>
              <w:rPr>
                <w:sz w:val="4"/>
                <w:szCs w:val="4"/>
              </w:rPr>
            </w:pPr>
            <w:r>
              <w:rPr>
                <w:sz w:val="4"/>
                <w:szCs w:val="4"/>
              </w:rPr>
            </w:r>
          </w:p>
        </w:tc>
      </w:tr>
      <w:tr>
        <w:trPr/>
        <w:tc>
          <w:tcPr>
            <w:tcW w:w="177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065" w:type="dxa"/>
            <w:gridSpan w:val="3"/>
            <w:tcBorders/>
            <w:shd w:fill="auto" w:val="clear"/>
            <w:vAlign w:val="center"/>
          </w:tcPr>
          <w:p>
            <w:pPr>
              <w:pStyle w:val="TableContents"/>
              <w:spacing w:before="0" w:after="283"/>
              <w:rPr>
                <w:sz w:val="4"/>
                <w:szCs w:val="4"/>
              </w:rPr>
            </w:pPr>
            <w:r>
              <w:rPr>
                <w:sz w:val="4"/>
                <w:szCs w:val="4"/>
              </w:rPr>
            </w:r>
          </w:p>
        </w:tc>
      </w:tr>
      <w:tr>
        <w:trPr/>
        <w:tc>
          <w:tcPr>
            <w:tcW w:w="177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065" w:type="dxa"/>
            <w:gridSpan w:val="3"/>
            <w:tcBorders/>
            <w:shd w:fill="auto" w:val="clear"/>
            <w:vAlign w:val="center"/>
          </w:tcPr>
          <w:p>
            <w:pPr>
              <w:pStyle w:val="TableContents"/>
              <w:spacing w:before="0" w:after="283"/>
              <w:rPr>
                <w:sz w:val="4"/>
                <w:szCs w:val="4"/>
              </w:rPr>
            </w:pPr>
            <w:r>
              <w:rPr>
                <w:sz w:val="4"/>
                <w:szCs w:val="4"/>
              </w:rPr>
            </w:r>
          </w:p>
        </w:tc>
      </w:tr>
      <w:tr>
        <w:trPr/>
        <w:tc>
          <w:tcPr>
            <w:tcW w:w="177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065" w:type="dxa"/>
            <w:gridSpan w:val="3"/>
            <w:tcBorders/>
            <w:shd w:fill="auto" w:val="clear"/>
            <w:vAlign w:val="center"/>
          </w:tcPr>
          <w:p>
            <w:pPr>
              <w:pStyle w:val="TableContents"/>
              <w:spacing w:before="0" w:after="283"/>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Transition Services Agreement</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Services Agreement by and between CenterPoint Energy Service Company, LLC and Southern Col Midco</w:t>
            </w:r>
          </w:p>
        </w:tc>
      </w:tr>
      <w:tr>
        <w:trPr/>
        <w:tc>
          <w:tcPr>
            <w:tcW w:w="17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Vectren</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Vectren, LLC, which converted its corporate structure from Vectren Corporation to a limited liability company on June 30, 2022, a wholly-owned subsidiary of CenterPoint Energy as of February 1, 2019</w:t>
            </w:r>
          </w:p>
        </w:tc>
      </w:tr>
      <w:tr>
        <w:trPr/>
        <w:tc>
          <w:tcPr>
            <w:tcW w:w="1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VEDO</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Vectren Energy Delivery of Ohio, LLC, which converted its corporate structure from Vectren Energy Delivery of Ohio, Inc. to a limited liability company on June 13, 2022, formerly a wholly-owned subsidiary of Vectren, acquired by CERC on June 30, 2022</w:t>
            </w:r>
          </w:p>
        </w:tc>
      </w:tr>
      <w:tr>
        <w:trPr/>
        <w:tc>
          <w:tcPr>
            <w:tcW w:w="17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VIE</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interest entity</w:t>
            </w:r>
          </w:p>
        </w:tc>
      </w:tr>
      <w:tr>
        <w:trPr/>
        <w:tc>
          <w:tcPr>
            <w:tcW w:w="177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065" w:type="dxa"/>
            <w:gridSpan w:val="3"/>
            <w:tcBorders/>
            <w:shd w:fill="auto" w:val="clear"/>
            <w:vAlign w:val="center"/>
          </w:tcPr>
          <w:p>
            <w:pPr>
              <w:pStyle w:val="TableContents"/>
              <w:spacing w:before="0" w:after="283"/>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Vistra Energy Corp.</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Texas-based energy company focused on the competitive energy and power generation markets, whose major subsidiaries include Luminant and TXU Energy</w:t>
            </w:r>
          </w:p>
        </w:tc>
      </w:tr>
      <w:tr>
        <w:trPr/>
        <w:tc>
          <w:tcPr>
            <w:tcW w:w="17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VRP</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Voluntary Remediation Program</w:t>
            </w:r>
          </w:p>
        </w:tc>
      </w:tr>
      <w:tr>
        <w:trPr/>
        <w:tc>
          <w:tcPr>
            <w:tcW w:w="1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VUH</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Vectren Utility Holdings, LLC, which converted its corporate structure from Vectren Utility Holdings, Inc. to a limited liability company on June 30, 2022, a wholly-owned subsidiary of Vectren</w:t>
            </w:r>
          </w:p>
        </w:tc>
      </w:tr>
      <w:tr>
        <w:trPr/>
        <w:tc>
          <w:tcPr>
            <w:tcW w:w="177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8065" w:type="dxa"/>
            <w:gridSpan w:val="3"/>
            <w:tcBorders/>
            <w:shd w:fill="auto" w:val="clear"/>
            <w:vAlign w:val="center"/>
          </w:tcPr>
          <w:p>
            <w:pPr>
              <w:pStyle w:val="TableContents"/>
              <w:spacing w:before="0" w:after="283"/>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WBD Common</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Warner Bros. Discovery, Inc. Series A common stock</w:t>
            </w:r>
          </w:p>
        </w:tc>
      </w:tr>
      <w:tr>
        <w:trPr/>
        <w:tc>
          <w:tcPr>
            <w:tcW w:w="1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Winter Storm Elliott</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December 21, to 26, 2022, a historic extratropical cyclone created winter storm conditions, including blizzards, high winds, snowfall and record cold temperatures across the majority of the United States and parts of Canada </w:t>
            </w:r>
          </w:p>
        </w:tc>
      </w:tr>
      <w:tr>
        <w:trPr/>
        <w:tc>
          <w:tcPr>
            <w:tcW w:w="17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ZENS</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 Zero-Premium Exchangeable Subordinated Notes due 2029</w:t>
            </w:r>
          </w:p>
        </w:tc>
      </w:tr>
      <w:tr>
        <w:trPr/>
        <w:tc>
          <w:tcPr>
            <w:tcW w:w="1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ZENS-Related Securities</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consisted of AT&amp;T Common, Charter Common and WBD Common. As of March 31, 2022, consisted of AT&amp;T Common and Charter Common. </w:t>
            </w:r>
          </w:p>
        </w:tc>
      </w:tr>
      <w:tr>
        <w:trPr/>
        <w:tc>
          <w:tcPr>
            <w:tcW w:w="17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2022 Form 10-K</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Report on Form 10-K for the fiscal year ended December 31, 2022 as filed with the SEC on February 17, 2023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INFORMATION</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Form 10-Q, unless context requires otherwise, the terms “our,” “we” and “us” are used as abbreviated references to CenterPoint Energy, Inc. together with its consolidated subsidiaries, including Houston Electric, CERC and SIGECO.</w: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The following are some of the factors that could cause actual results to differ from those expressed or implied by the Registrants’ forward-looking statements and apply to all Registrants unless otherwise indicated:</w:t>
      </w:r>
      <w:r>
        <w:rPr>
          <w:color w:val="000000"/>
        </w:rPr>
        <w:t xml:space="preserve"> </w:t>
      </w:r>
    </w:p>
    <w:p>
      <w:pPr>
        <w:pStyle w:val="TextBody"/>
        <w:spacing w:before="0" w:after="0"/>
        <w:ind w:left="0" w:right="0" w:firstLine="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CenterPoint Energy’s business strategies and strategic initiatives, restructurings, including the Restructuring, joint ventures and acquisitions or dispositions of assets or businesses, including the completed sale of our Natural Gas businesses in Arkansas and Oklahoma and our exit of the midstream sector, which we cannot assure will have the anticipated benefits to us;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industrial, commercial and residential growth in our service territories and changes in market demand, including the demand for our non-utility products and services and effects of energy efficiency measures and demographic patterns;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fund and invest planned capital and the timely recovery of our investments, including those related to Indiana Electric’s generation transition plan as part of its IRPs;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successfully construct, operate, repair and maintain electric generating facilities, natural gas facilities, TEEEF and electric transmission facilities, including complying with applicable environmental standards and the implementation of a well-balanced energy and resource mix, as appropriate;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timely and appropriate rate actions that allow recovery of costs and a reasonable return on investment, including the timing and amount of recovery of Houston Electric’s TEEEF leases;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economic conditions in regional and national markets, including inflation, interest rates and instability of banking institutions, and their effect on sales, prices and costs;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weather variations and other natural phenomena, including the impact of severe weather events on operations, capital and legislation such as seen in connection with the February 2021 Winter Storm Event;</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increases in commodity prices;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volatility in the markets for natural gas as a result of, among other factors, armed conflicts, including the conflict in Ukraine and the related sanctions on certain Russian entities;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rates of inflation;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continued disruptions to the global supply chain, including tariffs and other legislation impacting the supply chain, that could prevent CenterPoint Energy from securing the resources needed to, among other things, fully execute on its 10-year capital plan or achieve its net zero and carbon emissions reduction goals;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non-payment for our services due to financial distress of our customers and the ability of REPs to satisfy their obligations to CenterPoint Energy and Houston Electric, including the negative impact on such ability related to adverse economic conditions and severe weather events;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public health threats, such as COVID-19, and their effect on our operations, business and financial condition, our industries and the communities we serve, U.S. and world financial markets and supply chains, potential regulatory actions and changes in customer and stakeholder behavior relating thereto;</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state and federal legislative and regulatory actions or developments affecting various aspects of our businesses, including, among others, energy deregulation or re-regulation, pipeline integrity and safety and changes in regulation and legislation pertaining to trade, health care, finance and actions regarding the rates charged by our regulated businesses;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direct or indirect effects on our facilities, resources, operations and financial condition resulting from terrorism, cyber attacks or intrusions, data security breaches or other attempts to disrupt our businesses or the businesses of third parties, or other catastrophic events such as fires, ice, earthquakes, explosions, leaks, floods, droughts, hurricanes, tornadoes and other severe weather events, pandemic health events or other occurrences;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tax legislation, including the effects of the CARES Act and the IRA (which includes but is not limited to any potential changes to tax rates, CAMT imposed, tax credits and/or interest deductibility), as well as any changes in tax laws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current or future administrations, and uncertainties involving state commissions’ and local municipalities’ regulatory requirements and determinations regarding the treatment of EDIT and our rates;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mitigate weather impacts through normalization or rate mechanisms, and the effectiveness of such mechanisms;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actions by credit rating agencies, including any potential downgrades to credit ratings;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matters affecting regulatory approval, legislative actions, construction, implementation of necessary technology or other issues with respect to major capital projects that result in delays or cancellation or in cost overruns that cannot be recouped in rates;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local, state and federal legislative and regulatory actions or developments relating to the environment, including, among others, those related to global climate change, air emissions, carbon, waste water discharges and the handling and disposal of CCR that could impact operations, cost recovery of generation plant costs and related assets, and CenterPoint Energy’s net zero and carbon emissions reduction goals;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unplanned facility outages or other closures;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sufficiency of our insurance coverage, including availability, cost, coverage and terms and ability to recover claims;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and prices of raw materials and services and changes in labor for current and future construction projects and operations and maintenance costs, including our ability to control such costs;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impacts from CenterPoint Energy’s pension and postretirement benefit plans, such as the investment performance and increases to net periodic costs as a result of plan settlements and changes in discount rates;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interest rates and their impact on costs of borrowing and the valuation of CenterPoint Energy’s pension benefit obligation;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commercial bank and financial market conditions, including the current disruptions in the banking industry, our access to capital, the cost of such capital, impacts on our vendors, customers and suppliers, and the results of our financing and refinancing efforts, including availability of funds in the debt capital markets;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inability of various counterparties to meet their obligations to us;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non-payment for our services due to financial distress of our customers;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extent and effectiveness of our risk management activities;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timely and appropriate regulatory actions, which include actions allowing securitization, for any hurricanes or other severe weather events, or natural disasters or other recovery of costs, including stranded coal generation asset costs;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acquisition and merger or divestiture activities involving us or our industry, including the ability to successfully complete merger, acquisition and divestiture plans;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recruit, effectively transition and retain management and key employees and maintain good labor relations;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technology, particularly with respect to efficient battery storage or the emergence or growth of new, developing or alternative sources of generation, and their adoption by consumers;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climate change and alternate energy sources on the demand for natural gas and electricity generated or transmitted by us;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timing and outcome of any audits, disputes and other proceedings related to taxes;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recording of impairment charges;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political and economic developments, including energy and environmental policies under the current administration;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transition to a replacement for the LIBOR benchmark interest rate;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CenterPoint Energy’s ability to execute on its strategy, initiatives, targets and goals, including its net zero and carbon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emissions reduction goals and its operations and maintenance expenditure goals;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outcome of litigation, including litigation related to the February 2021 Winter Storm Event;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development of new opportunities and the performance of projects undertaken by Energy Systems Group, which are subject to, among other factors, the level of success in bidding contracts and cancellation and/or reductions in the scope of projects by customers, and obligations related to warranties, guarantees and other contractual and legal obligations;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changes in and application of accounting standards and pronouncements;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other factors discussed in “Risk Factors” in Item 1A of Part I of the Registrants’ combined 2022 Form 10-K, which are incorporated herein by reference, and in other reports that the Registrants file from time to time with the SEC.</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place undue reliance on forward-looking statements. Each forward-looking statement speaks only as of the date of the particular statement, and the Registrants undertake no obligation to update or revise any forward-looking statements. Investors should note that the Registrants announce material financial and other information in SEC filings, press releases and public conference calls. Based on guidance from the SEC, the Registrants may use the Investors section of CenterPoint Energy’s website (www.centerpointenergy.com)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vii</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234" w:type="dxa"/>
        <w:jc w:val="left"/>
        <w:tblInd w:w="0" w:type="dxa"/>
        <w:tblCellMar>
          <w:top w:w="28" w:type="dxa"/>
          <w:left w:w="28" w:type="dxa"/>
          <w:bottom w:w="28" w:type="dxa"/>
          <w:right w:w="28" w:type="dxa"/>
        </w:tblCellMar>
      </w:tblPr>
      <w:tblGrid>
        <w:gridCol w:w="1645"/>
        <w:gridCol w:w="1445"/>
        <w:gridCol w:w="1455"/>
        <w:gridCol w:w="109"/>
        <w:gridCol w:w="109"/>
        <w:gridCol w:w="134"/>
        <w:gridCol w:w="134"/>
        <w:gridCol w:w="134"/>
        <w:gridCol w:w="134"/>
        <w:gridCol w:w="309"/>
        <w:gridCol w:w="880"/>
        <w:gridCol w:w="171"/>
        <w:gridCol w:w="139"/>
        <w:gridCol w:w="139"/>
        <w:gridCol w:w="139"/>
        <w:gridCol w:w="250"/>
        <w:gridCol w:w="711"/>
        <w:gridCol w:w="197"/>
      </w:tblGrid>
      <w:tr>
        <w:trPr/>
        <w:tc>
          <w:tcPr>
            <w:tcW w:w="1645"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6"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575" w:type="dxa"/>
            <w:gridSpan w:val="6"/>
            <w:tcBorders/>
            <w:shd w:fill="auto" w:val="clear"/>
          </w:tcPr>
          <w:p>
            <w:pPr>
              <w:pStyle w:val="TableContents"/>
              <w:spacing w:before="0" w:after="283"/>
              <w:rPr>
                <w:sz w:val="4"/>
                <w:szCs w:val="4"/>
              </w:rPr>
            </w:pPr>
            <w:r>
              <w:rPr>
                <w:sz w:val="4"/>
                <w:szCs w:val="4"/>
              </w:rPr>
            </w:r>
          </w:p>
        </w:tc>
      </w:tr>
      <w:tr>
        <w:trPr/>
        <w:tc>
          <w:tcPr>
            <w:tcW w:w="45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6"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575" w:type="dxa"/>
            <w:gridSpan w:val="6"/>
            <w:tcBorders/>
            <w:shd w:fill="auto" w:val="clear"/>
          </w:tcPr>
          <w:p>
            <w:pPr>
              <w:pStyle w:val="TableContents"/>
              <w:spacing w:before="0" w:after="283"/>
              <w:rPr>
                <w:sz w:val="4"/>
                <w:szCs w:val="4"/>
              </w:rPr>
            </w:pPr>
            <w:r>
              <w:rPr>
                <w:sz w:val="4"/>
                <w:szCs w:val="4"/>
              </w:rPr>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5"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r>
      <w:tr>
        <w:trPr/>
        <w:tc>
          <w:tcPr>
            <w:tcW w:w="45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2,709 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Non-utility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 natural gas, fuel and purchased power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Non-utility cost of revenues, including natural gas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 and maintenance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equity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indexed debt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and other finance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Securitization Bonds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allocated to preferred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Available to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 Earnings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0.82 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Diluted Earnings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0.82 </w:t>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Common Shares Outstanding,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Common Shares Outstanding,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646"/>
        <w:gridCol w:w="2313"/>
        <w:gridCol w:w="2335"/>
        <w:gridCol w:w="109"/>
        <w:gridCol w:w="109"/>
        <w:gridCol w:w="136"/>
        <w:gridCol w:w="136"/>
        <w:gridCol w:w="136"/>
        <w:gridCol w:w="136"/>
        <w:gridCol w:w="264"/>
        <w:gridCol w:w="585"/>
        <w:gridCol w:w="136"/>
        <w:gridCol w:w="109"/>
        <w:gridCol w:w="109"/>
        <w:gridCol w:w="109"/>
        <w:gridCol w:w="211"/>
        <w:gridCol w:w="466"/>
        <w:gridCol w:w="160"/>
      </w:tblGrid>
      <w:tr>
        <w:trPr/>
        <w:tc>
          <w:tcPr>
            <w:tcW w:w="2646" w:type="dxa"/>
            <w:tcBorders/>
            <w:shd w:fill="auto" w:val="clear"/>
            <w:vAlign w:val="center"/>
          </w:tcPr>
          <w:p>
            <w:pPr>
              <w:pStyle w:val="TableContents"/>
              <w:spacing w:before="0" w:after="283"/>
              <w:rPr>
                <w:sz w:val="4"/>
                <w:szCs w:val="4"/>
              </w:rPr>
            </w:pPr>
            <w:r>
              <w:rPr>
                <w:sz w:val="4"/>
                <w:szCs w:val="4"/>
              </w:rPr>
            </w:r>
          </w:p>
        </w:tc>
        <w:tc>
          <w:tcPr>
            <w:tcW w:w="2313" w:type="dxa"/>
            <w:tcBorders/>
            <w:shd w:fill="auto" w:val="clear"/>
            <w:vAlign w:val="center"/>
          </w:tcPr>
          <w:p>
            <w:pPr>
              <w:pStyle w:val="TableContents"/>
              <w:spacing w:before="0" w:after="283"/>
              <w:rPr>
                <w:sz w:val="4"/>
                <w:szCs w:val="4"/>
              </w:rPr>
            </w:pPr>
            <w:r>
              <w:rPr>
                <w:sz w:val="4"/>
                <w:szCs w:val="4"/>
              </w:rPr>
            </w:r>
          </w:p>
        </w:tc>
        <w:tc>
          <w:tcPr>
            <w:tcW w:w="23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164" w:type="dxa"/>
            <w:gridSpan w:val="6"/>
            <w:tcBorders/>
            <w:shd w:fill="auto" w:val="clear"/>
          </w:tcPr>
          <w:p>
            <w:pPr>
              <w:pStyle w:val="TableContents"/>
              <w:spacing w:before="0" w:after="283"/>
              <w:rPr>
                <w:sz w:val="4"/>
                <w:szCs w:val="4"/>
              </w:rPr>
            </w:pPr>
            <w:r>
              <w:rPr>
                <w:sz w:val="4"/>
                <w:szCs w:val="4"/>
              </w:rPr>
            </w:r>
          </w:p>
        </w:tc>
      </w:tr>
      <w:tr>
        <w:trPr/>
        <w:tc>
          <w:tcPr>
            <w:tcW w:w="72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164" w:type="dxa"/>
            <w:gridSpan w:val="6"/>
            <w:tcBorders/>
            <w:shd w:fill="auto" w:val="clear"/>
          </w:tcPr>
          <w:p>
            <w:pPr>
              <w:pStyle w:val="TableContents"/>
              <w:spacing w:before="0" w:after="283"/>
              <w:rPr>
                <w:sz w:val="4"/>
                <w:szCs w:val="4"/>
              </w:rPr>
            </w:pPr>
            <w:r>
              <w:rPr>
                <w:sz w:val="4"/>
                <w:szCs w:val="4"/>
              </w:rPr>
            </w:r>
          </w:p>
        </w:tc>
      </w:tr>
      <w:tr>
        <w:trPr/>
        <w:tc>
          <w:tcPr>
            <w:tcW w:w="7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557"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pension and other postretirement plans (net of tax expense (benefit) of $0 and $0)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7" w:type="dxa"/>
            <w:gridSpan w:val="3"/>
            <w:tcBorders/>
            <w:shd w:fill="auto" w:val="clear"/>
            <w:vAlign w:val="center"/>
          </w:tcPr>
          <w:p>
            <w:pPr>
              <w:pStyle w:val="TableContents"/>
              <w:spacing w:before="0" w:after="283"/>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deferred loss from cash flow hedges realized in net income (net of tax of $-0- and $-0-)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7" w:type="dxa"/>
            <w:gridSpan w:val="3"/>
            <w:tcBorders/>
            <w:shd w:fill="auto" w:val="clear"/>
            <w:vAlign w:val="center"/>
          </w:tcPr>
          <w:p>
            <w:pPr>
              <w:pStyle w:val="TableContents"/>
              <w:spacing w:before="0" w:after="283"/>
              <w:rPr>
                <w:sz w:val="4"/>
                <w:szCs w:val="4"/>
              </w:rPr>
            </w:pPr>
            <w:r>
              <w:rPr>
                <w:sz w:val="4"/>
                <w:szCs w:val="4"/>
              </w:rPr>
            </w:r>
          </w:p>
        </w:tc>
      </w:tr>
      <w:tr>
        <w:trPr/>
        <w:tc>
          <w:tcPr>
            <w:tcW w:w="72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7" w:type="dxa"/>
            <w:gridSpan w:val="3"/>
            <w:tcBorders/>
            <w:shd w:fill="auto" w:val="clear"/>
            <w:vAlign w:val="center"/>
          </w:tcPr>
          <w:p>
            <w:pPr>
              <w:pStyle w:val="TableContents"/>
              <w:spacing w:before="0" w:after="283"/>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Income allocated to preferred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available to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spacing w:before="0" w:after="0"/>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829"/>
        <w:gridCol w:w="2435"/>
        <w:gridCol w:w="2447"/>
        <w:gridCol w:w="211"/>
        <w:gridCol w:w="721"/>
        <w:gridCol w:w="109"/>
        <w:gridCol w:w="109"/>
        <w:gridCol w:w="109"/>
        <w:gridCol w:w="109"/>
        <w:gridCol w:w="218"/>
        <w:gridCol w:w="747"/>
        <w:gridCol w:w="161"/>
      </w:tblGrid>
      <w:tr>
        <w:trPr/>
        <w:tc>
          <w:tcPr>
            <w:tcW w:w="2829" w:type="dxa"/>
            <w:tcBorders/>
            <w:shd w:fill="auto" w:val="clear"/>
            <w:vAlign w:val="center"/>
          </w:tcPr>
          <w:p>
            <w:pPr>
              <w:pStyle w:val="TableContents"/>
              <w:spacing w:before="0" w:after="283"/>
              <w:rPr>
                <w:sz w:val="4"/>
                <w:szCs w:val="4"/>
              </w:rPr>
            </w:pPr>
            <w:r>
              <w:rPr>
                <w:sz w:val="4"/>
                <w:szCs w:val="4"/>
              </w:rPr>
            </w:r>
          </w:p>
        </w:tc>
        <w:tc>
          <w:tcPr>
            <w:tcW w:w="2435" w:type="dxa"/>
            <w:tcBorders/>
            <w:shd w:fill="auto" w:val="clear"/>
            <w:vAlign w:val="center"/>
          </w:tcPr>
          <w:p>
            <w:pPr>
              <w:pStyle w:val="TableContents"/>
              <w:spacing w:before="0" w:after="283"/>
              <w:rPr>
                <w:sz w:val="4"/>
                <w:szCs w:val="4"/>
              </w:rPr>
            </w:pPr>
            <w:r>
              <w:rPr>
                <w:sz w:val="4"/>
                <w:szCs w:val="4"/>
              </w:rPr>
            </w:r>
          </w:p>
        </w:tc>
        <w:tc>
          <w:tcPr>
            <w:tcW w:w="24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($110 and $75 related to VIEs, respectively)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($18 and $22 related to VIEs, respectively), less allowance for credit losses of $43 and $38, respectively </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unbilled revenues, less allowance for credit losses of $3 and $4, respectively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and coal inventory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Materials and supplies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Non-trading derivative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Taxes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($12 and $13 related to VIEs, respectively)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 ($199 and $229 related to VIEs, respectively)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Non-trading derivative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771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771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771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714"/>
        <w:gridCol w:w="2387"/>
        <w:gridCol w:w="2392"/>
        <w:gridCol w:w="230"/>
        <w:gridCol w:w="789"/>
        <w:gridCol w:w="119"/>
        <w:gridCol w:w="119"/>
        <w:gridCol w:w="119"/>
        <w:gridCol w:w="119"/>
        <w:gridCol w:w="235"/>
        <w:gridCol w:w="806"/>
        <w:gridCol w:w="176"/>
      </w:tblGrid>
      <w:tr>
        <w:trPr/>
        <w:tc>
          <w:tcPr>
            <w:tcW w:w="2714" w:type="dxa"/>
            <w:tcBorders/>
            <w:shd w:fill="auto" w:val="clear"/>
            <w:vAlign w:val="center"/>
          </w:tcPr>
          <w:p>
            <w:pPr>
              <w:pStyle w:val="TableContents"/>
              <w:spacing w:before="0" w:after="283"/>
              <w:rPr>
                <w:sz w:val="4"/>
                <w:szCs w:val="4"/>
              </w:rPr>
            </w:pPr>
            <w:r>
              <w:rPr>
                <w:sz w:val="4"/>
                <w:szCs w:val="4"/>
              </w:rPr>
            </w:r>
          </w:p>
        </w:tc>
        <w:tc>
          <w:tcPr>
            <w:tcW w:w="2387" w:type="dxa"/>
            <w:tcBorders/>
            <w:shd w:fill="auto" w:val="clear"/>
            <w:vAlign w:val="center"/>
          </w:tcPr>
          <w:p>
            <w:pPr>
              <w:pStyle w:val="TableContents"/>
              <w:spacing w:before="0" w:after="283"/>
              <w:rPr>
                <w:sz w:val="4"/>
                <w:szCs w:val="4"/>
              </w:rPr>
            </w:pPr>
            <w:r>
              <w:rPr>
                <w:sz w:val="4"/>
                <w:szCs w:val="4"/>
              </w:rPr>
            </w:r>
          </w:p>
        </w:tc>
        <w:tc>
          <w:tcPr>
            <w:tcW w:w="2392"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74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4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par value and shares)</w:t>
            </w:r>
          </w:p>
        </w:tc>
      </w:tr>
      <w:tr>
        <w:trPr/>
        <w:tc>
          <w:tcPr>
            <w:tcW w:w="74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VIE Securitization Bonds long-term debt</w:t>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Indexed debt, net</w:t>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other long-term debt</w:t>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Indexed debt securities derivative</w:t>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accrued</w:t>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accrued</w:t>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accrued</w:t>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r>
      <w:tr>
        <w:trPr/>
        <w:tc>
          <w:tcPr>
            <w:tcW w:w="7493"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r>
      <w:tr>
        <w:trPr/>
        <w:tc>
          <w:tcPr>
            <w:tcW w:w="7493"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r>
      <w:tr>
        <w:trPr/>
        <w:tc>
          <w:tcPr>
            <w:tcW w:w="7493"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Liabilities:</w:t>
            </w:r>
          </w:p>
        </w:tc>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w:t>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obligations</w:t>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liabilities</w:t>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 Securitization Bonds, net</w:t>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debt, net</w:t>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13)</w:t>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Temporary Equity (Note 18)</w:t>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13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9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preferred stock, $0.01 par value, 20,000,000 shares authorized, 800,000 shares and 800,000 shares outstanding, respectively, $800 and $800 liquidation preference, respectively (Note 18)</w:t>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1,000,000,000 shares authorized, 631,018,976 shares and 629,535,631 shares outstanding, respectively</w:t>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8,568 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Equity</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231" w:type="dxa"/>
        <w:jc w:val="center"/>
        <w:tblInd w:w="0" w:type="dxa"/>
        <w:tblCellMar>
          <w:top w:w="28" w:type="dxa"/>
          <w:left w:w="28" w:type="dxa"/>
          <w:bottom w:w="28" w:type="dxa"/>
          <w:right w:w="28" w:type="dxa"/>
        </w:tblCellMar>
      </w:tblPr>
      <w:tblGrid>
        <w:gridCol w:w="2094"/>
        <w:gridCol w:w="1844"/>
        <w:gridCol w:w="1851"/>
        <w:gridCol w:w="262"/>
        <w:gridCol w:w="564"/>
        <w:gridCol w:w="146"/>
        <w:gridCol w:w="146"/>
        <w:gridCol w:w="146"/>
        <w:gridCol w:w="146"/>
        <w:gridCol w:w="262"/>
        <w:gridCol w:w="564"/>
        <w:gridCol w:w="206"/>
      </w:tblGrid>
      <w:tr>
        <w:trPr/>
        <w:tc>
          <w:tcPr>
            <w:tcW w:w="2094" w:type="dxa"/>
            <w:tcBorders/>
            <w:shd w:fill="auto" w:val="clear"/>
            <w:vAlign w:val="center"/>
          </w:tcPr>
          <w:p>
            <w:pPr>
              <w:pStyle w:val="TableContents"/>
              <w:spacing w:before="0" w:after="283"/>
              <w:rPr>
                <w:sz w:val="4"/>
                <w:szCs w:val="4"/>
              </w:rPr>
            </w:pPr>
            <w:r>
              <w:rPr>
                <w:sz w:val="4"/>
                <w:szCs w:val="4"/>
              </w:rPr>
            </w:r>
          </w:p>
        </w:tc>
        <w:tc>
          <w:tcPr>
            <w:tcW w:w="1844" w:type="dxa"/>
            <w:tcBorders/>
            <w:shd w:fill="auto" w:val="clear"/>
            <w:vAlign w:val="center"/>
          </w:tcPr>
          <w:p>
            <w:pPr>
              <w:pStyle w:val="TableContents"/>
              <w:spacing w:before="0" w:after="283"/>
              <w:rPr>
                <w:sz w:val="4"/>
                <w:szCs w:val="4"/>
              </w:rPr>
            </w:pPr>
            <w:r>
              <w:rPr>
                <w:sz w:val="4"/>
                <w:szCs w:val="4"/>
              </w:rPr>
            </w:r>
          </w:p>
        </w:tc>
        <w:tc>
          <w:tcPr>
            <w:tcW w:w="1851"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7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9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divestitures</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equity securities</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indexed debt securities</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contributions</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assets and liabilities:</w:t>
            </w:r>
          </w:p>
        </w:tc>
        <w:tc>
          <w:tcPr>
            <w:tcW w:w="9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unbilled revenues, net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receivable</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regulatory assets and liabilities</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and liabilities</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and liabilities</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activities, net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marketable securities</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divestitures</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 net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1,934 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short-term borrowings, net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obligation for finance lease</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commercial paper, net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 and term loans</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3,026 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long-term debt and term loans, including make-whole premiums</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issuance costs</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dividends on Common Stock</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dividends on Preferred Stock</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 net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438"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Increase (Decrease) in Cash, Cash Equivalents and Restricted Cash</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Beginning of Period</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Cash, Cash Equivalents and Restricted Cash at End of Period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pPr>
      <w:r>
        <w:rPr>
          <w:rFonts w:ascii="Times New Roman;sans-serif" w:hAnsi="Times New Roman;sans-serif"/>
          <w:b w:val="false"/>
          <w:color w:val="000000"/>
          <w:sz w:val="20"/>
        </w:rPr>
        <w:t>See Combined Notes to Interim Condensed Financial Statements</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CHANGES IN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664"/>
        <w:gridCol w:w="1082"/>
        <w:gridCol w:w="1090"/>
        <w:gridCol w:w="109"/>
        <w:gridCol w:w="109"/>
        <w:gridCol w:w="157"/>
        <w:gridCol w:w="157"/>
        <w:gridCol w:w="218"/>
        <w:gridCol w:w="174"/>
        <w:gridCol w:w="157"/>
        <w:gridCol w:w="182"/>
        <w:gridCol w:w="182"/>
        <w:gridCol w:w="182"/>
        <w:gridCol w:w="259"/>
        <w:gridCol w:w="242"/>
        <w:gridCol w:w="204"/>
        <w:gridCol w:w="121"/>
        <w:gridCol w:w="121"/>
        <w:gridCol w:w="121"/>
        <w:gridCol w:w="234"/>
        <w:gridCol w:w="802"/>
        <w:gridCol w:w="121"/>
        <w:gridCol w:w="121"/>
        <w:gridCol w:w="121"/>
        <w:gridCol w:w="121"/>
        <w:gridCol w:w="244"/>
        <w:gridCol w:w="231"/>
        <w:gridCol w:w="217"/>
        <w:gridCol w:w="121"/>
        <w:gridCol w:w="121"/>
        <w:gridCol w:w="121"/>
        <w:gridCol w:w="234"/>
        <w:gridCol w:w="685"/>
        <w:gridCol w:w="180"/>
      </w:tblGrid>
      <w:tr>
        <w:trPr/>
        <w:tc>
          <w:tcPr>
            <w:tcW w:w="1664"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3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4037" w:type="dxa"/>
            <w:gridSpan w:val="18"/>
            <w:tcBorders/>
            <w:shd w:fill="auto" w:val="clear"/>
          </w:tcPr>
          <w:p>
            <w:pPr>
              <w:pStyle w:val="TableContents"/>
              <w:spacing w:before="0" w:after="283"/>
              <w:rPr>
                <w:sz w:val="4"/>
                <w:szCs w:val="4"/>
              </w:rPr>
            </w:pPr>
            <w:r>
              <w:rPr>
                <w:sz w:val="4"/>
                <w:szCs w:val="4"/>
              </w:rPr>
            </w:r>
          </w:p>
        </w:tc>
      </w:tr>
      <w:tr>
        <w:trPr/>
        <w:tc>
          <w:tcPr>
            <w:tcW w:w="38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2517" w:type="dxa"/>
            <w:gridSpan w:val="12"/>
            <w:tcBorders/>
            <w:shd w:fill="auto" w:val="clear"/>
          </w:tcPr>
          <w:p>
            <w:pPr>
              <w:pStyle w:val="TableContents"/>
              <w:spacing w:before="0" w:after="283"/>
              <w:rPr>
                <w:sz w:val="4"/>
                <w:szCs w:val="4"/>
              </w:rPr>
            </w:pPr>
            <w:r>
              <w:rPr>
                <w:sz w:val="4"/>
                <w:szCs w:val="4"/>
              </w:rPr>
            </w:r>
          </w:p>
        </w:tc>
      </w:tr>
      <w:tr>
        <w:trPr/>
        <w:tc>
          <w:tcPr>
            <w:tcW w:w="38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8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288" w:type="dxa"/>
            <w:gridSpan w:val="2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of dollars and shares, except authorized shares and par value amounts)</w:t>
            </w:r>
          </w:p>
        </w:tc>
      </w:tr>
      <w:tr>
        <w:trPr/>
        <w:tc>
          <w:tcPr>
            <w:tcW w:w="383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Cumulative Preferred Stock, $0.01 par value; authorized 20,000,000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r>
      <w:tr>
        <w:trPr/>
        <w:tc>
          <w:tcPr>
            <w:tcW w:w="38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r>
      <w:tr>
        <w:trPr/>
        <w:tc>
          <w:tcPr>
            <w:tcW w:w="38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Common Stock, $0.01 par value; authorized 1,000,000,000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8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Issuances related to benefit and investment plans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Additional Paid-in-Capital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8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8,529 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Issuances related to benefit and investment plans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Retained Earnings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8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r>
      <w:tr>
        <w:trPr/>
        <w:tc>
          <w:tcPr>
            <w:tcW w:w="38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r>
      <w:tr>
        <w:trPr/>
        <w:tc>
          <w:tcPr>
            <w:tcW w:w="38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r>
      <w:tr>
        <w:trPr/>
        <w:tc>
          <w:tcPr>
            <w:tcW w:w="38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r>
      <w:tr>
        <w:trPr/>
        <w:tc>
          <w:tcPr>
            <w:tcW w:w="38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r>
      <w:tr>
        <w:trPr/>
        <w:tc>
          <w:tcPr>
            <w:tcW w:w="38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r>
      <w:tr>
        <w:trPr/>
        <w:tc>
          <w:tcPr>
            <w:tcW w:w="38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705"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57"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8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Shareholders’ Equity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color w:val="000000"/>
        </w:rPr>
      </w:pPr>
      <w:r>
        <w:rPr>
          <w:color w:val="000000"/>
        </w:rPr>
        <w:t> </w:t>
      </w:r>
      <w:r>
        <w:rPr>
          <w:rFonts w:ascii="Times New Roman;sans-serif" w:hAnsi="Times New Roman;sans-serif"/>
          <w:b w:val="false"/>
          <w:color w:val="000000"/>
          <w:sz w:val="20"/>
        </w:rPr>
        <w:t>See Combined Notes to Interim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7315" w:type="dxa"/>
        <w:jc w:val="center"/>
        <w:tblInd w:w="0" w:type="dxa"/>
        <w:tblCellMar>
          <w:top w:w="28" w:type="dxa"/>
          <w:left w:w="28" w:type="dxa"/>
          <w:bottom w:w="28" w:type="dxa"/>
          <w:right w:w="28" w:type="dxa"/>
        </w:tblCellMar>
      </w:tblPr>
      <w:tblGrid>
        <w:gridCol w:w="1280"/>
        <w:gridCol w:w="1123"/>
        <w:gridCol w:w="1137"/>
        <w:gridCol w:w="109"/>
        <w:gridCol w:w="109"/>
        <w:gridCol w:w="214"/>
        <w:gridCol w:w="214"/>
        <w:gridCol w:w="214"/>
        <w:gridCol w:w="214"/>
        <w:gridCol w:w="414"/>
        <w:gridCol w:w="915"/>
        <w:gridCol w:w="214"/>
        <w:gridCol w:w="109"/>
        <w:gridCol w:w="109"/>
        <w:gridCol w:w="109"/>
        <w:gridCol w:w="211"/>
        <w:gridCol w:w="466"/>
        <w:gridCol w:w="154"/>
      </w:tblGrid>
      <w:tr>
        <w:trPr/>
        <w:tc>
          <w:tcPr>
            <w:tcW w:w="1280"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158" w:type="dxa"/>
            <w:gridSpan w:val="6"/>
            <w:tcBorders/>
            <w:shd w:fill="auto" w:val="clear"/>
          </w:tcPr>
          <w:p>
            <w:pPr>
              <w:pStyle w:val="TableContents"/>
              <w:spacing w:before="0" w:after="283"/>
              <w:rPr>
                <w:sz w:val="4"/>
                <w:szCs w:val="4"/>
              </w:rPr>
            </w:pPr>
            <w:r>
              <w:rPr>
                <w:sz w:val="4"/>
                <w:szCs w:val="4"/>
              </w:rPr>
            </w:r>
          </w:p>
        </w:tc>
      </w:tr>
      <w:tr>
        <w:trPr/>
        <w:tc>
          <w:tcPr>
            <w:tcW w:w="3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343"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and other finance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Securitization Bonds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c>
          <w:tcPr>
            <w:tcW w:w="15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c>
          <w:tcPr>
            <w:tcW w:w="15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c>
          <w:tcPr>
            <w:tcW w:w="15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5709" w:type="dxa"/>
        <w:jc w:val="center"/>
        <w:tblInd w:w="0" w:type="dxa"/>
        <w:tblCellMar>
          <w:top w:w="28" w:type="dxa"/>
          <w:left w:w="28" w:type="dxa"/>
          <w:bottom w:w="28" w:type="dxa"/>
          <w:right w:w="28" w:type="dxa"/>
        </w:tblCellMar>
      </w:tblPr>
      <w:tblGrid>
        <w:gridCol w:w="738"/>
        <w:gridCol w:w="647"/>
        <w:gridCol w:w="654"/>
        <w:gridCol w:w="109"/>
        <w:gridCol w:w="109"/>
        <w:gridCol w:w="214"/>
        <w:gridCol w:w="214"/>
        <w:gridCol w:w="214"/>
        <w:gridCol w:w="214"/>
        <w:gridCol w:w="414"/>
        <w:gridCol w:w="915"/>
        <w:gridCol w:w="214"/>
        <w:gridCol w:w="109"/>
        <w:gridCol w:w="109"/>
        <w:gridCol w:w="109"/>
        <w:gridCol w:w="211"/>
        <w:gridCol w:w="361"/>
        <w:gridCol w:w="154"/>
      </w:tblGrid>
      <w:tr>
        <w:trPr/>
        <w:tc>
          <w:tcPr>
            <w:tcW w:w="738"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53" w:type="dxa"/>
            <w:gridSpan w:val="6"/>
            <w:tcBorders/>
            <w:shd w:fill="auto" w:val="clea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238"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c>
          <w:tcPr>
            <w:tcW w:w="15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c>
          <w:tcPr>
            <w:tcW w:w="15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c>
          <w:tcPr>
            <w:tcW w:w="15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vAlign w:val="center"/>
          </w:tcPr>
          <w:p>
            <w:pPr>
              <w:pStyle w:val="TableContents"/>
              <w:spacing w:before="0" w:after="283"/>
              <w:rPr>
                <w:sz w:val="4"/>
                <w:szCs w:val="4"/>
              </w:rPr>
            </w:pPr>
            <w:r>
              <w:rPr>
                <w:sz w:val="4"/>
                <w:szCs w:val="4"/>
              </w:rPr>
            </w:r>
          </w:p>
        </w:tc>
        <w:tc>
          <w:tcPr>
            <w:tcW w:w="15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841"/>
        <w:gridCol w:w="2428"/>
        <w:gridCol w:w="2441"/>
        <w:gridCol w:w="211"/>
        <w:gridCol w:w="721"/>
        <w:gridCol w:w="109"/>
        <w:gridCol w:w="109"/>
        <w:gridCol w:w="109"/>
        <w:gridCol w:w="109"/>
        <w:gridCol w:w="218"/>
        <w:gridCol w:w="747"/>
        <w:gridCol w:w="162"/>
      </w:tblGrid>
      <w:tr>
        <w:trPr/>
        <w:tc>
          <w:tcPr>
            <w:tcW w:w="2841" w:type="dxa"/>
            <w:tcBorders/>
            <w:shd w:fill="auto" w:val="clear"/>
            <w:vAlign w:val="center"/>
          </w:tcPr>
          <w:p>
            <w:pPr>
              <w:pStyle w:val="TableContents"/>
              <w:spacing w:before="0" w:after="283"/>
              <w:rPr>
                <w:sz w:val="4"/>
                <w:szCs w:val="4"/>
              </w:rPr>
            </w:pPr>
            <w:r>
              <w:rPr>
                <w:sz w:val="4"/>
                <w:szCs w:val="4"/>
              </w:rPr>
            </w:r>
          </w:p>
        </w:tc>
        <w:tc>
          <w:tcPr>
            <w:tcW w:w="2428" w:type="dxa"/>
            <w:tcBorders/>
            <w:shd w:fill="auto" w:val="clear"/>
            <w:vAlign w:val="center"/>
          </w:tcPr>
          <w:p>
            <w:pPr>
              <w:pStyle w:val="TableContents"/>
              <w:spacing w:before="0" w:after="283"/>
              <w:rPr>
                <w:sz w:val="4"/>
                <w:szCs w:val="4"/>
              </w:rPr>
            </w:pPr>
            <w:r>
              <w:rPr>
                <w:sz w:val="4"/>
                <w:szCs w:val="4"/>
              </w:rPr>
            </w:r>
          </w:p>
        </w:tc>
        <w:tc>
          <w:tcPr>
            <w:tcW w:w="24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7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7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71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($110 and $75 related to VIEs, respectively)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($18 and $22 related to VIEs, respectively), less allowance for credit losses of $1 and $1, respectively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receivable–affiliated companies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unbilled revenues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 and supplies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r>
      <w:tr>
        <w:trPr/>
        <w:tc>
          <w:tcPr>
            <w:tcW w:w="77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r>
      <w:tr>
        <w:trPr/>
        <w:tc>
          <w:tcPr>
            <w:tcW w:w="77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($12 and $13 related to VIEs, respectively)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Property, Plant and Equipment:</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17,753 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Other Assets: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71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 ($199 and $229 related to VIEs, respectively)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7" w:type="dxa"/>
            <w:gridSpan w:val="3"/>
            <w:tcBorders/>
            <w:shd w:fill="auto" w:val="clear"/>
            <w:vAlign w:val="center"/>
          </w:tcPr>
          <w:p>
            <w:pPr>
              <w:pStyle w:val="TableContents"/>
              <w:spacing w:before="0" w:after="283"/>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15,339 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7456" w:type="dxa"/>
        <w:jc w:val="center"/>
        <w:tblInd w:w="0" w:type="dxa"/>
        <w:tblCellMar>
          <w:top w:w="28" w:type="dxa"/>
          <w:left w:w="28" w:type="dxa"/>
          <w:bottom w:w="28" w:type="dxa"/>
          <w:right w:w="28" w:type="dxa"/>
        </w:tblCellMar>
      </w:tblPr>
      <w:tblGrid>
        <w:gridCol w:w="1793"/>
        <w:gridCol w:w="1574"/>
        <w:gridCol w:w="1582"/>
        <w:gridCol w:w="211"/>
        <w:gridCol w:w="721"/>
        <w:gridCol w:w="109"/>
        <w:gridCol w:w="109"/>
        <w:gridCol w:w="109"/>
        <w:gridCol w:w="109"/>
        <w:gridCol w:w="221"/>
        <w:gridCol w:w="757"/>
        <w:gridCol w:w="161"/>
      </w:tblGrid>
      <w:tr>
        <w:trPr/>
        <w:tc>
          <w:tcPr>
            <w:tcW w:w="1793" w:type="dxa"/>
            <w:tcBorders/>
            <w:shd w:fill="auto" w:val="clear"/>
            <w:vAlign w:val="center"/>
          </w:tcPr>
          <w:p>
            <w:pPr>
              <w:pStyle w:val="TableContents"/>
              <w:spacing w:before="0" w:after="283"/>
              <w:rPr>
                <w:sz w:val="4"/>
                <w:szCs w:val="4"/>
              </w:rPr>
            </w:pPr>
            <w:r>
              <w:rPr>
                <w:sz w:val="4"/>
                <w:szCs w:val="4"/>
              </w:rPr>
            </w:r>
          </w:p>
        </w:tc>
        <w:tc>
          <w:tcPr>
            <w:tcW w:w="1574" w:type="dxa"/>
            <w:tcBorders/>
            <w:shd w:fill="auto" w:val="clear"/>
            <w:vAlign w:val="center"/>
          </w:tcPr>
          <w:p>
            <w:pPr>
              <w:pStyle w:val="TableContents"/>
              <w:spacing w:before="0" w:after="283"/>
              <w:rPr>
                <w:sz w:val="4"/>
                <w:szCs w:val="4"/>
              </w:rPr>
            </w:pPr>
            <w:r>
              <w:rPr>
                <w:sz w:val="4"/>
                <w:szCs w:val="4"/>
              </w:rPr>
            </w:r>
          </w:p>
        </w:tc>
        <w:tc>
          <w:tcPr>
            <w:tcW w:w="15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94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LIABILITIES AND MEMBER’S EQUITY</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9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VIE Securitization Bonds long-term debt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payable–affiliated companies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accrued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accrued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Other Liabilities: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Long-term Debt:</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 Securitization Bonds,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debt,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Commitments and Contingencies (Note 13)</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Member’s Equity:</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Total member’s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Total Liabilities and Member’s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163" w:type="dxa"/>
        <w:jc w:val="center"/>
        <w:tblInd w:w="0" w:type="dxa"/>
        <w:tblCellMar>
          <w:top w:w="28" w:type="dxa"/>
          <w:left w:w="28" w:type="dxa"/>
          <w:bottom w:w="28" w:type="dxa"/>
          <w:right w:w="28" w:type="dxa"/>
        </w:tblCellMar>
      </w:tblPr>
      <w:tblGrid>
        <w:gridCol w:w="2434"/>
        <w:gridCol w:w="2136"/>
        <w:gridCol w:w="2150"/>
        <w:gridCol w:w="265"/>
        <w:gridCol w:w="586"/>
        <w:gridCol w:w="137"/>
        <w:gridCol w:w="137"/>
        <w:gridCol w:w="137"/>
        <w:gridCol w:w="137"/>
        <w:gridCol w:w="265"/>
        <w:gridCol w:w="586"/>
        <w:gridCol w:w="193"/>
      </w:tblGrid>
      <w:tr>
        <w:trPr/>
        <w:tc>
          <w:tcPr>
            <w:tcW w:w="2434" w:type="dxa"/>
            <w:tcBorders/>
            <w:shd w:fill="auto" w:val="clear"/>
            <w:vAlign w:val="center"/>
          </w:tcPr>
          <w:p>
            <w:pPr>
              <w:pStyle w:val="TableContents"/>
              <w:spacing w:before="0" w:after="283"/>
              <w:rPr>
                <w:sz w:val="4"/>
                <w:szCs w:val="4"/>
              </w:rPr>
            </w:pPr>
            <w:r>
              <w:rPr>
                <w:sz w:val="4"/>
                <w:szCs w:val="4"/>
              </w:rPr>
            </w:r>
          </w:p>
        </w:tc>
        <w:tc>
          <w:tcPr>
            <w:tcW w:w="2136" w:type="dxa"/>
            <w:tcBorders/>
            <w:shd w:fill="auto" w:val="clear"/>
            <w:vAlign w:val="center"/>
          </w:tcPr>
          <w:p>
            <w:pPr>
              <w:pStyle w:val="TableContents"/>
              <w:spacing w:before="0" w:after="283"/>
              <w:rPr>
                <w:sz w:val="4"/>
                <w:szCs w:val="4"/>
              </w:rPr>
            </w:pPr>
            <w:r>
              <w:rPr>
                <w:sz w:val="4"/>
                <w:szCs w:val="4"/>
              </w:rPr>
            </w:r>
          </w:p>
        </w:tc>
        <w:tc>
          <w:tcPr>
            <w:tcW w:w="215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72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9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other assets and liabilities:</w:t>
            </w:r>
          </w:p>
        </w:tc>
        <w:tc>
          <w:tcPr>
            <w:tcW w:w="9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receivable/payable–affiliated companies</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regulatory assets and liabilities</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and liabilities</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 and liabilities</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activities, net</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98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notes receivable–affiliated companies</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 net</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debt</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long-term debt</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notes payable–affiliated companies</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to parent</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from parent</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obligation for finance lease</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 net</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Cash Equivalents and Restricted Cash</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Beginning of Period</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CHANGES IN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996" w:type="dxa"/>
        <w:jc w:val="left"/>
        <w:tblInd w:w="0" w:type="dxa"/>
        <w:tblCellMar>
          <w:top w:w="28" w:type="dxa"/>
          <w:left w:w="28" w:type="dxa"/>
          <w:bottom w:w="28" w:type="dxa"/>
          <w:right w:w="28" w:type="dxa"/>
        </w:tblCellMar>
      </w:tblPr>
      <w:tblGrid>
        <w:gridCol w:w="901"/>
        <w:gridCol w:w="793"/>
        <w:gridCol w:w="796"/>
        <w:gridCol w:w="109"/>
        <w:gridCol w:w="109"/>
        <w:gridCol w:w="218"/>
        <w:gridCol w:w="218"/>
        <w:gridCol w:w="218"/>
        <w:gridCol w:w="218"/>
        <w:gridCol w:w="218"/>
        <w:gridCol w:w="218"/>
        <w:gridCol w:w="218"/>
        <w:gridCol w:w="218"/>
        <w:gridCol w:w="308"/>
        <w:gridCol w:w="308"/>
        <w:gridCol w:w="218"/>
        <w:gridCol w:w="109"/>
        <w:gridCol w:w="109"/>
        <w:gridCol w:w="109"/>
        <w:gridCol w:w="211"/>
        <w:gridCol w:w="616"/>
        <w:gridCol w:w="109"/>
        <w:gridCol w:w="109"/>
        <w:gridCol w:w="109"/>
        <w:gridCol w:w="109"/>
        <w:gridCol w:w="308"/>
        <w:gridCol w:w="308"/>
        <w:gridCol w:w="196"/>
        <w:gridCol w:w="109"/>
        <w:gridCol w:w="109"/>
        <w:gridCol w:w="109"/>
        <w:gridCol w:w="211"/>
        <w:gridCol w:w="616"/>
        <w:gridCol w:w="154"/>
      </w:tblGrid>
      <w:tr>
        <w:trPr/>
        <w:tc>
          <w:tcPr>
            <w:tcW w:w="90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8"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710" w:type="dxa"/>
            <w:gridSpan w:val="18"/>
            <w:tcBorders/>
            <w:shd w:fill="auto" w:val="clea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9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2447" w:type="dxa"/>
            <w:gridSpan w:val="12"/>
            <w:tcBorders/>
            <w:shd w:fill="auto" w:val="clea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198" w:type="dxa"/>
            <w:gridSpan w:val="2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share amounts)</w:t>
            </w:r>
          </w:p>
        </w:tc>
      </w:tr>
      <w:tr>
        <w:trPr/>
        <w:tc>
          <w:tcPr>
            <w:tcW w:w="24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Additional Paid-in-Capital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from parent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to parent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auto" w:val="clear"/>
            <w:vAlign w:val="center"/>
          </w:tcPr>
          <w:p>
            <w:pPr>
              <w:pStyle w:val="TableContents"/>
              <w:spacing w:before="0" w:after="283"/>
              <w:rPr>
                <w:sz w:val="4"/>
                <w:szCs w:val="4"/>
              </w:rPr>
            </w:pPr>
            <w:r>
              <w:rPr>
                <w:sz w:val="4"/>
                <w:szCs w:val="4"/>
              </w:rPr>
            </w:r>
          </w:p>
        </w:tc>
        <w:tc>
          <w:tcPr>
            <w:tcW w:w="8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Member’s Equity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327" w:type="dxa"/>
        <w:jc w:val="center"/>
        <w:tblInd w:w="0" w:type="dxa"/>
        <w:tblCellMar>
          <w:top w:w="28" w:type="dxa"/>
          <w:left w:w="28" w:type="dxa"/>
          <w:bottom w:w="28" w:type="dxa"/>
          <w:right w:w="28" w:type="dxa"/>
        </w:tblCellMar>
      </w:tblPr>
      <w:tblGrid>
        <w:gridCol w:w="1521"/>
        <w:gridCol w:w="1334"/>
        <w:gridCol w:w="1344"/>
        <w:gridCol w:w="109"/>
        <w:gridCol w:w="109"/>
        <w:gridCol w:w="127"/>
        <w:gridCol w:w="127"/>
        <w:gridCol w:w="127"/>
        <w:gridCol w:w="127"/>
        <w:gridCol w:w="246"/>
        <w:gridCol w:w="721"/>
        <w:gridCol w:w="127"/>
        <w:gridCol w:w="109"/>
        <w:gridCol w:w="109"/>
        <w:gridCol w:w="109"/>
        <w:gridCol w:w="211"/>
        <w:gridCol w:w="616"/>
        <w:gridCol w:w="154"/>
      </w:tblGrid>
      <w:tr>
        <w:trPr/>
        <w:tc>
          <w:tcPr>
            <w:tcW w:w="1521" w:type="dxa"/>
            <w:tcBorders/>
            <w:shd w:fill="auto" w:val="clear"/>
            <w:vAlign w:val="center"/>
          </w:tcPr>
          <w:p>
            <w:pPr>
              <w:pStyle w:val="TableContents"/>
              <w:spacing w:before="0" w:after="283"/>
              <w:rPr>
                <w:sz w:val="4"/>
                <w:szCs w:val="4"/>
              </w:rPr>
            </w:pPr>
            <w:r>
              <w:rPr>
                <w:sz w:val="4"/>
                <w:szCs w:val="4"/>
              </w:rPr>
            </w:r>
          </w:p>
        </w:tc>
        <w:tc>
          <w:tcPr>
            <w:tcW w:w="1334" w:type="dxa"/>
            <w:tcBorders/>
            <w:shd w:fill="auto" w:val="clear"/>
            <w:vAlign w:val="center"/>
          </w:tcPr>
          <w:p>
            <w:pPr>
              <w:pStyle w:val="TableContents"/>
              <w:spacing w:before="0" w:after="283"/>
              <w:rPr>
                <w:sz w:val="4"/>
                <w:szCs w:val="4"/>
              </w:rPr>
            </w:pPr>
            <w:r>
              <w:rPr>
                <w:sz w:val="4"/>
                <w:szCs w:val="4"/>
              </w:rPr>
            </w:r>
          </w:p>
        </w:tc>
        <w:tc>
          <w:tcPr>
            <w:tcW w:w="13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308" w:type="dxa"/>
            <w:gridSpan w:val="6"/>
            <w:tcBorders/>
            <w:shd w:fill="auto" w:val="clea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Non-utility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natural gas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Non-utility cost of revenues, including natural gas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and other finance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684" w:type="dxa"/>
        <w:jc w:val="center"/>
        <w:tblInd w:w="0" w:type="dxa"/>
        <w:tblCellMar>
          <w:top w:w="28" w:type="dxa"/>
          <w:left w:w="28" w:type="dxa"/>
          <w:bottom w:w="28" w:type="dxa"/>
          <w:right w:w="28" w:type="dxa"/>
        </w:tblCellMar>
      </w:tblPr>
      <w:tblGrid>
        <w:gridCol w:w="2426"/>
        <w:gridCol w:w="2124"/>
        <w:gridCol w:w="2154"/>
        <w:gridCol w:w="109"/>
        <w:gridCol w:w="109"/>
        <w:gridCol w:w="143"/>
        <w:gridCol w:w="143"/>
        <w:gridCol w:w="143"/>
        <w:gridCol w:w="143"/>
        <w:gridCol w:w="277"/>
        <w:gridCol w:w="612"/>
        <w:gridCol w:w="143"/>
        <w:gridCol w:w="109"/>
        <w:gridCol w:w="109"/>
        <w:gridCol w:w="109"/>
        <w:gridCol w:w="211"/>
        <w:gridCol w:w="466"/>
        <w:gridCol w:w="154"/>
      </w:tblGrid>
      <w:tr>
        <w:trPr/>
        <w:tc>
          <w:tcPr>
            <w:tcW w:w="2426" w:type="dxa"/>
            <w:tcBorders/>
            <w:shd w:fill="auto" w:val="clear"/>
            <w:vAlign w:val="center"/>
          </w:tcPr>
          <w:p>
            <w:pPr>
              <w:pStyle w:val="TableContents"/>
              <w:spacing w:before="0" w:after="283"/>
              <w:rPr>
                <w:sz w:val="4"/>
                <w:szCs w:val="4"/>
              </w:rPr>
            </w:pPr>
            <w:r>
              <w:rPr>
                <w:sz w:val="4"/>
                <w:szCs w:val="4"/>
              </w:rPr>
            </w:r>
          </w:p>
        </w:tc>
        <w:tc>
          <w:tcPr>
            <w:tcW w:w="2124" w:type="dxa"/>
            <w:tcBorders/>
            <w:shd w:fill="auto" w:val="clear"/>
            <w:vAlign w:val="center"/>
          </w:tcPr>
          <w:p>
            <w:pPr>
              <w:pStyle w:val="TableContents"/>
              <w:spacing w:before="0" w:after="283"/>
              <w:rPr>
                <w:sz w:val="4"/>
                <w:szCs w:val="4"/>
              </w:rPr>
            </w:pPr>
            <w:r>
              <w:rPr>
                <w:sz w:val="4"/>
                <w:szCs w:val="4"/>
              </w:rPr>
            </w:r>
          </w:p>
        </w:tc>
        <w:tc>
          <w:tcPr>
            <w:tcW w:w="2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158" w:type="dxa"/>
            <w:gridSpan w:val="6"/>
            <w:tcBorders/>
            <w:shd w:fill="auto" w:val="clear"/>
          </w:tcPr>
          <w:p>
            <w:pPr>
              <w:pStyle w:val="TableContents"/>
              <w:spacing w:before="0" w:after="283"/>
              <w:rPr>
                <w:sz w:val="4"/>
                <w:szCs w:val="4"/>
              </w:rPr>
            </w:pPr>
            <w:r>
              <w:rPr>
                <w:sz w:val="4"/>
                <w:szCs w:val="4"/>
              </w:rPr>
            </w:r>
          </w:p>
        </w:tc>
      </w:tr>
      <w:tr>
        <w:trPr/>
        <w:tc>
          <w:tcPr>
            <w:tcW w:w="6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158" w:type="dxa"/>
            <w:gridSpan w:val="6"/>
            <w:tcBorders/>
            <w:shd w:fill="auto" w:val="clear"/>
          </w:tcPr>
          <w:p>
            <w:pPr>
              <w:pStyle w:val="TableContents"/>
              <w:spacing w:before="0" w:after="283"/>
              <w:rPr>
                <w:sz w:val="4"/>
                <w:szCs w:val="4"/>
              </w:rPr>
            </w:pPr>
            <w:r>
              <w:rPr>
                <w:sz w:val="4"/>
                <w:szCs w:val="4"/>
              </w:rPr>
            </w:r>
          </w:p>
        </w:tc>
      </w:tr>
      <w:tr>
        <w:trPr/>
        <w:tc>
          <w:tcPr>
            <w:tcW w:w="6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pension and other postretirement plans (net of tax of $-0- and $-0-)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0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r>
        <w:trPr/>
        <w:tc>
          <w:tcPr>
            <w:tcW w:w="6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color w:val="000000"/>
        </w:rPr>
      </w:pPr>
      <w:r>
        <w:rPr>
          <w:color w:val="000000"/>
        </w:rPr>
        <w:t> </w:t>
      </w:r>
    </w:p>
    <w:tbl>
      <w:tblPr>
        <w:tblW w:w="9511" w:type="dxa"/>
        <w:jc w:val="left"/>
        <w:tblInd w:w="0" w:type="dxa"/>
        <w:tblCellMar>
          <w:top w:w="28" w:type="dxa"/>
          <w:left w:w="28" w:type="dxa"/>
          <w:bottom w:w="28" w:type="dxa"/>
          <w:right w:w="28" w:type="dxa"/>
        </w:tblCellMar>
      </w:tblPr>
      <w:tblGrid>
        <w:gridCol w:w="2534"/>
        <w:gridCol w:w="2230"/>
        <w:gridCol w:w="2240"/>
        <w:gridCol w:w="211"/>
        <w:gridCol w:w="721"/>
        <w:gridCol w:w="109"/>
        <w:gridCol w:w="109"/>
        <w:gridCol w:w="109"/>
        <w:gridCol w:w="109"/>
        <w:gridCol w:w="221"/>
        <w:gridCol w:w="757"/>
        <w:gridCol w:w="161"/>
      </w:tblGrid>
      <w:tr>
        <w:trPr/>
        <w:tc>
          <w:tcPr>
            <w:tcW w:w="2534" w:type="dxa"/>
            <w:tcBorders/>
            <w:shd w:fill="auto" w:val="clear"/>
            <w:vAlign w:val="center"/>
          </w:tcPr>
          <w:p>
            <w:pPr>
              <w:pStyle w:val="TableContents"/>
              <w:spacing w:before="0" w:after="283"/>
              <w:rPr>
                <w:sz w:val="4"/>
                <w:szCs w:val="4"/>
              </w:rPr>
            </w:pPr>
            <w:r>
              <w:rPr>
                <w:sz w:val="4"/>
                <w:szCs w:val="4"/>
              </w:rPr>
            </w:r>
          </w:p>
        </w:tc>
        <w:tc>
          <w:tcPr>
            <w:tcW w:w="2230" w:type="dxa"/>
            <w:tcBorders/>
            <w:shd w:fill="auto" w:val="clear"/>
            <w:vAlign w:val="center"/>
          </w:tcPr>
          <w:p>
            <w:pPr>
              <w:pStyle w:val="TableContents"/>
              <w:spacing w:before="0" w:after="283"/>
              <w:rPr>
                <w:sz w:val="4"/>
                <w:szCs w:val="4"/>
              </w:rPr>
            </w:pPr>
            <w:r>
              <w:rPr>
                <w:sz w:val="4"/>
                <w:szCs w:val="4"/>
              </w:rPr>
            </w:r>
          </w:p>
        </w:tc>
        <w:tc>
          <w:tcPr>
            <w:tcW w:w="22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00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color w:val="000000"/>
                <w:sz w:val="20"/>
              </w:rPr>
              <w:t>Current Assets</w:t>
            </w:r>
            <w:r>
              <w:rPr>
                <w:rFonts w:ascii="Times New Roman;sans-serif" w:hAnsi="Times New Roman;sans-serif"/>
                <w:b w:val="false"/>
                <w:color w:val="000000"/>
                <w:sz w:val="20"/>
              </w:rPr>
              <w:t>:</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 for credit losses of $39 and $34, respectively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unbilled revenues, less allowance for credit losses of $2 and $4, respectively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receivable–affiliated companies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 and supplies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inventory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Non-trading derivative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Property, Plant and Equipment:</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Other Assets: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Non-trading derivative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color w:val="000000"/>
        </w:rPr>
      </w:pPr>
      <w:r>
        <w:rPr>
          <w:color w:val="000000"/>
        </w:rPr>
        <w:t> </w:t>
      </w:r>
    </w:p>
    <w:tbl>
      <w:tblPr>
        <w:tblW w:w="6827" w:type="dxa"/>
        <w:jc w:val="center"/>
        <w:tblInd w:w="0" w:type="dxa"/>
        <w:tblCellMar>
          <w:top w:w="28" w:type="dxa"/>
          <w:left w:w="28" w:type="dxa"/>
          <w:bottom w:w="28" w:type="dxa"/>
          <w:right w:w="28" w:type="dxa"/>
        </w:tblCellMar>
      </w:tblPr>
      <w:tblGrid>
        <w:gridCol w:w="1564"/>
        <w:gridCol w:w="1377"/>
        <w:gridCol w:w="1379"/>
        <w:gridCol w:w="211"/>
        <w:gridCol w:w="721"/>
        <w:gridCol w:w="109"/>
        <w:gridCol w:w="109"/>
        <w:gridCol w:w="109"/>
        <w:gridCol w:w="109"/>
        <w:gridCol w:w="221"/>
        <w:gridCol w:w="757"/>
        <w:gridCol w:w="161"/>
      </w:tblGrid>
      <w:tr>
        <w:trPr/>
        <w:tc>
          <w:tcPr>
            <w:tcW w:w="1564"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payable–affiliated companies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accrued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accrued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Other Liabilities: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Long-Term Debt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Commitments and Contingencies (Note 13)</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163" w:type="dxa"/>
        <w:jc w:val="center"/>
        <w:tblInd w:w="0" w:type="dxa"/>
        <w:tblCellMar>
          <w:top w:w="28" w:type="dxa"/>
          <w:left w:w="28" w:type="dxa"/>
          <w:bottom w:w="28" w:type="dxa"/>
          <w:right w:w="28" w:type="dxa"/>
        </w:tblCellMar>
      </w:tblPr>
      <w:tblGrid>
        <w:gridCol w:w="2434"/>
        <w:gridCol w:w="2136"/>
        <w:gridCol w:w="2150"/>
        <w:gridCol w:w="265"/>
        <w:gridCol w:w="586"/>
        <w:gridCol w:w="137"/>
        <w:gridCol w:w="137"/>
        <w:gridCol w:w="137"/>
        <w:gridCol w:w="137"/>
        <w:gridCol w:w="265"/>
        <w:gridCol w:w="586"/>
        <w:gridCol w:w="193"/>
      </w:tblGrid>
      <w:tr>
        <w:trPr/>
        <w:tc>
          <w:tcPr>
            <w:tcW w:w="2434" w:type="dxa"/>
            <w:tcBorders/>
            <w:shd w:fill="auto" w:val="clear"/>
            <w:vAlign w:val="center"/>
          </w:tcPr>
          <w:p>
            <w:pPr>
              <w:pStyle w:val="TableContents"/>
              <w:spacing w:before="0" w:after="283"/>
              <w:rPr>
                <w:sz w:val="4"/>
                <w:szCs w:val="4"/>
              </w:rPr>
            </w:pPr>
            <w:r>
              <w:rPr>
                <w:sz w:val="4"/>
                <w:szCs w:val="4"/>
              </w:rPr>
            </w:r>
          </w:p>
        </w:tc>
        <w:tc>
          <w:tcPr>
            <w:tcW w:w="2136" w:type="dxa"/>
            <w:tcBorders/>
            <w:shd w:fill="auto" w:val="clear"/>
            <w:vAlign w:val="center"/>
          </w:tcPr>
          <w:p>
            <w:pPr>
              <w:pStyle w:val="TableContents"/>
              <w:spacing w:before="0" w:after="283"/>
              <w:rPr>
                <w:sz w:val="4"/>
                <w:szCs w:val="4"/>
              </w:rPr>
            </w:pPr>
            <w:r>
              <w:rPr>
                <w:sz w:val="4"/>
                <w:szCs w:val="4"/>
              </w:rPr>
            </w:r>
          </w:p>
        </w:tc>
        <w:tc>
          <w:tcPr>
            <w:tcW w:w="215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72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9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divestitures</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other assets and liabilities:</w:t>
            </w:r>
          </w:p>
        </w:tc>
        <w:tc>
          <w:tcPr>
            <w:tcW w:w="9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and unbilled revenues, net</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receivable/payable–affiliated companies</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regulatory assets and liabilities</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and liabilities</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 and liabilities</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activities, net</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notes receivable–affiliated companies</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divestiture</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 net</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short-term borrowings, net</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commercial paper, net</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debt and term loan</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long-term debt and term loan</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to parent</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notes payable–affiliated companies</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 net</w:t>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auto" w:val="clear"/>
            <w:vAlign w:val="center"/>
          </w:tcPr>
          <w:p>
            <w:pPr>
              <w:pStyle w:val="TableContents"/>
              <w:spacing w:before="0" w:after="283"/>
              <w:rPr>
                <w:sz w:val="4"/>
                <w:szCs w:val="4"/>
              </w:rPr>
            </w:pPr>
            <w:r>
              <w:rPr>
                <w:sz w:val="4"/>
                <w:szCs w:val="4"/>
              </w:rPr>
            </w:r>
          </w:p>
        </w:tc>
        <w:tc>
          <w:tcPr>
            <w:tcW w:w="988" w:type="dxa"/>
            <w:gridSpan w:val="3"/>
            <w:tcBorders/>
            <w:shd w:fill="auto" w:val="clear"/>
            <w:vAlign w:val="center"/>
          </w:tcPr>
          <w:p>
            <w:pPr>
              <w:pStyle w:val="TableContents"/>
              <w:spacing w:before="0" w:after="283"/>
              <w:rPr>
                <w:sz w:val="4"/>
                <w:szCs w:val="4"/>
              </w:rPr>
            </w:pPr>
            <w:r>
              <w:rPr>
                <w:sz w:val="4"/>
                <w:szCs w:val="4"/>
              </w:rPr>
            </w:r>
          </w:p>
        </w:tc>
        <w:tc>
          <w:tcPr>
            <w:tcW w:w="411"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Net Increase (Decrease) in Cash, Cash Equivalents and Restricted Cash</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Beginning of Period</w:t>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 at End of Period</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 INDIRECT, WHOLLY-OWNED SUBSIDIARY OF CENTERPOINT ENERGY,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CONSOLIDATED CHANGES IN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1646"/>
        <w:gridCol w:w="1221"/>
        <w:gridCol w:w="1226"/>
        <w:gridCol w:w="109"/>
        <w:gridCol w:w="109"/>
        <w:gridCol w:w="164"/>
        <w:gridCol w:w="164"/>
        <w:gridCol w:w="218"/>
        <w:gridCol w:w="179"/>
        <w:gridCol w:w="164"/>
        <w:gridCol w:w="164"/>
        <w:gridCol w:w="164"/>
        <w:gridCol w:w="164"/>
        <w:gridCol w:w="308"/>
        <w:gridCol w:w="308"/>
        <w:gridCol w:w="184"/>
        <w:gridCol w:w="109"/>
        <w:gridCol w:w="109"/>
        <w:gridCol w:w="109"/>
        <w:gridCol w:w="211"/>
        <w:gridCol w:w="616"/>
        <w:gridCol w:w="109"/>
        <w:gridCol w:w="109"/>
        <w:gridCol w:w="109"/>
        <w:gridCol w:w="109"/>
        <w:gridCol w:w="308"/>
        <w:gridCol w:w="308"/>
        <w:gridCol w:w="196"/>
        <w:gridCol w:w="109"/>
        <w:gridCol w:w="109"/>
        <w:gridCol w:w="109"/>
        <w:gridCol w:w="211"/>
        <w:gridCol w:w="616"/>
        <w:gridCol w:w="157"/>
      </w:tblGrid>
      <w:tr>
        <w:trPr/>
        <w:tc>
          <w:tcPr>
            <w:tcW w:w="1646"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1"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713" w:type="dxa"/>
            <w:gridSpan w:val="18"/>
            <w:tcBorders/>
            <w:shd w:fill="auto" w:val="clear"/>
          </w:tcPr>
          <w:p>
            <w:pPr>
              <w:pStyle w:val="TableContents"/>
              <w:spacing w:before="0" w:after="283"/>
              <w:rPr>
                <w:sz w:val="4"/>
                <w:szCs w:val="4"/>
              </w:rPr>
            </w:pPr>
            <w:r>
              <w:rPr>
                <w:sz w:val="4"/>
                <w:szCs w:val="4"/>
              </w:rPr>
            </w:r>
          </w:p>
        </w:tc>
      </w:tr>
      <w:tr>
        <w:trPr/>
        <w:tc>
          <w:tcPr>
            <w:tcW w:w="40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6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2450" w:type="dxa"/>
            <w:gridSpan w:val="12"/>
            <w:tcBorders/>
            <w:shd w:fill="auto" w:val="clear"/>
          </w:tcPr>
          <w:p>
            <w:pPr>
              <w:pStyle w:val="TableContents"/>
              <w:spacing w:before="0" w:after="283"/>
              <w:rPr>
                <w:sz w:val="4"/>
                <w:szCs w:val="4"/>
              </w:rPr>
            </w:pPr>
            <w:r>
              <w:rPr>
                <w:sz w:val="4"/>
                <w:szCs w:val="4"/>
              </w:rPr>
            </w:r>
          </w:p>
        </w:tc>
      </w:tr>
      <w:tr>
        <w:trPr/>
        <w:tc>
          <w:tcPr>
            <w:tcW w:w="40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40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5005" w:type="dxa"/>
            <w:gridSpan w:val="2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share amounts)</w:t>
            </w:r>
          </w:p>
        </w:tc>
      </w:tr>
      <w:tr>
        <w:trPr/>
        <w:tc>
          <w:tcPr>
            <w:tcW w:w="409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0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3"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Additional Paid-in-Capital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0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contribution from parent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8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40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to parent for sale of Arkansas and Oklahoma Natural Gas businesses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8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40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3"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0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to parent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0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Combined Notes to Interim Condensed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 AND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COMBINED NOTES TO INTERIM CONDENSED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(1) Background and Basis of Presentation </w: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General.</w:t>
      </w:r>
      <w:r>
        <w:rPr>
          <w:color w:val="000000"/>
        </w:rPr>
        <w:t xml:space="preserve"> </w:t>
      </w:r>
      <w:r>
        <w:rPr>
          <w:rFonts w:ascii="Times New Roman;sans-serif" w:hAnsi="Times New Roman;sans-serif"/>
          <w:b w:val="false"/>
          <w:color w:val="000000"/>
          <w:sz w:val="20"/>
        </w:rPr>
        <w:t>This combined Form 10-Q is filed separately by three registrants: CenterPoint Energy, Inc., CenterPoint Energy Houston Electric, LLC and CenterPoint Energy Resources Corp. Information contained herein relating to any individual registrant is filed by such registrant solely on its own behalf. Each registrant makes no representation as to information relating exclusively to the other Registrants or the subsidiaries of CenterPoint Energy other than itself or its subsidiaries.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discussed in the penultimate paragraph in Note 11 to the Registrants’ Interim Condensed Financial Statements,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this combined Form 10-Q are the Interim Condensed Financial Statements of CenterPoint Energy, Houston Electric and CERC, which are referred to collectively as the Registrants. The Interim Condensed Financial Statements are unaudited, omit certain financial statement disclosures and should be read with the Registrants’ financial statements included in the Registrants’ combined 2022 Form 10-K. The Combined Notes to Interim Condensed Financial Statements apply to all Registrants and specific references to Houston Electric and CERC herein also pertain to CenterPoint Energy, unless otherwise indicated.</w: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Background</w:t>
      </w:r>
      <w:r>
        <w:rPr>
          <w:rFonts w:ascii="Times New Roman;sans-serif" w:hAnsi="Times New Roman;sans-serif"/>
          <w:b w:val="false"/>
          <w:color w:val="000000"/>
          <w:sz w:val="20"/>
        </w:rPr>
        <w:t xml:space="preserve">. CenterPoint Energy, Inc. is a public utility holding company. CenterPoint Energy completed the Restructuring on June 30, 2022, whereby the equity interests in Indiana Gas and VEDO, both subsidiaries it acquired in its acquisition of Vectren on February 1, 2019, were transferred from VUH to CERC Corp. As a result, Indiana Gas and VEDO became wholly owned subsidiaries of CERC Corp., to better align CenterPoint Energy’s organizational structure with management and financial reporting and to fund future capital investments more efficiently. The Restructuring was a non-cash common control acquisition by CERC. As a result, CERC acquired these businesses at CenterPoint Energy’s historical basis in these entities and prior year amounts were recast to reflect the Restructuring as if it occurred at the earliest period presented for which CenterPoint Energy had common control. The Restructuring did not impact CenterPoint Energy’s carrying basis in any entity, its allocation of goodwill to its reporting units, or its segment presentation. Neither CenterPoint Energy nor CERC recognized any gains or losses in connection with the Restructuring. SIGECO was not acquired by CERC and remains a subsidiary of VUH. IURC and PUCO approvals necessary for the Restructuring were received in December 2021 (IURC) and January 2022 (PUCO). </w:t>
      </w:r>
    </w:p>
    <w:p>
      <w:pPr>
        <w:pStyle w:val="TextBody"/>
        <w:spacing w:before="0" w:after="0"/>
        <w:ind w:left="0" w:right="0" w:firstLine="360"/>
        <w:jc w:val="both"/>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10, 2022, CERC Corp. completed the sale of its Arkansas and Oklahoma Natural Gas businesses. For additional information, see Note 3.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CenterPoint Energy’s operating subsidiaries were as follows: </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Houston Electric owns and operates electric transmission and distribution facilities in the Texas gulf coast area that includes the city of Houston;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CERC Corp. (i) directly owns and operates natural gas distribution systems in Louisiana, Minnesota, Mississippi and Texas, (ii) indirectly, through Indiana Gas and VEDO, owns and operates natural gas distribution systems in Indiana and Ohio, respectively, and (iii) owns and operates permanent pipeline connections through interconnects with various interstate and intrastate pipeline companies through CEIP;</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SIGECO provides energy delivery services to electric and natural gas customers located in and near Evansville in southwestern Indiana and owns and operates electric generation assets to serve its electric customers and optimizes those assets in the wholesale power market;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Energy Systems Group provides energy performance contracting and sustainable infrastructure services, such as renewables, distributed generation and combined heat and power projects. </w:t>
      </w:r>
    </w:p>
    <w:p>
      <w:pPr>
        <w:pStyle w:val="TextBody"/>
        <w:spacing w:before="0" w:after="0"/>
        <w:ind w:left="0" w:right="0" w:firstLine="360"/>
        <w:jc w:val="both"/>
        <w:rPr/>
      </w:pPr>
      <w:r>
        <w:rPr/>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CenterPoint Energy’s reportable segments were Electric, Natural Gas and Corporate and Other. Houston Electric and CERC each consist of a single reportable segment. For a description of CenterPoint Energy’s reportable segments, see Note 15.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CenterPoint Energy and Houston Electric had VIEs consisting of the Bond Companies, which are consolidated. The consolidated VIEs are wholly-owned, bankruptcy-remote, special purpose entities that were formed solely for the purpose of securitizing transition and system restoration-related property. Creditors of CenterPoint Energy and Houston Electric have no recourse to any assets or revenues of the Bond Companies. The bonds issued by these VIEs are payable only from and secured by transition and system restoration property, and the bondholders have no recourse to the general credit of CenterPoint Energy or Houston Electric.</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Basis of Presentation.</w:t>
      </w:r>
      <w:r>
        <w:rPr>
          <w:color w:val="000000"/>
        </w:rPr>
        <w:t xml:space="preserve"> </w:t>
      </w:r>
      <w:r>
        <w:rPr>
          <w:rFonts w:ascii="Times New Roman;sans-serif" w:hAnsi="Times New Roman;sans-serif"/>
          <w:b w:val="false"/>
          <w:color w:val="000000"/>
          <w:sz w:val="20"/>
        </w:rPr>
        <w:t>The preparation of the Registrants’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Interim Condensed Financial Statements reflect all normal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(b) changes in energy commodity prices, (c) timing of maintenance and other expenditures and (d) acquisitions and dispositions of businesses, assets and other interests.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year amounts have been reclassified to reflect the impact of the Restructuring.</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(2) New Accounting Pronouncements</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recently adopted standards and recently issued standards that are not yet effective will not have a material impact on the Registrants’ financial position, results of operations or cash flows upon adoption.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(3) Divestitures (CenterPoint Energy and CERC)</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 xml:space="preserve">Divestiture of Arkansas and Oklahoma Natural Gas Businesses. </w:t>
      </w:r>
      <w:r>
        <w:rPr>
          <w:rFonts w:ascii="Times New Roman;sans-serif" w:hAnsi="Times New Roman;sans-serif"/>
          <w:b w:val="false"/>
          <w:color w:val="000000"/>
          <w:sz w:val="20"/>
        </w:rPr>
        <w:t xml:space="preserve">On April 29, 2021, CenterPoint Energy, through its subsidiary CERC Corp., entered into an Asset Purchase Agreement to sell its Arkansas and Oklahoma Natural Gas businesses for $2.15 billion in cash, including recovery of approximately $425 million in natural gas costs, including storm-related incremental natural gas costs associated with the February 2021 Winter Storm Event, subject to certain adjustments set forth in the Asset Purchase Agreement. The assets included approximately 17,000 miles of main pipeline in Arkansas, Oklahoma and certain portions of Bowie County, Texas serving more than half a million customers. The transaction closed on January 10, 2022.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sale was considered an asset sale for tax purposes, requiring net deferred tax liabilities to be excluded from held for sale balances. The deferred taxes associated with the businesses were recognized as a deferred income tax benefit by CenterPoint Energy and CERC upon closing of the sale in 2022.</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Arkansas and Oklahoma Natural Gas businesses met the held for sale criteria, their disposals did not represent a strategic shift to CenterPoint Energy and CERC, as both retained significant operations in, and continued to invest in, their natural gas businesses. Therefore, the income and expenses associated with the disposed businesses were not reflected as discontinued operations on CenterPoint Energy’s and CERC’s Condensed Statements of Consolidated Income, as applicable. Since the depreciation on the Arkansas and Oklahoma Natural Gas assets continued to be reflected in revenues through customer rates until the closing of the transaction and will be reflected in the carryover basis of the rate-regulated assets, CenterPoint Energy and CERC continued to record depreciation on those assets through the closing of the transaction. The Registrants record assets and liabilities held for sale at the lower of their carrying value or their estimated fair value less cost to sell.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and CERC recognized gains of $303 million and $557 million, respectively, net of transaction costs of $59 million, in connection with the closing of the disposition of the Arkansas and Oklahoma Natural Gas businesses during the year ended December 31, 2022. CenterPoint Energy and CERC collected a receivable of $15 million in May 2022 for full and final settlement of the working capital adjustment under the Asset Purchase Agreement.</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pre-tax income for the Arkansas and Oklahoma Natural Gas businesses, excluding interest and corporate allocations, included in CenterPoint Energy’s and CERC’s Condensed Statements of Consolidated Income is as follows: </w:t>
      </w:r>
    </w:p>
    <w:p>
      <w:pPr>
        <w:pStyle w:val="TextBody"/>
        <w:spacing w:before="0" w:after="0"/>
        <w:ind w:left="0" w:right="0" w:firstLine="360"/>
        <w:jc w:val="both"/>
        <w:rPr/>
      </w:pPr>
      <w:r>
        <w:rPr/>
      </w:r>
    </w:p>
    <w:tbl>
      <w:tblPr>
        <w:tblW w:w="8441" w:type="dxa"/>
        <w:jc w:val="left"/>
        <w:tblInd w:w="0" w:type="dxa"/>
        <w:tblCellMar>
          <w:top w:w="28" w:type="dxa"/>
          <w:left w:w="28" w:type="dxa"/>
          <w:bottom w:w="28" w:type="dxa"/>
          <w:right w:w="28" w:type="dxa"/>
        </w:tblCellMar>
      </w:tblPr>
      <w:tblGrid>
        <w:gridCol w:w="1544"/>
        <w:gridCol w:w="1353"/>
        <w:gridCol w:w="1362"/>
        <w:gridCol w:w="109"/>
        <w:gridCol w:w="109"/>
        <w:gridCol w:w="3016"/>
        <w:gridCol w:w="109"/>
        <w:gridCol w:w="109"/>
        <w:gridCol w:w="109"/>
        <w:gridCol w:w="211"/>
        <w:gridCol w:w="256"/>
        <w:gridCol w:w="154"/>
      </w:tblGrid>
      <w:tr>
        <w:trPr/>
        <w:tc>
          <w:tcPr>
            <w:tcW w:w="1544"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6" w:type="dxa"/>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Three Months Ended March 31, 2022</w:t>
            </w:r>
            <w:r>
              <w:rPr>
                <w:color w:val="000000"/>
              </w:rPr>
              <w:t xml:space="preserve"> </w:t>
            </w:r>
            <w:r>
              <w:rPr>
                <w:rFonts w:ascii="Times New Roman;sans-serif" w:hAnsi="Times New Roman;sans-serif"/>
                <w:b/>
                <w:color w:val="000000"/>
                <w:sz w:val="12"/>
              </w:rPr>
              <w:t>(1)</w:t>
            </w:r>
          </w:p>
        </w:tc>
        <w:tc>
          <w:tcPr>
            <w:tcW w:w="948" w:type="dxa"/>
            <w:gridSpan w:val="6"/>
            <w:tcBorders/>
            <w:shd w:fill="auto" w:val="clea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948" w:type="dxa"/>
            <w:gridSpan w:val="6"/>
            <w:tcBorders/>
            <w:shd w:fill="auto" w:val="clea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(1)Reflects January 1, 2022 to January 9, 2022 results only due to of the sale of the Arkansas and Oklahoma Natural Gas businesses.</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on the date of the closing of the disposition of the Arkansas and Oklahoma Natural Gas businesses, a subsidiary of CenterPoint Energy entered into the Transition Services Agreement, whereby that subsidiary agreed to provide certain transition services such as accounting, customer operations, procurement, and technology functions for a term of up to twelve months. In November 2022, a significant majority of all services under the Transition Services Agreement were terminated, and on January 10, 2023, all remaining services were terminated.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Energy’s charges to Southern Col Midco for reimbursement of transition services were less than $1 million during the three months ended March 31, 2023 and were $9 million during the three months ended March 31, 2022. Actual transitional services costs incurred are recorded net of amounts charged to Southern Col Midco. CenterPoint Energy had accounts receivable from Southern Col Midco of less than $1 million as of March 31, 2023 and $1 million as of December 31, 2022, for transition services. </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(4) Revenue Recognition and Allowance for Credit Losses </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Revenues from Contracts with Customers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606, Revenue from Contracts with Customers, revenue is recognized when a customer obtains control of promised goods or services. The amount of revenue recognized reflects the consideration to which the Registrants expect to be entitled to receive in exchange for these goods or services.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 </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disaggregate revenues by reportable segment and major source:</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CenterPoint Energy</w:t>
      </w:r>
    </w:p>
    <w:tbl>
      <w:tblPr>
        <w:tblW w:w="6689" w:type="dxa"/>
        <w:jc w:val="left"/>
        <w:tblInd w:w="0" w:type="dxa"/>
        <w:tblCellMar>
          <w:top w:w="28" w:type="dxa"/>
          <w:left w:w="28" w:type="dxa"/>
          <w:bottom w:w="28" w:type="dxa"/>
          <w:right w:w="28" w:type="dxa"/>
        </w:tblCellMar>
      </w:tblPr>
      <w:tblGrid>
        <w:gridCol w:w="652"/>
        <w:gridCol w:w="570"/>
        <w:gridCol w:w="577"/>
        <w:gridCol w:w="109"/>
        <w:gridCol w:w="109"/>
        <w:gridCol w:w="109"/>
        <w:gridCol w:w="196"/>
        <w:gridCol w:w="421"/>
        <w:gridCol w:w="109"/>
        <w:gridCol w:w="109"/>
        <w:gridCol w:w="109"/>
        <w:gridCol w:w="109"/>
        <w:gridCol w:w="239"/>
        <w:gridCol w:w="678"/>
        <w:gridCol w:w="133"/>
        <w:gridCol w:w="109"/>
        <w:gridCol w:w="109"/>
        <w:gridCol w:w="109"/>
        <w:gridCol w:w="277"/>
        <w:gridCol w:w="468"/>
        <w:gridCol w:w="155"/>
        <w:gridCol w:w="109"/>
        <w:gridCol w:w="109"/>
        <w:gridCol w:w="109"/>
        <w:gridCol w:w="196"/>
        <w:gridCol w:w="556"/>
        <w:gridCol w:w="154"/>
      </w:tblGrid>
      <w:tr>
        <w:trPr/>
        <w:tc>
          <w:tcPr>
            <w:tcW w:w="652"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837" w:type="dxa"/>
            <w:gridSpan w:val="18"/>
            <w:tcBorders/>
            <w:shd w:fill="auto" w:val="clea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837" w:type="dxa"/>
            <w:gridSpan w:val="18"/>
            <w:tcBorders/>
            <w:shd w:fill="auto" w:val="clea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Natural Gas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 and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Other</w:t>
            </w:r>
            <w:r>
              <w:rPr>
                <w:color w:val="000000"/>
              </w:rPr>
              <w:t xml:space="preserve"> </w:t>
            </w:r>
            <w:r>
              <w:rPr>
                <w:rFonts w:ascii="Times New Roman;sans-serif" w:hAnsi="Times New Roman;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930" w:type="dxa"/>
        <w:jc w:val="left"/>
        <w:tblInd w:w="0" w:type="dxa"/>
        <w:tblCellMar>
          <w:top w:w="28" w:type="dxa"/>
          <w:left w:w="28" w:type="dxa"/>
          <w:bottom w:w="28" w:type="dxa"/>
          <w:right w:w="28" w:type="dxa"/>
        </w:tblCellMar>
      </w:tblPr>
      <w:tblGrid>
        <w:gridCol w:w="739"/>
        <w:gridCol w:w="648"/>
        <w:gridCol w:w="653"/>
        <w:gridCol w:w="109"/>
        <w:gridCol w:w="109"/>
        <w:gridCol w:w="109"/>
        <w:gridCol w:w="196"/>
        <w:gridCol w:w="421"/>
        <w:gridCol w:w="109"/>
        <w:gridCol w:w="109"/>
        <w:gridCol w:w="109"/>
        <w:gridCol w:w="109"/>
        <w:gridCol w:w="229"/>
        <w:gridCol w:w="649"/>
        <w:gridCol w:w="127"/>
        <w:gridCol w:w="109"/>
        <w:gridCol w:w="109"/>
        <w:gridCol w:w="109"/>
        <w:gridCol w:w="291"/>
        <w:gridCol w:w="492"/>
        <w:gridCol w:w="162"/>
        <w:gridCol w:w="109"/>
        <w:gridCol w:w="109"/>
        <w:gridCol w:w="109"/>
        <w:gridCol w:w="196"/>
        <w:gridCol w:w="556"/>
        <w:gridCol w:w="154"/>
      </w:tblGrid>
      <w:tr>
        <w:trPr/>
        <w:tc>
          <w:tcPr>
            <w:tcW w:w="739"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837" w:type="dxa"/>
            <w:gridSpan w:val="18"/>
            <w:tcBorders/>
            <w:shd w:fill="auto" w:val="clear"/>
          </w:tcPr>
          <w:p>
            <w:pPr>
              <w:pStyle w:val="TableContents"/>
              <w:spacing w:before="0" w:after="283"/>
              <w:rPr>
                <w:sz w:val="4"/>
                <w:szCs w:val="4"/>
              </w:rPr>
            </w:pPr>
            <w:r>
              <w:rPr>
                <w:sz w:val="4"/>
                <w:szCs w:val="4"/>
              </w:rPr>
            </w:r>
          </w:p>
        </w:tc>
      </w:tr>
      <w:tr>
        <w:trPr/>
        <w:tc>
          <w:tcPr>
            <w:tcW w:w="2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837" w:type="dxa"/>
            <w:gridSpan w:val="18"/>
            <w:tcBorders/>
            <w:shd w:fill="auto" w:val="clear"/>
          </w:tcPr>
          <w:p>
            <w:pPr>
              <w:pStyle w:val="TableContents"/>
              <w:spacing w:before="0" w:after="283"/>
              <w:rPr>
                <w:sz w:val="4"/>
                <w:szCs w:val="4"/>
              </w:rPr>
            </w:pPr>
            <w:r>
              <w:rPr>
                <w:sz w:val="4"/>
                <w:szCs w:val="4"/>
              </w:rPr>
            </w:r>
          </w:p>
        </w:tc>
      </w:tr>
      <w:tr>
        <w:trPr/>
        <w:tc>
          <w:tcPr>
            <w:tcW w:w="2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 xml:space="preserve"> and Other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Other</w:t>
            </w:r>
            <w:r>
              <w:rPr>
                <w:color w:val="000000"/>
              </w:rPr>
              <w:t xml:space="preserve"> </w:t>
            </w:r>
            <w:r>
              <w:rPr>
                <w:rFonts w:ascii="Times New Roman;sans-serif" w:hAnsi="Times New Roman;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ind w:left="0" w:right="0" w:firstLine="90"/>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(1)Primarily consists of income from ARPs and leases. Total lease income was $2 million and $1 million for the three months ended March 31, 2023 and 2022, respectively.</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Houston Electric</w:t>
      </w:r>
    </w:p>
    <w:tbl>
      <w:tblPr>
        <w:tblW w:w="5815" w:type="dxa"/>
        <w:jc w:val="left"/>
        <w:tblInd w:w="0" w:type="dxa"/>
        <w:tblCellMar>
          <w:top w:w="28" w:type="dxa"/>
          <w:left w:w="28" w:type="dxa"/>
          <w:bottom w:w="28" w:type="dxa"/>
          <w:right w:w="28" w:type="dxa"/>
        </w:tblCellMar>
      </w:tblPr>
      <w:tblGrid>
        <w:gridCol w:w="739"/>
        <w:gridCol w:w="648"/>
        <w:gridCol w:w="653"/>
        <w:gridCol w:w="109"/>
        <w:gridCol w:w="109"/>
        <w:gridCol w:w="214"/>
        <w:gridCol w:w="214"/>
        <w:gridCol w:w="214"/>
        <w:gridCol w:w="214"/>
        <w:gridCol w:w="414"/>
        <w:gridCol w:w="915"/>
        <w:gridCol w:w="214"/>
        <w:gridCol w:w="109"/>
        <w:gridCol w:w="109"/>
        <w:gridCol w:w="109"/>
        <w:gridCol w:w="211"/>
        <w:gridCol w:w="466"/>
        <w:gridCol w:w="154"/>
      </w:tblGrid>
      <w:tr>
        <w:trPr/>
        <w:tc>
          <w:tcPr>
            <w:tcW w:w="739"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158" w:type="dxa"/>
            <w:gridSpan w:val="6"/>
            <w:tcBorders/>
            <w:shd w:fill="auto" w:val="clea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343"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6"/>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(1)Primarily consists of income from ARPs and leases. Lease income was not significant for the three months ended March 31, 2023 and 2022.</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CERC</w:t>
      </w:r>
    </w:p>
    <w:tbl>
      <w:tblPr>
        <w:tblW w:w="6290" w:type="dxa"/>
        <w:jc w:val="left"/>
        <w:tblInd w:w="0" w:type="dxa"/>
        <w:tblCellMar>
          <w:top w:w="28" w:type="dxa"/>
          <w:left w:w="28" w:type="dxa"/>
          <w:bottom w:w="28" w:type="dxa"/>
          <w:right w:w="28" w:type="dxa"/>
        </w:tblCellMar>
      </w:tblPr>
      <w:tblGrid>
        <w:gridCol w:w="739"/>
        <w:gridCol w:w="648"/>
        <w:gridCol w:w="653"/>
        <w:gridCol w:w="109"/>
        <w:gridCol w:w="109"/>
        <w:gridCol w:w="109"/>
        <w:gridCol w:w="109"/>
        <w:gridCol w:w="109"/>
        <w:gridCol w:w="190"/>
        <w:gridCol w:w="190"/>
        <w:gridCol w:w="190"/>
        <w:gridCol w:w="190"/>
        <w:gridCol w:w="369"/>
        <w:gridCol w:w="1078"/>
        <w:gridCol w:w="190"/>
        <w:gridCol w:w="109"/>
        <w:gridCol w:w="109"/>
        <w:gridCol w:w="109"/>
        <w:gridCol w:w="211"/>
        <w:gridCol w:w="616"/>
        <w:gridCol w:w="154"/>
      </w:tblGrid>
      <w:tr>
        <w:trPr/>
        <w:tc>
          <w:tcPr>
            <w:tcW w:w="739"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51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w:t>
            </w:r>
            <w:r>
              <w:rPr>
                <w:color w:val="000000"/>
              </w:rPr>
              <w:t xml:space="preserve"> </w:t>
            </w: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(1)Primarily consists of income from ARPs and leases. Lease income was not significant for the three months ended March 31, 2023 and 2022.</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Revenues from Contracts with Customers</w:t>
      </w:r>
    </w:p>
    <w:p>
      <w:pPr>
        <w:pStyle w:val="TextBody"/>
        <w:spacing w:before="0" w:after="0"/>
        <w:jc w:val="both"/>
        <w:rPr/>
      </w:pPr>
      <w:r>
        <w:rPr/>
      </w:r>
    </w:p>
    <w:p>
      <w:pPr>
        <w:pStyle w:val="TextBody"/>
        <w:spacing w:lineRule="auto" w:line="288" w:before="0" w:after="0"/>
        <w:ind w:left="0" w:right="0" w:firstLine="360"/>
        <w:jc w:val="both"/>
        <w:rPr/>
      </w:pPr>
      <w:r>
        <w:rPr>
          <w:rFonts w:ascii="Times New Roman;sans-serif" w:hAnsi="Times New Roman;sans-serif"/>
          <w:b/>
          <w:i/>
          <w:color w:val="000000"/>
          <w:sz w:val="20"/>
        </w:rPr>
        <w:t xml:space="preserve">Electric (CenterPoint Energy and Houston Electric). </w:t>
      </w:r>
      <w:r>
        <w:rPr>
          <w:rFonts w:ascii="Times New Roman;sans-serif" w:hAnsi="Times New Roman;sans-serif"/>
          <w:b w:val="false"/>
          <w:color w:val="000000"/>
          <w:sz w:val="20"/>
        </w:rPr>
        <w:t xml:space="preserve">Houston Electric distributes electricity to customers over time, and customers consume the electricity when delivered. Indiana Electric generates, transmits and distributes electricity to customers over time, and customers consume the electricity when delivered. Revenue, consisting of both volumetric and fixed tariff rates set by state regulators, such as the PUCT and the IURC, is recognized as electricity is delivered and represents amounts both billed and unbilled. Discretionary services requested by customers are provided at a point in time with control transferring upon the completion of the service. Revenue for discretionary services provided by Houston Electric is recognized upon completion of service based on the tariff rates set by the PUCT. Payments for electricity distribution and discretionary services are aggregated and received on a monthly basis. Houston Electric performs transmission services over time as a stand-ready obligation to provide a reliable network of transmission systems. Revenue is recognized upon time elapsed, and the monthly tariff rate set by the regulator. Payments are received on a monthly basis. Indiana Electric customers are billed monthly and payment terms, set by the regulator, require payment within a month of billing.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i/>
          <w:color w:val="000000"/>
          <w:sz w:val="20"/>
        </w:rPr>
        <w:t xml:space="preserve">Natural Gas (CenterPoint Energy and CERC). </w:t>
      </w:r>
      <w:r>
        <w:rPr>
          <w:rFonts w:ascii="Times New Roman;sans-serif" w:hAnsi="Times New Roman;sans-serif"/>
          <w:b w:val="false"/>
          <w:color w:val="000000"/>
          <w:sz w:val="20"/>
        </w:rPr>
        <w:t>CenterPoint Energy and CERC distribute and transport natural gas to customers over time, and customers consume the natural gas when delivered. Revenue, consisting of both volumetric and fixed tariff rates set by the state governing agency for that service area, is recognized as natural gas is delivered and represents amounts both billed and unbilled. Discretionary services requested by the customer are satisfied at a point in time and revenue is recognized upon completion of service and the tariff rates set by the applicable state regulator. Payments of natural gas distribution, transportation and discretionary services are aggregated and received on a monthly basis.</w:t>
      </w:r>
    </w:p>
    <w:p>
      <w:pPr>
        <w:pStyle w:val="TextBody"/>
        <w:spacing w:before="3" w:after="283"/>
        <w:rPr/>
      </w:pPr>
      <w:r>
        <w:rPr/>
      </w:r>
    </w:p>
    <w:p>
      <w:pPr>
        <w:pStyle w:val="TextBody"/>
        <w:spacing w:lineRule="auto" w:line="288" w:before="0" w:after="0"/>
        <w:ind w:left="0" w:right="0" w:firstLine="360"/>
        <w:jc w:val="both"/>
        <w:rPr/>
      </w:pPr>
      <w:r>
        <w:rPr>
          <w:rFonts w:ascii="Times New Roman;sans-serif" w:hAnsi="Times New Roman;sans-serif"/>
          <w:b/>
          <w:i/>
          <w:color w:val="221F1F"/>
          <w:sz w:val="20"/>
        </w:rPr>
        <w:t xml:space="preserve">Contract Balances. </w:t>
      </w:r>
      <w:r>
        <w:rPr>
          <w:rFonts w:ascii="Times New Roman;sans-serif" w:hAnsi="Times New Roman;sans-serif"/>
          <w:b w:val="false"/>
          <w:color w:val="221F1F"/>
          <w:sz w:val="20"/>
        </w:rPr>
        <w:t>When the timing of delivery of service is different from the timing of the payments made by customers and when the right to consideration is conditioned on something other than the passage of time, the Registrants recognize either a contract asset (performance precedes billing) or a contract liability (customer payment precedes performance). Those customers that prepay are represented by contract liabilities until the performance obligations are satisfied. The Registrants’ contract assets are included in Accrued unbilled revenues in their Condensed Consolidated Balance Sheets. As of March 31, 2023, CenterPoint Energy’s contract assets primarily relate to Energy Systems Group contracts where revenue is recognized using the input method. The Registrants’ contract liabilities are included in Accounts payable and Other current liabilities</w:t>
      </w:r>
      <w:r>
        <w:rPr>
          <w:color w:val="221F1F"/>
        </w:rPr>
        <w:t xml:space="preserve"> </w:t>
      </w:r>
      <w:r>
        <w:rPr>
          <w:rFonts w:ascii="Times New Roman;sans-serif" w:hAnsi="Times New Roman;sans-serif"/>
          <w:b w:val="false"/>
          <w:color w:val="221F1F"/>
          <w:sz w:val="20"/>
        </w:rPr>
        <w:t xml:space="preserve">in their Condensed Consolidated Balance Sheets. </w:t>
      </w:r>
      <w:r>
        <w:rPr>
          <w:rFonts w:ascii="Times New Roman;sans-serif" w:hAnsi="Times New Roman;sans-serif"/>
          <w:b w:val="false"/>
          <w:color w:val="000000"/>
          <w:sz w:val="20"/>
        </w:rPr>
        <w:t xml:space="preserve">On an aggregate basis as </w:t>
      </w:r>
      <w:r>
        <w:rPr>
          <w:rFonts w:ascii="Times New Roman;sans-serif" w:hAnsi="Times New Roman;sans-serif"/>
          <w:b w:val="false"/>
          <w:color w:val="221F1F"/>
          <w:sz w:val="20"/>
        </w:rPr>
        <w:t>of March 31, 2023, CenterPoint Energy’s contract liabilities primarily relate to Energy Systems Group contracts where revenue is recognized using the input method.</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360"/>
        <w:jc w:val="both"/>
        <w:rPr>
          <w:rFonts w:ascii="Times New Roman;sans-serif" w:hAnsi="Times New Roman;sans-serif"/>
          <w:b w:val="false"/>
          <w:color w:val="221F1F"/>
          <w:sz w:val="20"/>
        </w:rPr>
      </w:pPr>
      <w:r>
        <w:rPr>
          <w:rFonts w:ascii="Times New Roman;sans-serif" w:hAnsi="Times New Roman;sans-serif"/>
          <w:b w:val="false"/>
          <w:color w:val="221F1F"/>
          <w:sz w:val="20"/>
        </w:rPr>
        <w:t xml:space="preserve">The opening and closing balances of accounts receivable, other accrued unbilled revenue, contract assets and contract liabilities from contracts with customers are as follows: </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CenterPoint Energy</w:t>
      </w:r>
    </w:p>
    <w:tbl>
      <w:tblPr>
        <w:tblW w:w="10205" w:type="dxa"/>
        <w:jc w:val="left"/>
        <w:tblInd w:w="0" w:type="dxa"/>
        <w:tblCellMar>
          <w:top w:w="28" w:type="dxa"/>
          <w:left w:w="28" w:type="dxa"/>
          <w:bottom w:w="28" w:type="dxa"/>
          <w:right w:w="28" w:type="dxa"/>
        </w:tblCellMar>
      </w:tblPr>
      <w:tblGrid>
        <w:gridCol w:w="1171"/>
        <w:gridCol w:w="1028"/>
        <w:gridCol w:w="1031"/>
        <w:gridCol w:w="396"/>
        <w:gridCol w:w="879"/>
        <w:gridCol w:w="207"/>
        <w:gridCol w:w="109"/>
        <w:gridCol w:w="109"/>
        <w:gridCol w:w="109"/>
        <w:gridCol w:w="563"/>
        <w:gridCol w:w="1434"/>
        <w:gridCol w:w="290"/>
        <w:gridCol w:w="109"/>
        <w:gridCol w:w="109"/>
        <w:gridCol w:w="109"/>
        <w:gridCol w:w="222"/>
        <w:gridCol w:w="428"/>
        <w:gridCol w:w="116"/>
        <w:gridCol w:w="109"/>
        <w:gridCol w:w="109"/>
        <w:gridCol w:w="109"/>
        <w:gridCol w:w="421"/>
        <w:gridCol w:w="722"/>
        <w:gridCol w:w="316"/>
      </w:tblGrid>
      <w:tr>
        <w:trPr/>
        <w:tc>
          <w:tcPr>
            <w:tcW w:w="1171" w:type="dxa"/>
            <w:tcBorders/>
            <w:shd w:fill="auto" w:val="clear"/>
            <w:vAlign w:val="center"/>
          </w:tcPr>
          <w:p>
            <w:pPr>
              <w:pStyle w:val="TableContents"/>
              <w:spacing w:before="0" w:after="283"/>
              <w:rPr>
                <w:sz w:val="4"/>
                <w:szCs w:val="4"/>
              </w:rPr>
            </w:pPr>
            <w:r>
              <w:rPr>
                <w:sz w:val="4"/>
                <w:szCs w:val="4"/>
              </w:rPr>
            </w:r>
          </w:p>
        </w:tc>
        <w:tc>
          <w:tcPr>
            <w:tcW w:w="1028"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Accounts Receivable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Accrued Unbilled 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w:t>
              <w:b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Liabilities</w:t>
            </w:r>
          </w:p>
        </w:tc>
      </w:tr>
      <w:tr>
        <w:trPr/>
        <w:tc>
          <w:tcPr>
            <w:tcW w:w="3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Opening balance as of December 31, 2022 </w:t>
            </w:r>
          </w:p>
        </w:tc>
        <w:tc>
          <w:tcPr>
            <w:tcW w:w="3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Closing balance as of March 31, 2023</w:t>
            </w:r>
          </w:p>
        </w:tc>
        <w:tc>
          <w:tcPr>
            <w:tcW w:w="12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2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29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221F1F"/>
          <w:sz w:val="20"/>
        </w:rPr>
      </w:pPr>
      <w:r>
        <w:rPr>
          <w:rFonts w:ascii="Times New Roman;sans-serif" w:hAnsi="Times New Roman;sans-serif"/>
          <w:b w:val="false"/>
          <w:color w:val="221F1F"/>
          <w:sz w:val="20"/>
        </w:rPr>
        <w:t>The amount of revenue recognized during the three-month period ended March 31, 2023 that was included in the opening contract liability was $21 million. The difference between the opening and closing balances of the contract liabilities primarily results from the timing difference between CenterPoint Energy’s performance and the customer’s payment.</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Houston Electric</w:t>
      </w:r>
    </w:p>
    <w:tbl>
      <w:tblPr>
        <w:tblW w:w="10109" w:type="dxa"/>
        <w:jc w:val="center"/>
        <w:tblInd w:w="0" w:type="dxa"/>
        <w:tblCellMar>
          <w:top w:w="28" w:type="dxa"/>
          <w:left w:w="28" w:type="dxa"/>
          <w:bottom w:w="28" w:type="dxa"/>
          <w:right w:w="28" w:type="dxa"/>
        </w:tblCellMar>
      </w:tblPr>
      <w:tblGrid>
        <w:gridCol w:w="1282"/>
        <w:gridCol w:w="1127"/>
        <w:gridCol w:w="1130"/>
        <w:gridCol w:w="425"/>
        <w:gridCol w:w="942"/>
        <w:gridCol w:w="222"/>
        <w:gridCol w:w="109"/>
        <w:gridCol w:w="109"/>
        <w:gridCol w:w="109"/>
        <w:gridCol w:w="684"/>
        <w:gridCol w:w="1512"/>
        <w:gridCol w:w="353"/>
        <w:gridCol w:w="109"/>
        <w:gridCol w:w="109"/>
        <w:gridCol w:w="109"/>
        <w:gridCol w:w="109"/>
        <w:gridCol w:w="109"/>
        <w:gridCol w:w="343"/>
        <w:gridCol w:w="417"/>
        <w:gridCol w:w="800"/>
      </w:tblGrid>
      <w:tr>
        <w:trPr/>
        <w:tc>
          <w:tcPr>
            <w:tcW w:w="1282"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51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Accounts Receivable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Accrued Unbilled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Liabilities</w:t>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3" w:type="dxa"/>
            <w:gridSpan w:val="1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887" w:type="dxa"/>
            <w:gridSpan w:val="6"/>
            <w:tcBorders/>
            <w:shd w:fill="auto" w:val="clea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Opening balance as of December 31, 2022</w:t>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3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8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Closing balance as of March 31, 2023</w:t>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800" w:type="dxa"/>
            <w:tcBorders/>
            <w:shd w:fill="FFFFFF" w:val="clear"/>
            <w:tcMar>
              <w:top w:w="0" w:type="dxa"/>
              <w:left w:w="0" w:type="dxa"/>
              <w:bottom w:w="0" w:type="dxa"/>
              <w:right w:w="0" w:type="dxa"/>
            </w:tcMar>
            <w:vAlign w:val="center"/>
          </w:tcPr>
          <w:p>
            <w:pPr>
              <w:pStyle w:val="TableContents"/>
              <w:spacing w:before="0" w:after="283"/>
              <w:ind w:left="0" w:right="0" w:firstLine="360"/>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221F1F"/>
          <w:sz w:val="20"/>
        </w:rPr>
      </w:pPr>
      <w:r>
        <w:rPr>
          <w:rFonts w:ascii="Times New Roman;sans-serif" w:hAnsi="Times New Roman;sans-serif"/>
          <w:b w:val="false"/>
          <w:color w:val="221F1F"/>
          <w:sz w:val="20"/>
        </w:rPr>
        <w:t>The amount of revenue recognized during the three-month period ended March 31, 2023 that was included in the opening contract liability was $1 million. The difference between the opening and closing balances of the contract liabilities primarily results from the timing difference between Houston Electric’s performance and the customer’s payment.</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CERC</w:t>
      </w:r>
    </w:p>
    <w:tbl>
      <w:tblPr>
        <w:tblW w:w="9040" w:type="dxa"/>
        <w:jc w:val="center"/>
        <w:tblInd w:w="0" w:type="dxa"/>
        <w:tblCellMar>
          <w:top w:w="28" w:type="dxa"/>
          <w:left w:w="28" w:type="dxa"/>
          <w:bottom w:w="28" w:type="dxa"/>
          <w:right w:w="28" w:type="dxa"/>
        </w:tblCellMar>
      </w:tblPr>
      <w:tblGrid>
        <w:gridCol w:w="1282"/>
        <w:gridCol w:w="1127"/>
        <w:gridCol w:w="1130"/>
        <w:gridCol w:w="425"/>
        <w:gridCol w:w="942"/>
        <w:gridCol w:w="222"/>
        <w:gridCol w:w="109"/>
        <w:gridCol w:w="109"/>
        <w:gridCol w:w="109"/>
        <w:gridCol w:w="625"/>
        <w:gridCol w:w="1602"/>
        <w:gridCol w:w="322"/>
        <w:gridCol w:w="109"/>
        <w:gridCol w:w="109"/>
        <w:gridCol w:w="109"/>
        <w:gridCol w:w="109"/>
        <w:gridCol w:w="109"/>
        <w:gridCol w:w="491"/>
      </w:tblGrid>
      <w:tr>
        <w:trPr/>
        <w:tc>
          <w:tcPr>
            <w:tcW w:w="1282"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Accounts Receivable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Accrued Unbilled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tcPr>
          <w:p>
            <w:pPr>
              <w:pStyle w:val="TableContents"/>
              <w:spacing w:before="0" w:after="283"/>
              <w:rPr>
                <w:sz w:val="4"/>
                <w:szCs w:val="4"/>
              </w:rPr>
            </w:pPr>
            <w:r>
              <w:rPr>
                <w:sz w:val="4"/>
                <w:szCs w:val="4"/>
              </w:rPr>
            </w:r>
          </w:p>
        </w:tc>
      </w:tr>
      <w:tr>
        <w:trPr/>
        <w:tc>
          <w:tcPr>
            <w:tcW w:w="3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8" w:type="dxa"/>
            <w:gridSpan w:val="4"/>
            <w:tcBorders/>
            <w:shd w:fill="auto" w:val="clear"/>
          </w:tcPr>
          <w:p>
            <w:pPr>
              <w:pStyle w:val="TableContents"/>
              <w:spacing w:before="0" w:after="283"/>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Opening balance as of December 31, 2022</w:t>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3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Closing balance as of March 31, 2023</w:t>
            </w:r>
          </w:p>
        </w:tc>
        <w:tc>
          <w:tcPr>
            <w:tcW w:w="13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3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ind w:left="0" w:right="0" w:firstLine="360"/>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221F1F"/>
          <w:sz w:val="20"/>
        </w:rPr>
      </w:pPr>
      <w:r>
        <w:rPr>
          <w:rFonts w:ascii="Times New Roman;sans-serif" w:hAnsi="Times New Roman;sans-serif"/>
          <w:b w:val="false"/>
          <w:color w:val="221F1F"/>
          <w:sz w:val="20"/>
        </w:rPr>
        <w:t>CERC does not have any opening or closing contract asset or contract liability balances.</w:t>
      </w:r>
    </w:p>
    <w:p>
      <w:pPr>
        <w:pStyle w:val="TextBody"/>
        <w:spacing w:before="3" w:after="283"/>
        <w:rPr/>
      </w:pPr>
      <w:r>
        <w:rPr/>
      </w:r>
    </w:p>
    <w:p>
      <w:pPr>
        <w:pStyle w:val="TextBody"/>
        <w:spacing w:lineRule="auto" w:line="288" w:before="0" w:after="0"/>
        <w:ind w:left="0" w:right="0" w:firstLine="360"/>
        <w:jc w:val="both"/>
        <w:rPr/>
      </w:pPr>
      <w:r>
        <w:rPr>
          <w:rFonts w:ascii="Times New Roman;sans-serif" w:hAnsi="Times New Roman;sans-serif"/>
          <w:b/>
          <w:i/>
          <w:color w:val="221E1F"/>
          <w:sz w:val="20"/>
        </w:rPr>
        <w:t>Remaining Performance Obligations (CenterPoint Energy).</w:t>
      </w:r>
      <w:r>
        <w:rPr>
          <w:color w:val="221E1F"/>
        </w:rPr>
        <w:t xml:space="preserve"> </w:t>
      </w:r>
      <w:r>
        <w:rPr>
          <w:rFonts w:ascii="Times New Roman;sans-serif" w:hAnsi="Times New Roman;sans-serif"/>
          <w:b w:val="false"/>
          <w:color w:val="221F1F"/>
          <w:sz w:val="20"/>
        </w:rPr>
        <w:t xml:space="preserve">The table below discloses (1) the aggregate amount of the transaction price allocated to performance obligations that are unsatisfied (or partially unsatisfied) as of the end of the reporting period for contracts and (2) when CenterPoint Energy expects to recognize this revenue. Such contracts include energy performance and sustainable infrastructure services contracts of Energy Systems Group, which are included in Corporate and Other. </w:t>
      </w:r>
    </w:p>
    <w:tbl>
      <w:tblPr>
        <w:tblW w:w="10205" w:type="dxa"/>
        <w:jc w:val="left"/>
        <w:tblInd w:w="0" w:type="dxa"/>
        <w:tblCellMar>
          <w:top w:w="28" w:type="dxa"/>
          <w:left w:w="28" w:type="dxa"/>
          <w:bottom w:w="28" w:type="dxa"/>
          <w:right w:w="28" w:type="dxa"/>
        </w:tblCellMar>
      </w:tblPr>
      <w:tblGrid>
        <w:gridCol w:w="2266"/>
        <w:gridCol w:w="1972"/>
        <w:gridCol w:w="1979"/>
        <w:gridCol w:w="374"/>
        <w:gridCol w:w="829"/>
        <w:gridCol w:w="193"/>
        <w:gridCol w:w="109"/>
        <w:gridCol w:w="109"/>
        <w:gridCol w:w="109"/>
        <w:gridCol w:w="237"/>
        <w:gridCol w:w="525"/>
        <w:gridCol w:w="124"/>
        <w:gridCol w:w="109"/>
        <w:gridCol w:w="109"/>
        <w:gridCol w:w="109"/>
        <w:gridCol w:w="211"/>
        <w:gridCol w:w="466"/>
        <w:gridCol w:w="109"/>
        <w:gridCol w:w="109"/>
        <w:gridCol w:w="157"/>
      </w:tblGrid>
      <w:tr>
        <w:trPr/>
        <w:tc>
          <w:tcPr>
            <w:tcW w:w="2266" w:type="dxa"/>
            <w:tcBorders/>
            <w:shd w:fill="auto" w:val="clear"/>
            <w:vAlign w:val="center"/>
          </w:tcPr>
          <w:p>
            <w:pPr>
              <w:pStyle w:val="TableContents"/>
              <w:spacing w:before="0" w:after="283"/>
              <w:rPr>
                <w:sz w:val="4"/>
                <w:szCs w:val="4"/>
              </w:rPr>
            </w:pPr>
            <w:r>
              <w:rPr>
                <w:sz w:val="4"/>
                <w:szCs w:val="4"/>
              </w:rPr>
            </w:r>
          </w:p>
        </w:tc>
        <w:tc>
          <w:tcPr>
            <w:tcW w:w="1972" w:type="dxa"/>
            <w:tcBorders/>
            <w:shd w:fill="auto" w:val="clear"/>
            <w:vAlign w:val="center"/>
          </w:tcPr>
          <w:p>
            <w:pPr>
              <w:pStyle w:val="TableContents"/>
              <w:spacing w:before="0" w:after="283"/>
              <w:rPr>
                <w:sz w:val="4"/>
                <w:szCs w:val="4"/>
              </w:rPr>
            </w:pPr>
            <w:r>
              <w:rPr>
                <w:sz w:val="4"/>
                <w:szCs w:val="4"/>
              </w:rPr>
            </w:r>
          </w:p>
        </w:tc>
        <w:tc>
          <w:tcPr>
            <w:tcW w:w="197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Rolling 12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266" w:type="dxa"/>
            <w:gridSpan w:val="2"/>
            <w:tcBorders/>
            <w:shd w:fill="auto" w:val="clear"/>
          </w:tcPr>
          <w:p>
            <w:pPr>
              <w:pStyle w:val="TableContents"/>
              <w:spacing w:before="0" w:after="283"/>
              <w:rPr>
                <w:sz w:val="4"/>
                <w:szCs w:val="4"/>
              </w:rPr>
            </w:pPr>
            <w:r>
              <w:rPr>
                <w:sz w:val="4"/>
                <w:szCs w:val="4"/>
              </w:rPr>
            </w:r>
          </w:p>
        </w:tc>
      </w:tr>
      <w:tr>
        <w:trPr/>
        <w:tc>
          <w:tcPr>
            <w:tcW w:w="62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17"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Revenue expected to be recognized on contracts in place as of March 31, 2023:</w:t>
            </w:r>
          </w:p>
        </w:tc>
        <w:tc>
          <w:tcPr>
            <w:tcW w:w="1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17" w:type="dxa"/>
            <w:gridSpan w:val="3"/>
            <w:tcBorders/>
            <w:shd w:fill="auto" w:val="clear"/>
            <w:vAlign w:val="center"/>
          </w:tcPr>
          <w:p>
            <w:pPr>
              <w:pStyle w:val="TableContents"/>
              <w:spacing w:before="0" w:after="283"/>
              <w:rPr>
                <w:sz w:val="4"/>
                <w:szCs w:val="4"/>
              </w:rPr>
            </w:pPr>
            <w:r>
              <w:rPr>
                <w:sz w:val="4"/>
                <w:szCs w:val="4"/>
              </w:rPr>
            </w:r>
          </w:p>
        </w:tc>
        <w:tc>
          <w:tcPr>
            <w:tcW w:w="13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1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360"/>
        <w:jc w:val="both"/>
        <w:rPr/>
      </w:pPr>
      <w:r>
        <w:rPr>
          <w:rFonts w:ascii="Times New Roman;sans-serif" w:hAnsi="Times New Roman;sans-serif"/>
          <w:b/>
          <w:i/>
          <w:color w:val="000000"/>
          <w:sz w:val="20"/>
        </w:rPr>
        <w:t xml:space="preserve">Practical Expedients and Exemption. </w:t>
      </w:r>
      <w:r>
        <w:rPr>
          <w:rFonts w:ascii="Times New Roman;sans-serif" w:hAnsi="Times New Roman;sans-serif"/>
          <w:b w:val="false"/>
          <w:color w:val="000000"/>
          <w:sz w:val="20"/>
        </w:rPr>
        <w:t xml:space="preserve">Sales taxes and other similar taxes collected from customers are excluded from the transaction price. </w:t>
      </w:r>
      <w:r>
        <w:rPr>
          <w:rFonts w:ascii="Times New Roman;sans-serif" w:hAnsi="Times New Roman;sans-serif"/>
          <w:b w:val="false"/>
          <w:color w:val="221F1F"/>
          <w:sz w:val="20"/>
        </w:rPr>
        <w:t>For contracts for which revenue from the satisfaction of the performance obligations is recognized in the amount invoiced, the practical expedient was elected and revenue expected to be recognized on these contracts has not been disclosed.</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color w:val="221F1F"/>
          <w:sz w:val="20"/>
        </w:rPr>
      </w:pPr>
      <w:r>
        <w:rPr>
          <w:rFonts w:ascii="Times New Roman;sans-serif" w:hAnsi="Times New Roman;sans-serif"/>
          <w:b/>
          <w:color w:val="221F1F"/>
          <w:sz w:val="20"/>
        </w:rPr>
        <w:t>Allowance for Credit Losses</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221F1F"/>
          <w:sz w:val="20"/>
        </w:rPr>
      </w:pPr>
      <w:r>
        <w:rPr>
          <w:rFonts w:ascii="Times New Roman;sans-serif" w:hAnsi="Times New Roman;sans-serif"/>
          <w:b w:val="false"/>
          <w:color w:val="221F1F"/>
          <w:sz w:val="20"/>
        </w:rPr>
        <w:t>CenterPoint Energy and CERC segregate financial assets that fall under the scope of Topic 326, primarily trade receivables due in one year or less, into portfolio segments based on shared risk characteristics, such as geographical location and regulatory environment, for evaluation of expected credit losses. Historical and current information, such as average write-offs, are applied to each portfolio segment to estimate the allowance for losses on uncollectible receivables. Additionally, the allowance for losses on uncollectible receivables is adjusted for reasonable and supportable forecasts of future economic conditions, which can include changing weather, commodity prices, regulations, and macroeconomic factors, among others. Houston Electric had no material changes in its methodology to recognize losses on financial assets that fall under the scope of Topic 326, primarily due to the nature of its customers and regulatory environment. For a discussion of regulatory deferrals, including those related to COVID-19, see Note 6.</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(5) Employee Benefit Plans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net periodic cost, before considering amounts subject to overhead allocations for capital expenditure projects or for amounts subject to deferral for regulatory purposes, includes the following components relating to pension and postretirement benefits:</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Pension Benefits (CenterPoint Energy)</w:t>
      </w:r>
    </w:p>
    <w:tbl>
      <w:tblPr>
        <w:tblW w:w="6399" w:type="dxa"/>
        <w:jc w:val="left"/>
        <w:tblInd w:w="0" w:type="dxa"/>
        <w:tblCellMar>
          <w:top w:w="28" w:type="dxa"/>
          <w:left w:w="28" w:type="dxa"/>
          <w:bottom w:w="28" w:type="dxa"/>
          <w:right w:w="28" w:type="dxa"/>
        </w:tblCellMar>
      </w:tblPr>
      <w:tblGrid>
        <w:gridCol w:w="1027"/>
        <w:gridCol w:w="901"/>
        <w:gridCol w:w="907"/>
        <w:gridCol w:w="109"/>
        <w:gridCol w:w="109"/>
        <w:gridCol w:w="234"/>
        <w:gridCol w:w="234"/>
        <w:gridCol w:w="234"/>
        <w:gridCol w:w="234"/>
        <w:gridCol w:w="453"/>
        <w:gridCol w:w="775"/>
        <w:gridCol w:w="234"/>
        <w:gridCol w:w="109"/>
        <w:gridCol w:w="109"/>
        <w:gridCol w:w="109"/>
        <w:gridCol w:w="211"/>
        <w:gridCol w:w="256"/>
        <w:gridCol w:w="154"/>
      </w:tblGrid>
      <w:tr>
        <w:trPr/>
        <w:tc>
          <w:tcPr>
            <w:tcW w:w="1027"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948" w:type="dxa"/>
            <w:gridSpan w:val="6"/>
            <w:tcBorders/>
            <w:shd w:fill="auto" w:val="clea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112"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Service cost </w:t>
            </w:r>
            <w:r>
              <w:rPr>
                <w:rFonts w:ascii="Times New Roman;sans-serif" w:hAnsi="Times New Roman;sans-serif"/>
                <w:b w:val="false"/>
                <w:color w:val="000000"/>
                <w:sz w:val="16"/>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Interest cost </w:t>
            </w:r>
            <w:r>
              <w:rPr>
                <w:rFonts w:ascii="Times New Roman;sans-serif" w:hAnsi="Times New Roman;sans-serif"/>
                <w:b w:val="false"/>
                <w:color w:val="000000"/>
                <w:sz w:val="16"/>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Expected return on plan assets </w:t>
            </w:r>
            <w:r>
              <w:rPr>
                <w:rFonts w:ascii="Times New Roman;sans-serif" w:hAnsi="Times New Roman;sans-serif"/>
                <w:b w:val="false"/>
                <w:color w:val="000000"/>
                <w:sz w:val="16"/>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02" w:type="dxa"/>
            <w:gridSpan w:val="3"/>
            <w:tcBorders/>
            <w:shd w:fill="auto" w:val="clear"/>
            <w:vAlign w:val="center"/>
          </w:tcPr>
          <w:p>
            <w:pPr>
              <w:pStyle w:val="TableContents"/>
              <w:spacing w:before="0" w:after="283"/>
              <w:rPr>
                <w:sz w:val="4"/>
                <w:szCs w:val="4"/>
              </w:rPr>
            </w:pPr>
            <w:r>
              <w:rPr>
                <w:sz w:val="4"/>
                <w:szCs w:val="4"/>
              </w:rPr>
            </w:r>
          </w:p>
        </w:tc>
        <w:tc>
          <w:tcPr>
            <w:tcW w:w="14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1" w:type="dxa"/>
            <w:gridSpan w:val="3"/>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Amortization of net loss </w:t>
            </w:r>
            <w:r>
              <w:rPr>
                <w:rFonts w:ascii="Times New Roman;sans-serif" w:hAnsi="Times New Roman;sans-serif"/>
                <w:b w:val="false"/>
                <w:color w:val="000000"/>
                <w:sz w:val="16"/>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Settlement cost (benefit) </w:t>
            </w:r>
            <w:r>
              <w:rPr>
                <w:rFonts w:ascii="Times New Roman;sans-serif" w:hAnsi="Times New Roman;sans-serif"/>
                <w:b w:val="false"/>
                <w:color w:val="000000"/>
                <w:sz w:val="16"/>
              </w:rPr>
              <w:t>(2) (3)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02" w:type="dxa"/>
            <w:gridSpan w:val="3"/>
            <w:tcBorders/>
            <w:shd w:fill="auto" w:val="clear"/>
            <w:vAlign w:val="center"/>
          </w:tcPr>
          <w:p>
            <w:pPr>
              <w:pStyle w:val="TableContents"/>
              <w:spacing w:before="0" w:after="283"/>
              <w:rPr>
                <w:sz w:val="4"/>
                <w:szCs w:val="4"/>
              </w:rPr>
            </w:pPr>
            <w:r>
              <w:rPr>
                <w:sz w:val="4"/>
                <w:szCs w:val="4"/>
              </w:rPr>
            </w:r>
          </w:p>
        </w:tc>
        <w:tc>
          <w:tcPr>
            <w:tcW w:w="14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1" w:type="dxa"/>
            <w:gridSpan w:val="3"/>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(1)Amounts presented in the table above are included in Operation and maintenance expense in CenterPoint Energy’s Condensed Statements of Consolidated Income, net of amounts capitalized and regulatory deferrals.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(2)Amounts presented in the table above are included in Other income, net in CenterPoint Energy’s Condensed Statements of Consolidated Income, net of regulatory deferrals.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(3)Amounts presented represent a one-time, non-cash settlement cost (benefit), prior to regulatory deferrals, which are required when the total lump sum distributions or other settlements of plan benefit obligations during a plan year exceed the service cost and interest cost components of the net periodic cost for that year.</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Postretirement Benefits </w:t>
      </w:r>
    </w:p>
    <w:tbl>
      <w:tblPr>
        <w:tblW w:w="10205" w:type="dxa"/>
        <w:jc w:val="left"/>
        <w:tblInd w:w="0" w:type="dxa"/>
        <w:tblCellMar>
          <w:top w:w="28" w:type="dxa"/>
          <w:left w:w="28" w:type="dxa"/>
          <w:bottom w:w="28" w:type="dxa"/>
          <w:right w:w="28" w:type="dxa"/>
        </w:tblCellMar>
      </w:tblPr>
      <w:tblGrid>
        <w:gridCol w:w="1047"/>
        <w:gridCol w:w="710"/>
        <w:gridCol w:w="715"/>
        <w:gridCol w:w="370"/>
        <w:gridCol w:w="713"/>
        <w:gridCol w:w="191"/>
        <w:gridCol w:w="109"/>
        <w:gridCol w:w="109"/>
        <w:gridCol w:w="109"/>
        <w:gridCol w:w="297"/>
        <w:gridCol w:w="572"/>
        <w:gridCol w:w="153"/>
        <w:gridCol w:w="109"/>
        <w:gridCol w:w="109"/>
        <w:gridCol w:w="109"/>
        <w:gridCol w:w="211"/>
        <w:gridCol w:w="406"/>
        <w:gridCol w:w="109"/>
        <w:gridCol w:w="109"/>
        <w:gridCol w:w="109"/>
        <w:gridCol w:w="109"/>
        <w:gridCol w:w="370"/>
        <w:gridCol w:w="713"/>
        <w:gridCol w:w="191"/>
        <w:gridCol w:w="109"/>
        <w:gridCol w:w="109"/>
        <w:gridCol w:w="109"/>
        <w:gridCol w:w="297"/>
        <w:gridCol w:w="572"/>
        <w:gridCol w:w="153"/>
        <w:gridCol w:w="109"/>
        <w:gridCol w:w="109"/>
        <w:gridCol w:w="109"/>
        <w:gridCol w:w="211"/>
        <w:gridCol w:w="406"/>
        <w:gridCol w:w="163"/>
      </w:tblGrid>
      <w:tr>
        <w:trPr/>
        <w:tc>
          <w:tcPr>
            <w:tcW w:w="1047"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472"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6459" w:type="dxa"/>
            <w:gridSpan w:val="30"/>
            <w:tcBorders/>
            <w:shd w:fill="auto" w:val="clear"/>
          </w:tcPr>
          <w:p>
            <w:pPr>
              <w:pStyle w:val="TableContents"/>
              <w:spacing w:before="0" w:after="283"/>
              <w:rPr>
                <w:sz w:val="4"/>
                <w:szCs w:val="4"/>
              </w:rPr>
            </w:pPr>
            <w:r>
              <w:rPr>
                <w:sz w:val="4"/>
                <w:szCs w:val="4"/>
              </w:rPr>
            </w:r>
          </w:p>
        </w:tc>
      </w:tr>
      <w:tr>
        <w:trPr/>
        <w:tc>
          <w:tcPr>
            <w:tcW w:w="2472"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5110" w:type="dxa"/>
            <w:gridSpan w:val="24"/>
            <w:tcBorders/>
            <w:shd w:fill="auto" w:val="clear"/>
          </w:tcPr>
          <w:p>
            <w:pPr>
              <w:pStyle w:val="TableContents"/>
              <w:spacing w:before="0" w:after="283"/>
              <w:rPr>
                <w:sz w:val="4"/>
                <w:szCs w:val="4"/>
              </w:rPr>
            </w:pPr>
            <w:r>
              <w:rPr>
                <w:sz w:val="4"/>
                <w:szCs w:val="4"/>
              </w:rPr>
            </w:r>
          </w:p>
        </w:tc>
      </w:tr>
      <w:tr>
        <w:trPr/>
        <w:tc>
          <w:tcPr>
            <w:tcW w:w="2472"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0" w:type="dxa"/>
            <w:gridSpan w:val="3"/>
            <w:tcBorders/>
            <w:shd w:fill="auto" w:val="clear"/>
            <w:vAlign w:val="center"/>
          </w:tcPr>
          <w:p>
            <w:pPr>
              <w:pStyle w:val="TableContents"/>
              <w:spacing w:before="0" w:after="283"/>
              <w:rPr>
                <w:sz w:val="4"/>
                <w:szCs w:val="4"/>
              </w:rPr>
            </w:pPr>
            <w:r>
              <w:rPr>
                <w:sz w:val="4"/>
                <w:szCs w:val="4"/>
              </w:rPr>
            </w:r>
          </w:p>
        </w:tc>
      </w:tr>
      <w:tr>
        <w:trPr/>
        <w:tc>
          <w:tcPr>
            <w:tcW w:w="2472"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6459" w:type="dxa"/>
            <w:gridSpan w:val="30"/>
            <w:tcBorders/>
            <w:shd w:fill="auto" w:val="clear"/>
          </w:tcPr>
          <w:p>
            <w:pPr>
              <w:pStyle w:val="TableContents"/>
              <w:spacing w:before="0" w:after="283"/>
              <w:rPr>
                <w:sz w:val="4"/>
                <w:szCs w:val="4"/>
              </w:rPr>
            </w:pPr>
            <w:r>
              <w:rPr>
                <w:sz w:val="4"/>
                <w:szCs w:val="4"/>
              </w:rPr>
            </w:r>
          </w:p>
        </w:tc>
      </w:tr>
      <w:tr>
        <w:trPr/>
        <w:tc>
          <w:tcPr>
            <w:tcW w:w="2472"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0" w:type="dxa"/>
            <w:gridSpan w:val="3"/>
            <w:tcBorders/>
            <w:shd w:fill="auto" w:val="clear"/>
            <w:vAlign w:val="center"/>
          </w:tcPr>
          <w:p>
            <w:pPr>
              <w:pStyle w:val="TableContents"/>
              <w:spacing w:before="0" w:after="283"/>
              <w:rPr>
                <w:sz w:val="4"/>
                <w:szCs w:val="4"/>
              </w:rPr>
            </w:pPr>
            <w:r>
              <w:rPr>
                <w:sz w:val="4"/>
                <w:szCs w:val="4"/>
              </w:rPr>
            </w:r>
          </w:p>
        </w:tc>
      </w:tr>
      <w:tr>
        <w:trPr/>
        <w:tc>
          <w:tcPr>
            <w:tcW w:w="2472"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0" w:type="dxa"/>
            <w:gridSpan w:val="3"/>
            <w:tcBorders/>
            <w:shd w:fill="auto" w:val="clear"/>
            <w:vAlign w:val="center"/>
          </w:tcPr>
          <w:p>
            <w:pPr>
              <w:pStyle w:val="TableContents"/>
              <w:spacing w:before="0" w:after="283"/>
              <w:rPr>
                <w:sz w:val="4"/>
                <w:szCs w:val="4"/>
              </w:rPr>
            </w:pPr>
            <w:r>
              <w:rPr>
                <w:sz w:val="4"/>
                <w:szCs w:val="4"/>
              </w:rPr>
            </w:r>
          </w:p>
        </w:tc>
      </w:tr>
      <w:tr>
        <w:trPr/>
        <w:tc>
          <w:tcPr>
            <w:tcW w:w="2472"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0" w:type="dxa"/>
            <w:gridSpan w:val="3"/>
            <w:tcBorders/>
            <w:shd w:fill="auto" w:val="clear"/>
            <w:vAlign w:val="center"/>
          </w:tcPr>
          <w:p>
            <w:pPr>
              <w:pStyle w:val="TableContents"/>
              <w:spacing w:before="0" w:after="283"/>
              <w:rPr>
                <w:sz w:val="4"/>
                <w:szCs w:val="4"/>
              </w:rPr>
            </w:pPr>
            <w:r>
              <w:rPr>
                <w:sz w:val="4"/>
                <w:szCs w:val="4"/>
              </w:rPr>
            </w:r>
          </w:p>
        </w:tc>
      </w:tr>
      <w:tr>
        <w:trPr/>
        <w:tc>
          <w:tcPr>
            <w:tcW w:w="2472"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0" w:type="dxa"/>
            <w:gridSpan w:val="3"/>
            <w:tcBorders/>
            <w:shd w:fill="auto" w:val="clear"/>
            <w:vAlign w:val="center"/>
          </w:tcPr>
          <w:p>
            <w:pPr>
              <w:pStyle w:val="TableContents"/>
              <w:spacing w:before="0" w:after="283"/>
              <w:rPr>
                <w:sz w:val="4"/>
                <w:szCs w:val="4"/>
              </w:rPr>
            </w:pPr>
            <w:r>
              <w:rPr>
                <w:sz w:val="4"/>
                <w:szCs w:val="4"/>
              </w:rPr>
            </w:r>
          </w:p>
        </w:tc>
      </w:tr>
      <w:tr>
        <w:trPr/>
        <w:tc>
          <w:tcPr>
            <w:tcW w:w="2472"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0" w:type="dxa"/>
            <w:gridSpan w:val="3"/>
            <w:tcBorders/>
            <w:shd w:fill="auto" w:val="clear"/>
            <w:vAlign w:val="center"/>
          </w:tcPr>
          <w:p>
            <w:pPr>
              <w:pStyle w:val="TableContents"/>
              <w:spacing w:before="0" w:after="283"/>
              <w:rPr>
                <w:sz w:val="4"/>
                <w:szCs w:val="4"/>
              </w:rPr>
            </w:pPr>
            <w:r>
              <w:rPr>
                <w:sz w:val="4"/>
                <w:szCs w:val="4"/>
              </w:rPr>
            </w:r>
          </w:p>
        </w:tc>
      </w:tr>
      <w:tr>
        <w:trPr/>
        <w:tc>
          <w:tcPr>
            <w:tcW w:w="2472"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0" w:type="dxa"/>
            <w:gridSpan w:val="3"/>
            <w:tcBorders/>
            <w:shd w:fill="auto" w:val="clear"/>
            <w:vAlign w:val="center"/>
          </w:tcPr>
          <w:p>
            <w:pPr>
              <w:pStyle w:val="TableContents"/>
              <w:spacing w:before="0" w:after="283"/>
              <w:rPr>
                <w:sz w:val="4"/>
                <w:szCs w:val="4"/>
              </w:rPr>
            </w:pPr>
            <w:r>
              <w:rPr>
                <w:sz w:val="4"/>
                <w:szCs w:val="4"/>
              </w:rPr>
            </w:r>
          </w:p>
        </w:tc>
      </w:tr>
      <w:tr>
        <w:trPr/>
        <w:tc>
          <w:tcPr>
            <w:tcW w:w="2472"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0" w:type="dxa"/>
            <w:gridSpan w:val="3"/>
            <w:tcBorders/>
            <w:shd w:fill="auto" w:val="clear"/>
            <w:vAlign w:val="center"/>
          </w:tcPr>
          <w:p>
            <w:pPr>
              <w:pStyle w:val="TableContents"/>
              <w:spacing w:before="0" w:after="283"/>
              <w:rPr>
                <w:sz w:val="4"/>
                <w:szCs w:val="4"/>
              </w:rPr>
            </w:pPr>
            <w:r>
              <w:rPr>
                <w:sz w:val="4"/>
                <w:szCs w:val="4"/>
              </w:rPr>
            </w:r>
          </w:p>
        </w:tc>
      </w:tr>
      <w:tr>
        <w:trPr/>
        <w:tc>
          <w:tcPr>
            <w:tcW w:w="2472"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0" w:type="dxa"/>
            <w:gridSpan w:val="3"/>
            <w:tcBorders/>
            <w:shd w:fill="auto" w:val="clear"/>
            <w:vAlign w:val="center"/>
          </w:tcPr>
          <w:p>
            <w:pPr>
              <w:pStyle w:val="TableContents"/>
              <w:spacing w:before="0" w:after="283"/>
              <w:rPr>
                <w:sz w:val="4"/>
                <w:szCs w:val="4"/>
              </w:rPr>
            </w:pPr>
            <w:r>
              <w:rPr>
                <w:sz w:val="4"/>
                <w:szCs w:val="4"/>
              </w:rPr>
            </w:r>
          </w:p>
        </w:tc>
      </w:tr>
      <w:tr>
        <w:trPr/>
        <w:tc>
          <w:tcPr>
            <w:tcW w:w="2472"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0" w:type="dxa"/>
            <w:gridSpan w:val="3"/>
            <w:tcBorders/>
            <w:shd w:fill="auto" w:val="clear"/>
            <w:vAlign w:val="center"/>
          </w:tcPr>
          <w:p>
            <w:pPr>
              <w:pStyle w:val="TableContents"/>
              <w:spacing w:before="0" w:after="283"/>
              <w:rPr>
                <w:sz w:val="4"/>
                <w:szCs w:val="4"/>
              </w:rPr>
            </w:pPr>
            <w:r>
              <w:rPr>
                <w:sz w:val="4"/>
                <w:szCs w:val="4"/>
              </w:rPr>
            </w:r>
          </w:p>
        </w:tc>
      </w:tr>
      <w:tr>
        <w:trPr/>
        <w:tc>
          <w:tcPr>
            <w:tcW w:w="2472"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0" w:type="dxa"/>
            <w:gridSpan w:val="3"/>
            <w:tcBorders/>
            <w:shd w:fill="auto" w:val="clear"/>
            <w:vAlign w:val="center"/>
          </w:tcPr>
          <w:p>
            <w:pPr>
              <w:pStyle w:val="TableContents"/>
              <w:spacing w:before="0" w:after="283"/>
              <w:rPr>
                <w:sz w:val="4"/>
                <w:szCs w:val="4"/>
              </w:rPr>
            </w:pPr>
            <w:r>
              <w:rPr>
                <w:sz w:val="4"/>
                <w:szCs w:val="4"/>
              </w:rPr>
            </w:r>
          </w:p>
        </w:tc>
      </w:tr>
      <w:tr>
        <w:trPr/>
        <w:tc>
          <w:tcPr>
            <w:tcW w:w="2472"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0" w:type="dxa"/>
            <w:gridSpan w:val="3"/>
            <w:tcBorders/>
            <w:shd w:fill="auto" w:val="clear"/>
            <w:vAlign w:val="center"/>
          </w:tcPr>
          <w:p>
            <w:pPr>
              <w:pStyle w:val="TableContents"/>
              <w:spacing w:before="0" w:after="283"/>
              <w:rPr>
                <w:sz w:val="4"/>
                <w:szCs w:val="4"/>
              </w:rPr>
            </w:pPr>
            <w:r>
              <w:rPr>
                <w:sz w:val="4"/>
                <w:szCs w:val="4"/>
              </w:rPr>
            </w:r>
          </w:p>
        </w:tc>
      </w:tr>
      <w:tr>
        <w:trPr/>
        <w:tc>
          <w:tcPr>
            <w:tcW w:w="24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3"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4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30"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24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3" w:type="dxa"/>
            <w:gridSpan w:val="3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4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Service cost </w:t>
            </w:r>
            <w:r>
              <w:rPr>
                <w:rFonts w:ascii="Times New Roman;sans-serif" w:hAnsi="Times New Roman;sans-serif"/>
                <w:b w:val="false"/>
                <w:color w:val="000000"/>
                <w:sz w:val="16"/>
              </w:rPr>
              <w:t>(1)</w:t>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Interest cost</w:t>
            </w:r>
            <w:r>
              <w:rPr>
                <w:color w:val="000000"/>
              </w:rPr>
              <w:t xml:space="preserve"> </w:t>
            </w:r>
            <w:r>
              <w:rPr>
                <w:rFonts w:ascii="Times New Roman;sans-serif" w:hAnsi="Times New Roman;sans-serif"/>
                <w:b w:val="false"/>
                <w:color w:val="000000"/>
                <w:sz w:val="16"/>
              </w:rPr>
              <w:t>(2)</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Expected return on plan assets </w:t>
            </w:r>
            <w:r>
              <w:rPr>
                <w:rFonts w:ascii="Times New Roman;sans-serif" w:hAnsi="Times New Roman;sans-serif"/>
                <w:b w:val="false"/>
                <w:color w:val="000000"/>
                <w:sz w:val="16"/>
              </w:rPr>
              <w:t>(2)</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Amortization of prior service cost (credit)</w:t>
            </w:r>
            <w:r>
              <w:rPr>
                <w:color w:val="000000"/>
              </w:rPr>
              <w:t xml:space="preserve"> </w:t>
            </w:r>
            <w:r>
              <w:rPr>
                <w:rFonts w:ascii="Times New Roman;sans-serif" w:hAnsi="Times New Roman;sans-serif"/>
                <w:b w:val="false"/>
                <w:color w:val="000000"/>
                <w:sz w:val="16"/>
              </w:rPr>
              <w:t>(2)</w:t>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Amortization of net loss </w:t>
            </w:r>
            <w:r>
              <w:rPr>
                <w:rFonts w:ascii="Times New Roman;sans-serif" w:hAnsi="Times New Roman;sans-serif"/>
                <w:b w:val="false"/>
                <w:color w:val="000000"/>
                <w:sz w:val="16"/>
              </w:rPr>
              <w:t>(2)</w:t>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2"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0" w:type="dxa"/>
            <w:gridSpan w:val="3"/>
            <w:tcBorders/>
            <w:shd w:fill="auto" w:val="clear"/>
            <w:vAlign w:val="center"/>
          </w:tcPr>
          <w:p>
            <w:pPr>
              <w:pStyle w:val="TableContents"/>
              <w:spacing w:before="0" w:after="283"/>
              <w:rPr>
                <w:sz w:val="4"/>
                <w:szCs w:val="4"/>
              </w:rPr>
            </w:pPr>
            <w:r>
              <w:rPr>
                <w:sz w:val="4"/>
                <w:szCs w:val="4"/>
              </w:rPr>
            </w:r>
          </w:p>
        </w:tc>
      </w:tr>
      <w:tr>
        <w:trPr/>
        <w:tc>
          <w:tcPr>
            <w:tcW w:w="2472"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0" w:type="dxa"/>
            <w:gridSpan w:val="3"/>
            <w:tcBorders/>
            <w:shd w:fill="auto" w:val="clear"/>
            <w:vAlign w:val="center"/>
          </w:tcPr>
          <w:p>
            <w:pPr>
              <w:pStyle w:val="TableContents"/>
              <w:spacing w:before="0" w:after="283"/>
              <w:rPr>
                <w:sz w:val="4"/>
                <w:szCs w:val="4"/>
              </w:rPr>
            </w:pPr>
            <w:r>
              <w:rPr>
                <w:sz w:val="4"/>
                <w:szCs w:val="4"/>
              </w:rPr>
            </w:r>
          </w:p>
        </w:tc>
      </w:tr>
      <w:tr>
        <w:trPr/>
        <w:tc>
          <w:tcPr>
            <w:tcW w:w="2472"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0" w:type="dxa"/>
            <w:gridSpan w:val="3"/>
            <w:tcBorders/>
            <w:shd w:fill="auto" w:val="clear"/>
            <w:vAlign w:val="center"/>
          </w:tcPr>
          <w:p>
            <w:pPr>
              <w:pStyle w:val="TableContents"/>
              <w:spacing w:before="0" w:after="283"/>
              <w:rPr>
                <w:sz w:val="4"/>
                <w:szCs w:val="4"/>
              </w:rPr>
            </w:pPr>
            <w:r>
              <w:rPr>
                <w:sz w:val="4"/>
                <w:szCs w:val="4"/>
              </w:rPr>
            </w:r>
          </w:p>
        </w:tc>
      </w:tr>
      <w:tr>
        <w:trPr/>
        <w:tc>
          <w:tcPr>
            <w:tcW w:w="2472"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0" w:type="dxa"/>
            <w:gridSpan w:val="3"/>
            <w:tcBorders/>
            <w:shd w:fill="auto" w:val="clear"/>
            <w:vAlign w:val="center"/>
          </w:tcPr>
          <w:p>
            <w:pPr>
              <w:pStyle w:val="TableContents"/>
              <w:spacing w:before="0" w:after="283"/>
              <w:rPr>
                <w:sz w:val="4"/>
                <w:szCs w:val="4"/>
              </w:rPr>
            </w:pPr>
            <w:r>
              <w:rPr>
                <w:sz w:val="4"/>
                <w:szCs w:val="4"/>
              </w:rPr>
            </w:r>
          </w:p>
        </w:tc>
      </w:tr>
      <w:tr>
        <w:trPr/>
        <w:tc>
          <w:tcPr>
            <w:tcW w:w="2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cost (benefit)</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(1)Amounts presented in the tables above are included in Operation and maintenance expense in each of the Registrants’ respective Condensed Statements of Consolidated Income, net of amounts capitalized and regulatory deferrals.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(2)Amounts presented in the tables above are included in Other income (expense), net in each of the Registrants’ respective Condensed Statements of Consolidated Income, net of regulatory deferrals.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the expected minimum contributions to be made to the pension and postretirement benefit plans during 2023:</w:t>
      </w:r>
    </w:p>
    <w:tbl>
      <w:tblPr>
        <w:tblW w:w="10205" w:type="dxa"/>
        <w:jc w:val="left"/>
        <w:tblInd w:w="0" w:type="dxa"/>
        <w:tblCellMar>
          <w:top w:w="28" w:type="dxa"/>
          <w:left w:w="28" w:type="dxa"/>
          <w:bottom w:w="28" w:type="dxa"/>
          <w:right w:w="28" w:type="dxa"/>
        </w:tblCellMar>
      </w:tblPr>
      <w:tblGrid>
        <w:gridCol w:w="2142"/>
        <w:gridCol w:w="1881"/>
        <w:gridCol w:w="1891"/>
        <w:gridCol w:w="568"/>
        <w:gridCol w:w="690"/>
        <w:gridCol w:w="294"/>
        <w:gridCol w:w="109"/>
        <w:gridCol w:w="109"/>
        <w:gridCol w:w="109"/>
        <w:gridCol w:w="380"/>
        <w:gridCol w:w="734"/>
        <w:gridCol w:w="196"/>
        <w:gridCol w:w="109"/>
        <w:gridCol w:w="109"/>
        <w:gridCol w:w="109"/>
        <w:gridCol w:w="211"/>
        <w:gridCol w:w="406"/>
        <w:gridCol w:w="158"/>
      </w:tblGrid>
      <w:tr>
        <w:trPr/>
        <w:tc>
          <w:tcPr>
            <w:tcW w:w="2142" w:type="dxa"/>
            <w:tcBorders/>
            <w:shd w:fill="auto" w:val="clear"/>
            <w:vAlign w:val="center"/>
          </w:tcPr>
          <w:p>
            <w:pPr>
              <w:pStyle w:val="TableContents"/>
              <w:spacing w:before="0" w:after="283"/>
              <w:rPr>
                <w:sz w:val="4"/>
                <w:szCs w:val="4"/>
              </w:rPr>
            </w:pPr>
            <w:r>
              <w:rPr>
                <w:sz w:val="4"/>
                <w:szCs w:val="4"/>
              </w:rPr>
            </w:r>
          </w:p>
        </w:tc>
        <w:tc>
          <w:tcPr>
            <w:tcW w:w="1881" w:type="dxa"/>
            <w:tcBorders/>
            <w:shd w:fill="auto" w:val="clear"/>
            <w:vAlign w:val="center"/>
          </w:tcPr>
          <w:p>
            <w:pPr>
              <w:pStyle w:val="TableContents"/>
              <w:spacing w:before="0" w:after="283"/>
              <w:rPr>
                <w:sz w:val="4"/>
                <w:szCs w:val="4"/>
              </w:rPr>
            </w:pPr>
            <w:r>
              <w:rPr>
                <w:sz w:val="4"/>
                <w:szCs w:val="4"/>
              </w:rPr>
            </w:r>
          </w:p>
        </w:tc>
        <w:tc>
          <w:tcPr>
            <w:tcW w:w="1891"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5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minimum contribution to pension plans during 2023 </w:t>
            </w:r>
          </w:p>
        </w:tc>
        <w:tc>
          <w:tcPr>
            <w:tcW w:w="5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minimum contribution to postretirement benefit plans in 2023</w:t>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the contributions made to the pension and postretirement benefit plans:</w:t>
      </w:r>
    </w:p>
    <w:tbl>
      <w:tblPr>
        <w:tblW w:w="8394" w:type="dxa"/>
        <w:jc w:val="left"/>
        <w:tblInd w:w="0" w:type="dxa"/>
        <w:tblCellMar>
          <w:top w:w="28" w:type="dxa"/>
          <w:left w:w="28" w:type="dxa"/>
          <w:bottom w:w="28" w:type="dxa"/>
          <w:right w:w="28" w:type="dxa"/>
        </w:tblCellMar>
      </w:tblPr>
      <w:tblGrid>
        <w:gridCol w:w="861"/>
        <w:gridCol w:w="759"/>
        <w:gridCol w:w="765"/>
        <w:gridCol w:w="109"/>
        <w:gridCol w:w="109"/>
        <w:gridCol w:w="248"/>
        <w:gridCol w:w="248"/>
        <w:gridCol w:w="248"/>
        <w:gridCol w:w="248"/>
        <w:gridCol w:w="248"/>
        <w:gridCol w:w="248"/>
        <w:gridCol w:w="571"/>
        <w:gridCol w:w="694"/>
        <w:gridCol w:w="294"/>
        <w:gridCol w:w="109"/>
        <w:gridCol w:w="109"/>
        <w:gridCol w:w="109"/>
        <w:gridCol w:w="383"/>
        <w:gridCol w:w="738"/>
        <w:gridCol w:w="198"/>
        <w:gridCol w:w="109"/>
        <w:gridCol w:w="109"/>
        <w:gridCol w:w="109"/>
        <w:gridCol w:w="211"/>
        <w:gridCol w:w="406"/>
        <w:gridCol w:w="154"/>
      </w:tblGrid>
      <w:tr>
        <w:trPr/>
        <w:tc>
          <w:tcPr>
            <w:tcW w:w="861"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2744" w:type="dxa"/>
            <w:gridSpan w:val="12"/>
            <w:tcBorders/>
            <w:shd w:fill="auto" w:val="clea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5047"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benefit plans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(6) Regulatory Matters </w:t>
      </w:r>
    </w:p>
    <w:p>
      <w:pPr>
        <w:pStyle w:val="TextBody"/>
        <w:spacing w:before="0" w:after="0"/>
        <w:ind w:left="0" w:right="0" w:firstLine="360"/>
        <w:jc w:val="both"/>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Equity Return </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are at times allowed by a regulator to defer an equity return as part of the recoverable carrying costs of a regulatory asset. A deferred equity return is capitalized for rate-making purposes, but it is not included in the Registrant’s regulatory assets on its Condensed Consolidated Balance Sheets. The allowed equity return is recognized in the Condensed Statements of Consolidated Income as it is recovered in rates. The recoverable allowed equity return not yet recognized by the Registrants is as follows: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699"/>
        <w:gridCol w:w="614"/>
        <w:gridCol w:w="616"/>
        <w:gridCol w:w="384"/>
        <w:gridCol w:w="825"/>
        <w:gridCol w:w="215"/>
        <w:gridCol w:w="109"/>
        <w:gridCol w:w="109"/>
        <w:gridCol w:w="109"/>
        <w:gridCol w:w="358"/>
        <w:gridCol w:w="605"/>
        <w:gridCol w:w="199"/>
        <w:gridCol w:w="109"/>
        <w:gridCol w:w="109"/>
        <w:gridCol w:w="109"/>
        <w:gridCol w:w="218"/>
        <w:gridCol w:w="368"/>
        <w:gridCol w:w="121"/>
        <w:gridCol w:w="109"/>
        <w:gridCol w:w="109"/>
        <w:gridCol w:w="109"/>
        <w:gridCol w:w="384"/>
        <w:gridCol w:w="825"/>
        <w:gridCol w:w="215"/>
        <w:gridCol w:w="109"/>
        <w:gridCol w:w="109"/>
        <w:gridCol w:w="109"/>
        <w:gridCol w:w="358"/>
        <w:gridCol w:w="605"/>
        <w:gridCol w:w="199"/>
        <w:gridCol w:w="109"/>
        <w:gridCol w:w="109"/>
        <w:gridCol w:w="109"/>
        <w:gridCol w:w="216"/>
        <w:gridCol w:w="366"/>
        <w:gridCol w:w="180"/>
      </w:tblGrid>
      <w:tr>
        <w:trPr/>
        <w:tc>
          <w:tcPr>
            <w:tcW w:w="699"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1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CenterPoint Energy</w:t>
            </w:r>
            <w:r>
              <w:rPr>
                <w:color w:val="000000"/>
              </w:rPr>
              <w:t xml:space="preserve"> </w:t>
            </w:r>
            <w:r>
              <w:rPr>
                <w:rFonts w:ascii="Times New Roman;sans-serif" w:hAnsi="Times New Roman;sans-serif"/>
                <w:b/>
                <w:color w:val="000000"/>
                <w:sz w:val="12"/>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Houston Electric </w:t>
            </w:r>
            <w:r>
              <w:rPr>
                <w:rFonts w:ascii="Times New Roman;sans-serif" w:hAnsi="Times New Roman;sans-serif"/>
                <w:b/>
                <w:color w:val="000000"/>
                <w:sz w:val="12"/>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CERC </w:t>
            </w:r>
            <w:r>
              <w:rPr>
                <w:rFonts w:ascii="Times New Roman;sans-serif" w:hAnsi="Times New Roman;sans-serif"/>
                <w:b/>
                <w:color w:val="000000"/>
                <w:sz w:val="12"/>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CenterPoint Energy</w:t>
            </w:r>
            <w:r>
              <w:rPr>
                <w:color w:val="000000"/>
              </w:rPr>
              <w:t xml:space="preserve"> </w:t>
            </w:r>
            <w:r>
              <w:rPr>
                <w:rFonts w:ascii="Times New Roman;sans-serif" w:hAnsi="Times New Roman;sans-serif"/>
                <w:b/>
                <w:color w:val="000000"/>
                <w:sz w:val="12"/>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Houston Electric </w:t>
            </w:r>
            <w:r>
              <w:rPr>
                <w:rFonts w:ascii="Times New Roman;sans-serif" w:hAnsi="Times New Roman;sans-serif"/>
                <w:b/>
                <w:color w:val="000000"/>
                <w:sz w:val="12"/>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CERC </w:t>
            </w:r>
            <w:r>
              <w:rPr>
                <w:rFonts w:ascii="Times New Roman;sans-serif" w:hAnsi="Times New Roman;sans-serif"/>
                <w:b/>
                <w:color w:val="000000"/>
                <w:sz w:val="12"/>
              </w:rPr>
              <w:t>(3)</w:t>
            </w:r>
          </w:p>
        </w:tc>
      </w:tr>
      <w:tr>
        <w:trPr/>
        <w:tc>
          <w:tcPr>
            <w:tcW w:w="19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6"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Allowed equity return not recognized</w:t>
            </w:r>
          </w:p>
        </w:tc>
        <w:tc>
          <w:tcPr>
            <w:tcW w:w="3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(1)In addition to the amounts described in (2) and (3) below, represents CenterPoint Energy’s allowed equity return on post in-service carrying cost generally associated with investments at SIGECO.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(2)Represents Houston Electric’s allowed equity return on its true-up balance of stranded costs, other changes and related interest resulting from the formerly integrated electric utilities prior to Texas deregulation to be recovered in rates through 2024 and certain storm restoration, TEEEF and LLTF balances pending recovery in the next rate proceeding. The actual amounts recognized are adjusted at least annually to correct any over-collections or under-collections during the preceding 12 months.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(3)CERC’s allowed equity return on post in-service carrying cost associated with certain distribution facilities replacements expenditures in Texas and costs associated with investments in Indiana.</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the amount of allowed equity return recognized by each Registrant in its Condensed Statements of Consolidated Income:</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774"/>
        <w:gridCol w:w="680"/>
        <w:gridCol w:w="682"/>
        <w:gridCol w:w="514"/>
        <w:gridCol w:w="632"/>
        <w:gridCol w:w="287"/>
        <w:gridCol w:w="109"/>
        <w:gridCol w:w="109"/>
        <w:gridCol w:w="109"/>
        <w:gridCol w:w="425"/>
        <w:gridCol w:w="524"/>
        <w:gridCol w:w="238"/>
        <w:gridCol w:w="109"/>
        <w:gridCol w:w="109"/>
        <w:gridCol w:w="109"/>
        <w:gridCol w:w="204"/>
        <w:gridCol w:w="252"/>
        <w:gridCol w:w="115"/>
        <w:gridCol w:w="109"/>
        <w:gridCol w:w="109"/>
        <w:gridCol w:w="109"/>
        <w:gridCol w:w="441"/>
        <w:gridCol w:w="746"/>
        <w:gridCol w:w="247"/>
        <w:gridCol w:w="109"/>
        <w:gridCol w:w="109"/>
        <w:gridCol w:w="109"/>
        <w:gridCol w:w="425"/>
        <w:gridCol w:w="524"/>
        <w:gridCol w:w="238"/>
        <w:gridCol w:w="109"/>
        <w:gridCol w:w="109"/>
        <w:gridCol w:w="109"/>
        <w:gridCol w:w="204"/>
        <w:gridCol w:w="251"/>
        <w:gridCol w:w="167"/>
      </w:tblGrid>
      <w:tr>
        <w:trPr/>
        <w:tc>
          <w:tcPr>
            <w:tcW w:w="774"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2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9"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5"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9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21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69"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Allowed equity return recognized</w:t>
            </w:r>
          </w:p>
        </w:tc>
        <w:tc>
          <w:tcPr>
            <w:tcW w:w="5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36" w:type="dxa"/>
            <w:gridSpan w:val="3"/>
            <w:tcBorders/>
            <w:shd w:fill="auto" w:val="clear"/>
            <w:vAlign w:val="center"/>
          </w:tcPr>
          <w:p>
            <w:pPr>
              <w:pStyle w:val="TableContents"/>
              <w:spacing w:before="0" w:after="283"/>
              <w:rPr>
                <w:sz w:val="4"/>
                <w:szCs w:val="4"/>
              </w:rPr>
            </w:pPr>
            <w:r>
              <w:rPr>
                <w:sz w:val="4"/>
                <w:szCs w:val="4"/>
              </w:rPr>
            </w:r>
          </w:p>
        </w:tc>
        <w:tc>
          <w:tcPr>
            <w:tcW w:w="1433" w:type="dxa"/>
            <w:gridSpan w:val="3"/>
            <w:tcBorders/>
            <w:shd w:fill="auto" w:val="clear"/>
            <w:vAlign w:val="center"/>
          </w:tcPr>
          <w:p>
            <w:pPr>
              <w:pStyle w:val="TableContents"/>
              <w:spacing w:before="0" w:after="283"/>
              <w:rPr>
                <w:sz w:val="4"/>
                <w:szCs w:val="4"/>
              </w:rPr>
            </w:pPr>
            <w:r>
              <w:rPr>
                <w:sz w:val="4"/>
                <w:szCs w:val="4"/>
              </w:rPr>
            </w:r>
          </w:p>
        </w:tc>
        <w:tc>
          <w:tcPr>
            <w:tcW w:w="6636" w:type="dxa"/>
            <w:gridSpan w:val="30"/>
            <w:tcBorders/>
            <w:shd w:fill="auto" w:val="clear"/>
          </w:tcPr>
          <w:p>
            <w:pPr>
              <w:pStyle w:val="TableContents"/>
              <w:spacing w:before="0" w:after="283"/>
              <w:rPr>
                <w:sz w:val="4"/>
                <w:szCs w:val="4"/>
              </w:rPr>
            </w:pPr>
            <w:r>
              <w:rPr>
                <w:sz w:val="4"/>
                <w:szCs w:val="4"/>
              </w:rPr>
            </w:r>
          </w:p>
        </w:tc>
      </w:tr>
      <w:tr>
        <w:trPr/>
        <w:tc>
          <w:tcPr>
            <w:tcW w:w="2136" w:type="dxa"/>
            <w:gridSpan w:val="3"/>
            <w:tcBorders/>
            <w:shd w:fill="auto" w:val="clear"/>
            <w:vAlign w:val="center"/>
          </w:tcPr>
          <w:p>
            <w:pPr>
              <w:pStyle w:val="TableContents"/>
              <w:spacing w:before="0" w:after="283"/>
              <w:rPr>
                <w:sz w:val="4"/>
                <w:szCs w:val="4"/>
              </w:rPr>
            </w:pPr>
            <w:r>
              <w:rPr>
                <w:sz w:val="4"/>
                <w:szCs w:val="4"/>
              </w:rPr>
            </w:r>
          </w:p>
        </w:tc>
        <w:tc>
          <w:tcPr>
            <w:tcW w:w="14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5122" w:type="dxa"/>
            <w:gridSpan w:val="24"/>
            <w:tcBorders/>
            <w:shd w:fill="auto" w:val="clear"/>
          </w:tcPr>
          <w:p>
            <w:pPr>
              <w:pStyle w:val="TableContents"/>
              <w:spacing w:before="0" w:after="283"/>
              <w:rPr>
                <w:sz w:val="4"/>
                <w:szCs w:val="4"/>
              </w:rPr>
            </w:pPr>
            <w:r>
              <w:rPr>
                <w:sz w:val="4"/>
                <w:szCs w:val="4"/>
              </w:rPr>
            </w:r>
          </w:p>
        </w:tc>
      </w:tr>
      <w:tr>
        <w:trPr/>
        <w:tc>
          <w:tcPr>
            <w:tcW w:w="2136" w:type="dxa"/>
            <w:gridSpan w:val="3"/>
            <w:tcBorders/>
            <w:shd w:fill="auto" w:val="clear"/>
            <w:vAlign w:val="center"/>
          </w:tcPr>
          <w:p>
            <w:pPr>
              <w:pStyle w:val="TableContents"/>
              <w:spacing w:before="0" w:after="283"/>
              <w:rPr>
                <w:sz w:val="4"/>
                <w:szCs w:val="4"/>
              </w:rPr>
            </w:pPr>
            <w:r>
              <w:rPr>
                <w:sz w:val="4"/>
                <w:szCs w:val="4"/>
              </w:rPr>
            </w:r>
          </w:p>
        </w:tc>
        <w:tc>
          <w:tcPr>
            <w:tcW w:w="14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2" w:type="dxa"/>
            <w:gridSpan w:val="3"/>
            <w:tcBorders/>
            <w:shd w:fill="auto" w:val="clear"/>
            <w:vAlign w:val="center"/>
          </w:tcPr>
          <w:p>
            <w:pPr>
              <w:pStyle w:val="TableContents"/>
              <w:spacing w:before="0" w:after="283"/>
              <w:rPr>
                <w:sz w:val="4"/>
                <w:szCs w:val="4"/>
              </w:rPr>
            </w:pPr>
            <w:r>
              <w:rPr>
                <w:sz w:val="4"/>
                <w:szCs w:val="4"/>
              </w:rPr>
            </w:r>
          </w:p>
        </w:tc>
      </w:tr>
      <w:tr>
        <w:trPr/>
        <w:tc>
          <w:tcPr>
            <w:tcW w:w="2136" w:type="dxa"/>
            <w:gridSpan w:val="3"/>
            <w:tcBorders/>
            <w:shd w:fill="auto" w:val="clear"/>
            <w:vAlign w:val="center"/>
          </w:tcPr>
          <w:p>
            <w:pPr>
              <w:pStyle w:val="TableContents"/>
              <w:spacing w:before="0" w:after="283"/>
              <w:rPr>
                <w:sz w:val="4"/>
                <w:szCs w:val="4"/>
              </w:rPr>
            </w:pPr>
            <w:r>
              <w:rPr>
                <w:sz w:val="4"/>
                <w:szCs w:val="4"/>
              </w:rPr>
            </w:r>
          </w:p>
        </w:tc>
        <w:tc>
          <w:tcPr>
            <w:tcW w:w="1433" w:type="dxa"/>
            <w:gridSpan w:val="3"/>
            <w:tcBorders/>
            <w:shd w:fill="auto" w:val="clear"/>
            <w:vAlign w:val="center"/>
          </w:tcPr>
          <w:p>
            <w:pPr>
              <w:pStyle w:val="TableContents"/>
              <w:spacing w:before="0" w:after="283"/>
              <w:rPr>
                <w:sz w:val="4"/>
                <w:szCs w:val="4"/>
              </w:rPr>
            </w:pPr>
            <w:r>
              <w:rPr>
                <w:sz w:val="4"/>
                <w:szCs w:val="4"/>
              </w:rPr>
            </w:r>
          </w:p>
        </w:tc>
        <w:tc>
          <w:tcPr>
            <w:tcW w:w="6636" w:type="dxa"/>
            <w:gridSpan w:val="30"/>
            <w:tcBorders/>
            <w:shd w:fill="auto" w:val="clear"/>
          </w:tcPr>
          <w:p>
            <w:pPr>
              <w:pStyle w:val="TableContents"/>
              <w:spacing w:before="0" w:after="283"/>
              <w:rPr>
                <w:sz w:val="4"/>
                <w:szCs w:val="4"/>
              </w:rPr>
            </w:pPr>
            <w:r>
              <w:rPr>
                <w:sz w:val="4"/>
                <w:szCs w:val="4"/>
              </w:rPr>
            </w:r>
          </w:p>
        </w:tc>
      </w:tr>
      <w:tr>
        <w:trPr/>
        <w:tc>
          <w:tcPr>
            <w:tcW w:w="2136" w:type="dxa"/>
            <w:gridSpan w:val="3"/>
            <w:tcBorders/>
            <w:shd w:fill="auto" w:val="clear"/>
            <w:vAlign w:val="center"/>
          </w:tcPr>
          <w:p>
            <w:pPr>
              <w:pStyle w:val="TableContents"/>
              <w:spacing w:before="0" w:after="283"/>
              <w:rPr>
                <w:sz w:val="4"/>
                <w:szCs w:val="4"/>
              </w:rPr>
            </w:pPr>
            <w:r>
              <w:rPr>
                <w:sz w:val="4"/>
                <w:szCs w:val="4"/>
              </w:rPr>
            </w:r>
          </w:p>
        </w:tc>
        <w:tc>
          <w:tcPr>
            <w:tcW w:w="14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180"/>
        <w:jc w:val="both"/>
        <w:rPr/>
      </w:pPr>
      <w:r>
        <w:rPr>
          <w:rFonts w:ascii="Times New Roman;sans-serif" w:hAnsi="Times New Roman;sans-serif"/>
          <w:b/>
          <w:i/>
          <w:color w:val="000000"/>
          <w:sz w:val="20"/>
        </w:rPr>
        <w:t>February 2021 Winter Storm Event</w:t>
      </w:r>
      <w:r>
        <w:rPr>
          <w:color w:val="000000"/>
        </w:rPr>
        <w:t xml:space="preserve"> </w:t>
      </w:r>
    </w:p>
    <w:p>
      <w:pPr>
        <w:pStyle w:val="TextBody"/>
        <w:spacing w:before="0" w:after="0"/>
        <w:ind w:left="0" w:right="0" w:firstLine="18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2021, certain of the Registrants’ jurisdictions experienced an extreme and unprecedented winter weather event that resulted in prolonged freezing temperatures, which impacted their businesses. The February 2021 Winter Storm Event impacted wholesale prices of CenterPoint Energy’s and CERC’s natural gas purchases and their ability to serve customers in their Natural Gas service territories, including due to the reduction in available natural gas capacity and impacts to CenterPoint Energy’s and CERC’s natural gas supply portfolio activities, and the effects of weather on their systems and their ability to transport natural gas, among other things. The overall natural gas market, including the markets from which CenterPoint Energy and CERC sourced a significant portion of their natural gas for their operations, experienced significant impacts caused by the February 2021 Winter Storm Event, resulting in extraordinary increases in the cost of natural gas purchased by CenterPoint Energy and CERC of approximately $2 billion. CenterPoint Energy and CERC have completed recovery of natural gas costs in Mississippi, Indiana and Texas discussed further below, and continue to recover the natural gas cost in Louisiana and Minnesota. As of March 31, 2023, CenterPoint Energy and CERC have each recorded current regulatory assets of $102 million and non-current regulatory assets of $161 million associated with the February 2021 Winter Storm Event. As of December 31, 2022, CenterPoint Energy and CERC have each recorded current regulatory assets of $1,175 million and non-current regulatory assets of $202 million associated with the February 2021 Winter Storm Event.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Minnesota, the MPUC issued its written order on October 19, 2022 disallowing CERC’s recovery of approximately $36 million of the $409 million incurred, and CERC’s regulatory asset balance was reduced to reflect the disallowance. CERC filed a petition for reconsideration on November 8, 2022 and a written order denying the petition for reconsideration was issued on January 6, 2023.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 and CERC have approximately $75 million of the total $2 billion of natural gas costs incurred during the February 2021 Winter Storm Event remaining under prudence review. Recovery of natural gas costs within the regulatory assets as of March 31, 2023 are probable and may be subject to customary regulatory prudence reviews in all jurisdictions, which may impact the amounts ultimately recovered.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both March 31, 2023 and December 31, 2022, as authorized by the PUCT, both CenterPoint Energy and Houston Electric recorded a regulatory asset of $8 million for bad debt expenses resulting from REPs’ default on their obligation to pay delivery charges to Houston Electric net of collateral. Additionally, both CenterPoint Energy and Houston Electric recorded a regulatory asset of $16 million as of both March 31, 2023 and December 31, 2022, to defer operations and maintenance costs associated with the February 2021 Winter Storm Event.</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13(c) for further information regarding litigation related to the February 2021 Winter Storm Event.</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Times New Roman;sans-serif" w:hAnsi="Times New Roman;sans-serif"/>
          <w:b w:val="false"/>
          <w:i/>
          <w:color w:val="000000"/>
          <w:sz w:val="20"/>
        </w:rPr>
        <w:t>Texas Public Securitization.</w:t>
      </w:r>
      <w:r>
        <w:rPr>
          <w:color w:val="000000"/>
        </w:rPr>
        <w:t xml:space="preserve"> </w:t>
      </w:r>
      <w:r>
        <w:rPr>
          <w:rFonts w:ascii="Times New Roman;sans-serif" w:hAnsi="Times New Roman;sans-serif"/>
          <w:b w:val="false"/>
          <w:color w:val="000000"/>
          <w:sz w:val="20"/>
        </w:rPr>
        <w:t xml:space="preserve">In 2022, CenterPoint Energy and CERC received approval to recover CERC’s natural gas costs related to the February 2021 Winter Storm Event in Texas through the state’s public securitization program. The Texas Natural Gas Securitization Finance Corporation issued customer rate relief bonds in March 2023, and on March 23, 2023, CenterPoint Energy and CERC, collectively, received approximately $1.1 billion in cash proceeds from the state’s customer rate relief bonds. The proceeds from the state’s customer rate relief bonds included carrying costs incurred through August 2022. Incremental carrying costs incurred after August 2022 until the date the proceeds were received are recorded in a separate regulatory asset to be included for recovery in a subsequent rate proceeding. As CenterPoint Energy and CERC have no future financial obligations for the repayment of the state’s customer rate relief bonds, the customer rate relief bonds are not recorded on CenterPoint Energy’s or CERC’s balance sheets. The $1.1 billion in cash proceeds from the customer rate relief bonds is considered to be a government grant. The state’s customer rate relief bonds are backed in part by customer rate relief property, including customer rate relief charges, which are nonbypassable uniform monthly volumetric charges to be paid by all existing and future customers as a component of each regulated utility’s gas cost or in another manner that the Railroad Commission determines reasonable, separate from their base rate. CERC only acts as a collection agent, whose duties include management, servicing and administration of a portion of the customer rate relief property which is associated with the customer rate relief charge imposed on customers of CERC under the guidance and direction from the Railroad Commission. The Texas Natural Gas Securitization Finance Corporation, and not CenterPoint Energy or CERC, is the owner of the customer rate relief property. The assets of the Texas Natural Gas Securitization Finance Corporation are not available to pay creditors of CenterPoint Energy, CERC, or their affiliates. While the customer rate relief charges will be included by CERC in their monthly billings, the billing amount is established by the Railroad Commission. CERC will remit all customer rate relief charges to the financing entity set up by the Railroad Commission. Therefore, collection and service to repay the state’s customer rate relief bonds have no impact on the respective Condensed Statements of Consolidated Income of CenterPoint Energy or CERC.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U.S. generally accepted accounting principles have no specific accounting guidance for government grants or assistance, the cash proceeds from the state’s customer rate relief bonds were accounted for as a government grant by analogy to the grant model under IAS 20—Accounting for Government Grants and Disclosures of Government Assistance. CenterPoint Energy and CERC reflect the proceeds from the grant as a deduction to natural gas costs and recognized the $1.1 billion of cash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proceeds from the state’s customer rate relief bonds within Utility natural gas expense on their respective Condensed Statements of Consolidated Income, net of the recognition of natural gas cost related to relieving CenterPoint Energy and CERC’s regulatory assets related to the February 2021 Winter Storm Event.</w:t>
      </w:r>
    </w:p>
    <w:p>
      <w:pPr>
        <w:pStyle w:val="TextBody"/>
        <w:spacing w:before="0" w:after="0"/>
        <w:ind w:left="0" w:right="0" w:firstLine="360"/>
        <w:jc w:val="both"/>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Indiana Electric Securitization of Planned Generation Retirements (CenterPoint Energy)</w:t>
      </w:r>
    </w:p>
    <w:p>
      <w:pPr>
        <w:pStyle w:val="TextBody"/>
        <w:spacing w:before="0" w:after="0"/>
        <w:ind w:left="0" w:right="0" w:firstLine="18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State of Indiana has enacted legislation, Senate Bill 386, that allows CenterPoint Energy to request approval from the IURC to securitize the remaining book value and removal costs associated with certain generating facilities not more than twenty-four months before the unit is retired. The Governor of Indiana signed the legislation on April 19, 2021. On May 10, 2022, CenterPoint Energy (Indiana Electric) filed an application with the IURC to securitize qualified costs associated with its planned retirements of coal generation facilities. Total qualified costs were estimated at $360 million, of which $350 million would be financed and $10 million are estimated total ongoing costs. A hearing was held before the IURC on September 7, 2022 and an order was issued by the IURC on January 4, 2023 authorizing the issuance of up to $350 million in securitization bonds. Accordingly, CenterPoint Energy determined that the retirement of property, plant and equipment became probable upon the issuance of the order. No loss on abandonment was recognized in connection with issuance of the order as there was no disallowance of all or part of the cost of the abandoned property, plant and equipment. CenterPoint Energy reclassified property, plant and equipment of $257 million to be recovered through securitization to a regulatory asset during the three months ended March 31, 2023 and such amounts will continue to earn a full return until recovered through securitization. The amount remaining in property, plant and equipment as of March 31, 2023 is the difference in the net book value of the property, plant and equipment between the issuance of the order and the anticipated securitization bond issuance date, and is essentially the estimated depreciation during that period. </w:t>
      </w:r>
    </w:p>
    <w:p>
      <w:pPr>
        <w:pStyle w:val="TextBody"/>
        <w:spacing w:before="0" w:after="0"/>
        <w:ind w:left="0" w:right="0" w:firstLine="36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24, 2023, SIGECO and the Securitization Subsidiary filed a registration statement on Form SF-1 under the Securities Act of 1933, as amended, with the SEC registering the public offering and sale of up to $350 million aggregate principal amount of the Securitization Subsidiary Securitization Bonds. The registration statement has not yet become effective, and the Securitization Subsidiary Securitization Bonds may not be sold nor may offers to buy be accepted prior to the time the registration statement becomes effective. The Securitization Subsidiary Securitization Bonds will not be obligations of SIGECO or any of its affiliates other than the Securitization Subsidiary. The Securitization Subsidiary Securitization Bonds will not be secured by SIGECO first mortgage bonds, and SIGECO’s rights, titles, and interest in and under the IURC Order, which provides authority to issue the Securitization Subsidiary Securitization Bonds and to impose, collect and receive securitization charges from SIGECO’s electric customers as well as to obtain periodic adjustments to such securitization charges, are not subject to the lien of SIGECO mortgage indenture.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Houston Electric TEEEF</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Houston Electric continues to review the effects of legislation passed in 2021 and is working with the PUCT regarding proposed rulemakings and pursuing implementation of these items where applicable. For example, pursuant to legislation passed in 2021, Houston Electric entered into two leases for TEEEF (mobile generation) which are detailed in Note 19. Houston Electric initially sought recovery of the 2021 lease costs for the TEEEF and the 2021 operational costs for transportation, mobilization and demobilization, labor and materials for interconnections, fuel for commissioning, testing and operation, purchase and lease of auxiliary equipment, and labor and materials for operations in its DCRF application filed with the PUCT on April 5, 2022, and subsequently amended on July 1, 2022, to show mobile generation in a separate Rider TEEEF, seeking recovery of deferred costs and the applicable return as of December 31, 2021 under these lease agreements of approximately $200 million. The annual revenue increase requested for these lease agreements was approximately $57 million. On October 13, 2022, the PUCT staff filed a statement of position recommending a longer amortization period for the short-term lease, deferral of associated rate case expenses to the next base rate proceeding and exclusion of the retail transmission rate class from allocation of TEEEF costs. Lengthening the amortization period for the short-term lease would reduce the revenue requirement to $39 million. Houston Electric indicated to the PUCT staff that it did not oppose their recommendations. On January 27, 2023, the administrative law judges issued a proposal for decision recommending that the PUCT deny recovery of all of the costs related to TEEEF-related investments in 2021. On March 9, 2023, PUCT reversed, in part, the proposal for decision and verbally approved the recovery of all TEEEF costs included in the DCRF application. A final order was issued on April 5, 2023 approving a revenue requirement of $39 million. On April 5, 2023, Houston Electric filed its second TEEEF filing requesting recovery of TEEEF related costs incurred through December 31, 2022. Houston Electric is requesting a total revenue requirement of approximately $188 million.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Houston Electric defers costs associated with the short-term and long-term leases that are probable of recovery and would otherwise be charged to expense in a regulatory asset, including allowed returns, and determined that such regulatory assets remain probable of recovery as of March 31, 2023. Right of use finance lease assets, such as assets acquired under the long-term leases, are evaluated for impairment under the long-lived asset impairment model by assessing if a capital disallowance from a regulator is probable through monitoring the outcome of rate cases and other proceedings. Houston Electric continues to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monitor the on-going proceedings and has not recorded any impairments on its right of use assets in the year ended December 31, 2022 or the three months ended March 31, 2023. See Note 19 for further information.</w:t>
      </w:r>
    </w:p>
    <w:p>
      <w:pPr>
        <w:pStyle w:val="TextBody"/>
        <w:spacing w:before="0" w:after="0"/>
        <w:ind w:left="0" w:right="0" w:firstLine="360"/>
        <w:jc w:val="both"/>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COVID-19 Regulatory Matters </w:t>
      </w:r>
    </w:p>
    <w:p>
      <w:pPr>
        <w:pStyle w:val="TextBody"/>
        <w:spacing w:before="0" w:after="0"/>
        <w:ind w:left="0" w:right="0" w:firstLine="18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commissions in Indiana Electric’s and CenterPoint Energy’s and CERC’s Natural Gas service territories have either (1) issued orders to record a regulatory asset for incremental bad debt expenses related to COVID-19, including costs associated with the suspension of disconnections and payment plans, or (2) provided authority to recover bad debt expense through an existing tracking mechanism. Both CenterPoint Energy and CERC have recorded estimated incremental uncollectible receivables to the associated regulatory asset of $17 million as of both March 31, 2023 and December 31, 2022. Both CenterPoint Energy and CERC have $8 million remaining to recover through rates and other sources as of March 31, 2023 and $11 million and $10 million remaining to recover through rates and other sources as of December 31, 2022, respectively.</w:t>
      </w:r>
    </w:p>
    <w:p>
      <w:pPr>
        <w:pStyle w:val="TextBody"/>
        <w:spacing w:before="0" w:after="0"/>
        <w:ind w:left="0" w:right="0" w:firstLine="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(7) Derivative Instruments </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Registrants are exposed to various market risks. These risks arise from transactions entered into in the normal course of business. The Registrants utilize derivative instruments such as swaps and options to mitigate the impact of changes in commodity prices, weather and interest rates on operating results and cash flows. </w:t>
      </w:r>
    </w:p>
    <w:p>
      <w:pPr>
        <w:pStyle w:val="TextBody"/>
        <w:spacing w:before="0" w:after="0"/>
        <w:ind w:left="0" w:right="0" w:firstLine="360"/>
        <w:jc w:val="both"/>
        <w:rPr/>
      </w:pPr>
      <w:r>
        <w:rPr/>
      </w:r>
    </w:p>
    <w:p>
      <w:pPr>
        <w:pStyle w:val="TextBody"/>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(a)Non-Trading Activities</w:t>
      </w:r>
    </w:p>
    <w:p>
      <w:pPr>
        <w:pStyle w:val="TextBody"/>
        <w:spacing w:before="0" w:after="0"/>
        <w:jc w:val="both"/>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Commodity Derivative Instruments (CenterPoint Energy and CERC).</w:t>
      </w:r>
      <w:r>
        <w:rPr>
          <w:color w:val="000000"/>
        </w:rPr>
        <w:t xml:space="preserve"> </w:t>
      </w:r>
      <w:r>
        <w:rPr>
          <w:rFonts w:ascii="Times New Roman;sans-serif" w:hAnsi="Times New Roman;sans-serif"/>
          <w:b w:val="false"/>
          <w:color w:val="000000"/>
          <w:sz w:val="20"/>
        </w:rPr>
        <w:t>CenterPoint Energy and CERC, through the Indiana Utilities they respectively own, enter into certain derivative instruments to mitigate the effects of commodity price movements. Outstanding derivative instruments designated as economic hedges at the Indiana Utilities hedge long-term variable rate natural gas purchases. The Indiana Utilities have authority to refund and recover mark-to-market gains and losses associated with hedging natural gas purchases, and thus the gains and losses on derivatives are deferred in a regulatory liability or asset. All other financial instruments do not qualify or are not designated as cash flow or fair value hedges.</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 xml:space="preserve">Interest Rate Risk Derivative Instruments. </w:t>
      </w:r>
      <w:r>
        <w:rPr>
          <w:rFonts w:ascii="Times New Roman;sans-serif" w:hAnsi="Times New Roman;sans-serif"/>
          <w:b w:val="false"/>
          <w:color w:val="000000"/>
          <w:sz w:val="20"/>
        </w:rPr>
        <w:t xml:space="preserve">From time to time, the Registrants may enter into interest rate derivatives that are designated as economic or cash flow hedges. The objective of these hedges is to offset risk associated with interest rates borne by the Registrants in connection with an anticipated future fixed rate debt offering or other exposure to variable rate debt. The Indiana Utilities have authority to refund and recover mark-to-market gains and losses associated with hedging financing activity, and thus the gains and losses on derivatives are deferred in a regulatory liability or asset.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CenterPoint Energy’s outstanding interest rate hedging activity:</w:t>
      </w:r>
    </w:p>
    <w:tbl>
      <w:tblPr>
        <w:tblW w:w="5649" w:type="dxa"/>
        <w:jc w:val="left"/>
        <w:tblInd w:w="0" w:type="dxa"/>
        <w:tblCellMar>
          <w:top w:w="28" w:type="dxa"/>
          <w:left w:w="28" w:type="dxa"/>
          <w:bottom w:w="28" w:type="dxa"/>
          <w:right w:w="28" w:type="dxa"/>
        </w:tblCellMar>
      </w:tblPr>
      <w:tblGrid>
        <w:gridCol w:w="636"/>
        <w:gridCol w:w="559"/>
        <w:gridCol w:w="560"/>
        <w:gridCol w:w="109"/>
        <w:gridCol w:w="109"/>
        <w:gridCol w:w="109"/>
        <w:gridCol w:w="390"/>
        <w:gridCol w:w="668"/>
        <w:gridCol w:w="201"/>
        <w:gridCol w:w="109"/>
        <w:gridCol w:w="109"/>
        <w:gridCol w:w="109"/>
        <w:gridCol w:w="109"/>
        <w:gridCol w:w="109"/>
        <w:gridCol w:w="463"/>
        <w:gridCol w:w="794"/>
        <w:gridCol w:w="243"/>
        <w:gridCol w:w="109"/>
        <w:gridCol w:w="154"/>
      </w:tblGrid>
      <w:tr>
        <w:trPr/>
        <w:tc>
          <w:tcPr>
            <w:tcW w:w="636"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263" w:type="dxa"/>
            <w:gridSpan w:val="2"/>
            <w:tcBorders/>
            <w:shd w:fill="auto" w:val="clea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Hedging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Principal</w:t>
            </w:r>
          </w:p>
        </w:tc>
        <w:tc>
          <w:tcPr>
            <w:tcW w:w="1872" w:type="dxa"/>
            <w:gridSpan w:val="6"/>
            <w:tcBorders/>
            <w:shd w:fill="auto" w:val="clear"/>
          </w:tcPr>
          <w:p>
            <w:pPr>
              <w:pStyle w:val="TableContents"/>
              <w:spacing w:before="0" w:after="283"/>
              <w:rPr>
                <w:sz w:val="4"/>
                <w:szCs w:val="4"/>
              </w:rPr>
            </w:pPr>
            <w:r>
              <w:rPr>
                <w:sz w:val="4"/>
                <w:szCs w:val="4"/>
              </w:rPr>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872" w:type="dxa"/>
            <w:gridSpan w:val="6"/>
            <w:tcBorders/>
            <w:shd w:fill="auto" w:val="clear"/>
          </w:tcPr>
          <w:p>
            <w:pPr>
              <w:pStyle w:val="TableContents"/>
              <w:spacing w:before="0" w:after="283"/>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Economic hedge </w:t>
            </w: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(1)Relates to interest rate derivative instruments at SIGECO. On June 13, 2022, SIGECO amended the LIBOR interest rate swaps to adjust the termination date to May 1, 2023.</w: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Weather Normalization (CenterPoint Energy and CERC).</w:t>
      </w:r>
      <w:r>
        <w:rPr>
          <w:color w:val="000000"/>
        </w:rPr>
        <w:t xml:space="preserve"> </w:t>
      </w:r>
      <w:r>
        <w:rPr>
          <w:rFonts w:ascii="Times New Roman;sans-serif" w:hAnsi="Times New Roman;sans-serif"/>
          <w:b w:val="false"/>
          <w:color w:val="000000"/>
          <w:sz w:val="20"/>
        </w:rPr>
        <w:t>CenterPoint Energy and CERC have weather normalization or other rate mechanisms that largely mitigate the impact of weather on Natural Gas in Indiana, Louisiana, Mississippi, Minnesota and Ohio, as applicable. CenterPoint Energy’s and CERC’s Natural Gas in Texas and CenterPoint Energy’s electric operations in Texas and Indiana do not have such mechanisms, although fixed customer charges are historically higher in Texas for Natural Gas compared to its other jurisdictions. As a result, fluctuations from normal weather may have a positive or negative effect on CenterPoint Energy’s and CERC’s Natural Gas’ results in Texas and on CenterPoint Energy’s electric operations’ results in its Texas and Indiana service territories. The Registrants do not currently enter into weather hedges.</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hanging="360"/>
        <w:rPr>
          <w:rFonts w:ascii="Times New Roman;sans-serif" w:hAnsi="Times New Roman;sans-serif"/>
          <w:b/>
          <w:i/>
          <w:color w:val="000000"/>
          <w:sz w:val="20"/>
        </w:rPr>
      </w:pPr>
      <w:r>
        <w:rPr>
          <w:rFonts w:ascii="Times New Roman;sans-serif" w:hAnsi="Times New Roman;sans-serif"/>
          <w:b/>
          <w:i/>
          <w:color w:val="000000"/>
          <w:sz w:val="20"/>
        </w:rPr>
        <w:t>(b)Derivative Fair Values and Income Statement Impacts (CenterPoint Energy and CERC)</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information about derivative instruments and hedging activities. The first table provides a balance sheet overview of derivative assets and liabilities, while the last table provides a breakdown of the related income statement impacts. </w:t>
      </w:r>
    </w:p>
    <w:p>
      <w:pPr>
        <w:pStyle w:val="TextBody"/>
        <w:spacing w:before="0" w:after="0"/>
        <w:ind w:left="0" w:right="0" w:firstLine="36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Fair Value of Derivative Instruments and Hedged Items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CenterPoint Energy</w:t>
      </w:r>
    </w:p>
    <w:tbl>
      <w:tblPr>
        <w:tblW w:w="10205" w:type="dxa"/>
        <w:jc w:val="left"/>
        <w:tblInd w:w="0" w:type="dxa"/>
        <w:tblCellMar>
          <w:top w:w="28" w:type="dxa"/>
          <w:left w:w="28" w:type="dxa"/>
          <w:bottom w:w="28" w:type="dxa"/>
          <w:right w:w="28" w:type="dxa"/>
        </w:tblCellMar>
      </w:tblPr>
      <w:tblGrid>
        <w:gridCol w:w="124"/>
        <w:gridCol w:w="635"/>
        <w:gridCol w:w="635"/>
        <w:gridCol w:w="639"/>
        <w:gridCol w:w="762"/>
        <w:gridCol w:w="762"/>
        <w:gridCol w:w="764"/>
        <w:gridCol w:w="109"/>
        <w:gridCol w:w="109"/>
        <w:gridCol w:w="109"/>
        <w:gridCol w:w="325"/>
        <w:gridCol w:w="400"/>
        <w:gridCol w:w="182"/>
        <w:gridCol w:w="109"/>
        <w:gridCol w:w="109"/>
        <w:gridCol w:w="109"/>
        <w:gridCol w:w="369"/>
        <w:gridCol w:w="794"/>
        <w:gridCol w:w="205"/>
        <w:gridCol w:w="109"/>
        <w:gridCol w:w="109"/>
        <w:gridCol w:w="109"/>
        <w:gridCol w:w="270"/>
        <w:gridCol w:w="457"/>
        <w:gridCol w:w="151"/>
        <w:gridCol w:w="109"/>
        <w:gridCol w:w="109"/>
        <w:gridCol w:w="109"/>
        <w:gridCol w:w="358"/>
        <w:gridCol w:w="772"/>
        <w:gridCol w:w="293"/>
      </w:tblGrid>
      <w:tr>
        <w:trPr/>
        <w:tc>
          <w:tcPr>
            <w:tcW w:w="124"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Assets</w:t>
              <w:br/>
              <w:t xml:space="preserve">Fair Value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Derivative Liabilities </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Assets</w:t>
              <w:b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Derivative Liabilities </w:t>
              <w:br/>
              <w:t>Fair Value</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909" w:type="dxa"/>
            <w:gridSpan w:val="3"/>
            <w:tcBorders/>
            <w:shd w:fill="auto" w:val="clear"/>
            <w:vAlign w:val="center"/>
          </w:tcPr>
          <w:p>
            <w:pPr>
              <w:pStyle w:val="TableContents"/>
              <w:spacing w:before="0" w:after="283"/>
              <w:rPr>
                <w:sz w:val="4"/>
                <w:szCs w:val="4"/>
              </w:rPr>
            </w:pPr>
            <w:r>
              <w:rPr>
                <w:sz w:val="4"/>
                <w:szCs w:val="4"/>
              </w:rPr>
            </w:r>
          </w:p>
        </w:tc>
        <w:tc>
          <w:tcPr>
            <w:tcW w:w="2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3" w:type="dxa"/>
            <w:gridSpan w:val="3"/>
            <w:tcBorders/>
            <w:shd w:fill="auto" w:val="clea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909" w:type="dxa"/>
            <w:gridSpan w:val="3"/>
            <w:tcBorders/>
            <w:shd w:fill="auto" w:val="clear"/>
            <w:vAlign w:val="center"/>
          </w:tcPr>
          <w:p>
            <w:pPr>
              <w:pStyle w:val="TableContents"/>
              <w:spacing w:before="0" w:after="283"/>
              <w:rPr>
                <w:sz w:val="4"/>
                <w:szCs w:val="4"/>
              </w:rPr>
            </w:pPr>
            <w:r>
              <w:rPr>
                <w:sz w:val="4"/>
                <w:szCs w:val="4"/>
              </w:rPr>
            </w:r>
          </w:p>
        </w:tc>
        <w:tc>
          <w:tcPr>
            <w:tcW w:w="2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3"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909" w:type="dxa"/>
            <w:gridSpan w:val="3"/>
            <w:tcBorders/>
            <w:shd w:fill="auto" w:val="clear"/>
            <w:vAlign w:val="center"/>
          </w:tcPr>
          <w:p>
            <w:pPr>
              <w:pStyle w:val="TableContents"/>
              <w:spacing w:before="0" w:after="283"/>
              <w:rPr>
                <w:sz w:val="4"/>
                <w:szCs w:val="4"/>
              </w:rPr>
            </w:pPr>
            <w:r>
              <w:rPr>
                <w:sz w:val="4"/>
                <w:szCs w:val="4"/>
              </w:rPr>
            </w:r>
          </w:p>
        </w:tc>
        <w:tc>
          <w:tcPr>
            <w:tcW w:w="2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3"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909" w:type="dxa"/>
            <w:gridSpan w:val="3"/>
            <w:tcBorders/>
            <w:shd w:fill="auto" w:val="clear"/>
            <w:vAlign w:val="center"/>
          </w:tcPr>
          <w:p>
            <w:pPr>
              <w:pStyle w:val="TableContents"/>
              <w:spacing w:before="0" w:after="283"/>
              <w:rPr>
                <w:sz w:val="4"/>
                <w:szCs w:val="4"/>
              </w:rPr>
            </w:pPr>
            <w:r>
              <w:rPr>
                <w:sz w:val="4"/>
                <w:szCs w:val="4"/>
              </w:rPr>
            </w:r>
          </w:p>
        </w:tc>
        <w:tc>
          <w:tcPr>
            <w:tcW w:w="2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3" w:type="dxa"/>
            <w:gridSpan w:val="3"/>
            <w:tcBorders/>
            <w:shd w:fill="auto" w:val="clea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419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as hedging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90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6"/>
              </w:rPr>
              <w:t xml:space="preserve">Natural gas derivatives </w:t>
            </w:r>
            <w:r>
              <w:rPr>
                <w:rFonts w:ascii="Times New Roman;sans-serif" w:hAnsi="Times New Roman;sans-serif"/>
                <w:b w:val="false"/>
                <w:color w:val="000000"/>
                <w:sz w:val="12"/>
              </w:rPr>
              <w:t>(1)</w:t>
            </w:r>
          </w:p>
        </w:tc>
        <w:tc>
          <w:tcPr>
            <w:tcW w:w="22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Assets: Non-trading derivative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90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6"/>
              </w:rPr>
              <w:t xml:space="preserve">Natural gas derivatives </w:t>
            </w:r>
            <w:r>
              <w:rPr>
                <w:rFonts w:ascii="Times New Roman;sans-serif" w:hAnsi="Times New Roman;sans-serif"/>
                <w:b w:val="false"/>
                <w:color w:val="000000"/>
                <w:sz w:val="12"/>
              </w:rPr>
              <w:t>(1)</w:t>
            </w:r>
          </w:p>
        </w:tc>
        <w:tc>
          <w:tcPr>
            <w:tcW w:w="22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 Non-trading derivative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909" w:type="dxa"/>
            <w:gridSpan w:val="3"/>
            <w:tcBorders/>
            <w:shd w:fill="auto" w:val="clear"/>
            <w:vAlign w:val="center"/>
          </w:tcPr>
          <w:p>
            <w:pPr>
              <w:pStyle w:val="TableContents"/>
              <w:spacing w:before="0" w:after="283"/>
              <w:rPr>
                <w:sz w:val="4"/>
                <w:szCs w:val="4"/>
              </w:rPr>
            </w:pPr>
            <w:r>
              <w:rPr>
                <w:sz w:val="4"/>
                <w:szCs w:val="4"/>
              </w:rPr>
            </w:r>
          </w:p>
        </w:tc>
        <w:tc>
          <w:tcPr>
            <w:tcW w:w="2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3"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909"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derivatives</w:t>
            </w:r>
          </w:p>
        </w:tc>
        <w:tc>
          <w:tcPr>
            <w:tcW w:w="22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Assets: Non-trading derivative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909" w:type="dxa"/>
            <w:gridSpan w:val="3"/>
            <w:tcBorders/>
            <w:shd w:fill="auto" w:val="clear"/>
            <w:vAlign w:val="center"/>
          </w:tcPr>
          <w:p>
            <w:pPr>
              <w:pStyle w:val="TableContents"/>
              <w:spacing w:before="0" w:after="283"/>
              <w:rPr>
                <w:sz w:val="4"/>
                <w:szCs w:val="4"/>
              </w:rPr>
            </w:pPr>
            <w:r>
              <w:rPr>
                <w:sz w:val="4"/>
                <w:szCs w:val="4"/>
              </w:rPr>
            </w:r>
          </w:p>
        </w:tc>
        <w:tc>
          <w:tcPr>
            <w:tcW w:w="2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3"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909" w:type="dxa"/>
            <w:gridSpan w:val="3"/>
            <w:tcBorders/>
            <w:shd w:fill="auto" w:val="clear"/>
            <w:vAlign w:val="center"/>
          </w:tcPr>
          <w:p>
            <w:pPr>
              <w:pStyle w:val="TableContents"/>
              <w:spacing w:before="0" w:after="283"/>
              <w:rPr>
                <w:sz w:val="4"/>
                <w:szCs w:val="4"/>
              </w:rPr>
            </w:pPr>
            <w:r>
              <w:rPr>
                <w:sz w:val="4"/>
                <w:szCs w:val="4"/>
              </w:rPr>
            </w:r>
          </w:p>
        </w:tc>
        <w:tc>
          <w:tcPr>
            <w:tcW w:w="2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3"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909" w:type="dxa"/>
            <w:gridSpan w:val="3"/>
            <w:tcBorders/>
            <w:shd w:fill="auto" w:val="clear"/>
            <w:vAlign w:val="center"/>
          </w:tcPr>
          <w:p>
            <w:pPr>
              <w:pStyle w:val="TableContents"/>
              <w:spacing w:before="0" w:after="283"/>
              <w:rPr>
                <w:sz w:val="4"/>
                <w:szCs w:val="4"/>
              </w:rPr>
            </w:pPr>
            <w:r>
              <w:rPr>
                <w:sz w:val="4"/>
                <w:szCs w:val="4"/>
              </w:rPr>
            </w:r>
          </w:p>
        </w:tc>
        <w:tc>
          <w:tcPr>
            <w:tcW w:w="2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3"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90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6"/>
              </w:rPr>
              <w:t>Indexed debt securities derivative</w:t>
            </w:r>
            <w:r>
              <w:rPr>
                <w:color w:val="000000"/>
              </w:rPr>
              <w:t xml:space="preserve"> </w:t>
            </w:r>
            <w:r>
              <w:rPr>
                <w:rFonts w:ascii="Times New Roman;sans-serif" w:hAnsi="Times New Roman;sans-serif"/>
                <w:b w:val="false"/>
                <w:color w:val="000000"/>
                <w:sz w:val="12"/>
              </w:rPr>
              <w:t>(2)</w:t>
            </w:r>
          </w:p>
        </w:tc>
        <w:tc>
          <w:tcPr>
            <w:tcW w:w="22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909" w:type="dxa"/>
            <w:gridSpan w:val="3"/>
            <w:tcBorders/>
            <w:shd w:fill="auto" w:val="clear"/>
            <w:vAlign w:val="center"/>
          </w:tcPr>
          <w:p>
            <w:pPr>
              <w:pStyle w:val="TableContents"/>
              <w:spacing w:before="0" w:after="283"/>
              <w:rPr>
                <w:sz w:val="4"/>
                <w:szCs w:val="4"/>
              </w:rPr>
            </w:pPr>
            <w:r>
              <w:rPr>
                <w:sz w:val="4"/>
                <w:szCs w:val="4"/>
              </w:rPr>
            </w:r>
          </w:p>
        </w:tc>
        <w:tc>
          <w:tcPr>
            <w:tcW w:w="22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3"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4197"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lineRule="auto" w:line="288" w:before="100" w:after="283"/>
        <w:rPr>
          <w:rFonts w:ascii="Times New Roman;sans-serif" w:hAnsi="Times New Roman;sans-serif"/>
          <w:b/>
          <w:color w:val="000000"/>
          <w:sz w:val="20"/>
        </w:rPr>
      </w:pPr>
      <w:r>
        <w:rPr>
          <w:rFonts w:ascii="Times New Roman;sans-serif" w:hAnsi="Times New Roman;sans-serif"/>
          <w:b/>
          <w:color w:val="000000"/>
          <w:sz w:val="20"/>
        </w:rPr>
        <w:t>CERC</w:t>
      </w:r>
    </w:p>
    <w:tbl>
      <w:tblPr>
        <w:tblW w:w="10205" w:type="dxa"/>
        <w:jc w:val="left"/>
        <w:tblInd w:w="0" w:type="dxa"/>
        <w:tblCellMar>
          <w:top w:w="28" w:type="dxa"/>
          <w:left w:w="28" w:type="dxa"/>
          <w:bottom w:w="28" w:type="dxa"/>
          <w:right w:w="28" w:type="dxa"/>
        </w:tblCellMar>
      </w:tblPr>
      <w:tblGrid>
        <w:gridCol w:w="124"/>
        <w:gridCol w:w="511"/>
        <w:gridCol w:w="511"/>
        <w:gridCol w:w="514"/>
        <w:gridCol w:w="836"/>
        <w:gridCol w:w="836"/>
        <w:gridCol w:w="838"/>
        <w:gridCol w:w="109"/>
        <w:gridCol w:w="109"/>
        <w:gridCol w:w="109"/>
        <w:gridCol w:w="327"/>
        <w:gridCol w:w="402"/>
        <w:gridCol w:w="183"/>
        <w:gridCol w:w="109"/>
        <w:gridCol w:w="109"/>
        <w:gridCol w:w="109"/>
        <w:gridCol w:w="397"/>
        <w:gridCol w:w="822"/>
        <w:gridCol w:w="221"/>
        <w:gridCol w:w="109"/>
        <w:gridCol w:w="109"/>
        <w:gridCol w:w="109"/>
        <w:gridCol w:w="315"/>
        <w:gridCol w:w="388"/>
        <w:gridCol w:w="177"/>
        <w:gridCol w:w="109"/>
        <w:gridCol w:w="109"/>
        <w:gridCol w:w="109"/>
        <w:gridCol w:w="384"/>
        <w:gridCol w:w="797"/>
        <w:gridCol w:w="314"/>
      </w:tblGrid>
      <w:tr>
        <w:trPr/>
        <w:tc>
          <w:tcPr>
            <w:tcW w:w="124"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Assets</w:t>
              <w:br/>
              <w:t xml:space="preserve">Fair Value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Derivative Liabilities </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Assets</w:t>
              <w:b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Derivative Liabilities </w:t>
              <w:br/>
              <w:t>Fair Value</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25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5" w:type="dxa"/>
            <w:gridSpan w:val="3"/>
            <w:tcBorders/>
            <w:shd w:fill="auto" w:val="clea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25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5"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25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5"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25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5" w:type="dxa"/>
            <w:gridSpan w:val="3"/>
            <w:tcBorders/>
            <w:shd w:fill="auto" w:val="clea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404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as hedging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24" w:type="dxa"/>
            <w:tcBorders/>
            <w:shd w:fill="auto" w:val="clear"/>
            <w:vAlign w:val="center"/>
          </w:tcPr>
          <w:p>
            <w:pPr>
              <w:pStyle w:val="TableContents"/>
              <w:spacing w:before="0" w:after="283"/>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6"/>
              </w:rPr>
              <w:t xml:space="preserve">Natural gas derivatives </w:t>
            </w:r>
            <w:r>
              <w:rPr>
                <w:rFonts w:ascii="Times New Roman;sans-serif" w:hAnsi="Times New Roman;sans-serif"/>
                <w:b w:val="false"/>
                <w:color w:val="000000"/>
                <w:sz w:val="12"/>
              </w:rPr>
              <w:t>(1)</w:t>
            </w:r>
          </w:p>
        </w:tc>
        <w:tc>
          <w:tcPr>
            <w:tcW w:w="2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Current Assets: Non-trading derivative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6"/>
              </w:rPr>
              <w:t xml:space="preserve">Natural gas derivatives </w:t>
            </w:r>
            <w:r>
              <w:rPr>
                <w:rFonts w:ascii="Times New Roman;sans-serif" w:hAnsi="Times New Roman;sans-serif"/>
                <w:b w:val="false"/>
                <w:color w:val="000000"/>
                <w:sz w:val="12"/>
              </w:rPr>
              <w:t>(1)</w:t>
            </w:r>
          </w:p>
        </w:tc>
        <w:tc>
          <w:tcPr>
            <w:tcW w:w="2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 Non-trading derivative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25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5"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25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5"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25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5"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25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5"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25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5"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25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5" w:type="dxa"/>
            <w:gridSpan w:val="3"/>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404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(1)Natural gas contracts are subject to master netting arrangements. This netting applies to all undisputed amounts due or past due. However, the mark-to-market fair value of each natural gas contract is in an asset position with no offsetting amounts.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(2)Derivative component of the ZENS obligation that represents the ZENS holder’s option to receive the appreciated value of the reference shares at maturity. See Note 10 for further information.</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Income Statement Impact of Hedge Accounting Activity (CenterPoint Energy)</w:t>
      </w:r>
    </w:p>
    <w:tbl>
      <w:tblPr>
        <w:tblW w:w="10205" w:type="dxa"/>
        <w:jc w:val="left"/>
        <w:tblInd w:w="0" w:type="dxa"/>
        <w:tblCellMar>
          <w:top w:w="28" w:type="dxa"/>
          <w:left w:w="28" w:type="dxa"/>
          <w:bottom w:w="28" w:type="dxa"/>
          <w:right w:w="28" w:type="dxa"/>
        </w:tblCellMar>
      </w:tblPr>
      <w:tblGrid>
        <w:gridCol w:w="1287"/>
        <w:gridCol w:w="1131"/>
        <w:gridCol w:w="1135"/>
        <w:gridCol w:w="109"/>
        <w:gridCol w:w="109"/>
        <w:gridCol w:w="109"/>
        <w:gridCol w:w="869"/>
        <w:gridCol w:w="869"/>
        <w:gridCol w:w="872"/>
        <w:gridCol w:w="109"/>
        <w:gridCol w:w="109"/>
        <w:gridCol w:w="109"/>
        <w:gridCol w:w="217"/>
        <w:gridCol w:w="217"/>
        <w:gridCol w:w="217"/>
        <w:gridCol w:w="217"/>
        <w:gridCol w:w="391"/>
        <w:gridCol w:w="806"/>
        <w:gridCol w:w="217"/>
        <w:gridCol w:w="109"/>
        <w:gridCol w:w="109"/>
        <w:gridCol w:w="109"/>
        <w:gridCol w:w="196"/>
        <w:gridCol w:w="421"/>
        <w:gridCol w:w="162"/>
      </w:tblGrid>
      <w:tr>
        <w:trPr/>
        <w:tc>
          <w:tcPr>
            <w:tcW w:w="1287"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2"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106" w:type="dxa"/>
            <w:gridSpan w:val="6"/>
            <w:tcBorders/>
            <w:shd w:fill="auto" w:val="clear"/>
          </w:tcPr>
          <w:p>
            <w:pPr>
              <w:pStyle w:val="TableContents"/>
              <w:spacing w:before="0" w:after="283"/>
              <w:rPr>
                <w:sz w:val="4"/>
                <w:szCs w:val="4"/>
              </w:rPr>
            </w:pPr>
            <w:r>
              <w:rPr>
                <w:sz w:val="4"/>
                <w:szCs w:val="4"/>
              </w:rPr>
            </w:r>
          </w:p>
        </w:tc>
      </w:tr>
      <w:tr>
        <w:trPr/>
        <w:tc>
          <w:tcPr>
            <w:tcW w:w="3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Statement Location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5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as hedging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3171"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55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8"/>
              </w:rPr>
              <w:t xml:space="preserve">Indexed debt securities derivative </w:t>
            </w:r>
            <w:r>
              <w:rPr>
                <w:rFonts w:ascii="Times New Roman;sans-serif" w:hAnsi="Times New Roman;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indexed debt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51" w:type="dxa"/>
            <w:gridSpan w:val="3"/>
            <w:tcBorders/>
            <w:shd w:fill="auto" w:val="clear"/>
            <w:vAlign w:val="center"/>
          </w:tcPr>
          <w:p>
            <w:pPr>
              <w:pStyle w:val="TableContents"/>
              <w:spacing w:before="0" w:after="283"/>
              <w:rPr>
                <w:sz w:val="4"/>
                <w:szCs w:val="4"/>
              </w:rPr>
            </w:pPr>
            <w:r>
              <w:rPr>
                <w:sz w:val="4"/>
                <w:szCs w:val="4"/>
              </w:rPr>
            </w:r>
          </w:p>
        </w:tc>
        <w:tc>
          <w:tcPr>
            <w:tcW w:w="1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9" w:type="dxa"/>
            <w:gridSpan w:val="3"/>
            <w:tcBorders/>
            <w:shd w:fill="auto" w:val="clear"/>
            <w:vAlign w:val="center"/>
          </w:tcPr>
          <w:p>
            <w:pPr>
              <w:pStyle w:val="TableContents"/>
              <w:spacing w:before="0" w:after="283"/>
              <w:rPr>
                <w:sz w:val="4"/>
                <w:szCs w:val="4"/>
              </w:rPr>
            </w:pPr>
            <w:r>
              <w:rPr>
                <w:sz w:val="4"/>
                <w:szCs w:val="4"/>
              </w:rPr>
            </w:r>
          </w:p>
        </w:tc>
      </w:tr>
      <w:tr>
        <w:trPr/>
        <w:tc>
          <w:tcPr>
            <w:tcW w:w="35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1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51" w:type="dxa"/>
            <w:gridSpan w:val="3"/>
            <w:tcBorders/>
            <w:shd w:fill="auto" w:val="clear"/>
            <w:vAlign w:val="center"/>
          </w:tcPr>
          <w:p>
            <w:pPr>
              <w:pStyle w:val="TableContents"/>
              <w:spacing w:before="0" w:after="283"/>
              <w:rPr>
                <w:sz w:val="4"/>
                <w:szCs w:val="4"/>
              </w:rPr>
            </w:pPr>
            <w:r>
              <w:rPr>
                <w:sz w:val="4"/>
                <w:szCs w:val="4"/>
              </w:rPr>
            </w:r>
          </w:p>
        </w:tc>
        <w:tc>
          <w:tcPr>
            <w:tcW w:w="1414" w:type="dxa"/>
            <w:gridSpan w:val="3"/>
            <w:tcBorders/>
            <w:shd w:fill="auto" w:val="clear"/>
            <w:vAlign w:val="center"/>
          </w:tcPr>
          <w:p>
            <w:pPr>
              <w:pStyle w:val="TableContents"/>
              <w:spacing w:before="0" w:after="283"/>
              <w:rPr>
                <w:sz w:val="4"/>
                <w:szCs w:val="4"/>
              </w:rPr>
            </w:pPr>
            <w:r>
              <w:rPr>
                <w:sz w:val="4"/>
                <w:szCs w:val="4"/>
              </w:rPr>
            </w:r>
          </w:p>
        </w:tc>
        <w:tc>
          <w:tcPr>
            <w:tcW w:w="1106" w:type="dxa"/>
            <w:gridSpan w:val="6"/>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indexed debt securities derivative is recorded at fair value and changes in the fair value are recorded in CenterPoint Energy’s Condensed Statements of Consolidated Income.</w:t>
      </w:r>
    </w:p>
    <w:p>
      <w:pPr>
        <w:pStyle w:val="TextBody"/>
        <w:spacing w:before="0" w:after="0"/>
        <w:ind w:left="0" w:right="0" w:firstLine="360"/>
        <w:jc w:val="both"/>
        <w:rPr/>
      </w:pPr>
      <w:r>
        <w:rPr/>
      </w:r>
    </w:p>
    <w:p>
      <w:pPr>
        <w:pStyle w:val="TextBody"/>
        <w:spacing w:lineRule="auto" w:line="288" w:before="100" w:after="283"/>
        <w:ind w:left="0" w:right="0" w:firstLine="180"/>
        <w:rPr>
          <w:rFonts w:ascii="Times New Roman;sans-serif" w:hAnsi="Times New Roman;sans-serif"/>
          <w:b/>
          <w:i/>
          <w:color w:val="000000"/>
          <w:sz w:val="20"/>
        </w:rPr>
      </w:pPr>
      <w:r>
        <w:rPr>
          <w:rFonts w:ascii="Times New Roman;sans-serif" w:hAnsi="Times New Roman;sans-serif"/>
          <w:b/>
          <w:i/>
          <w:color w:val="000000"/>
          <w:sz w:val="20"/>
        </w:rPr>
        <w:t>(c) Credit Risk Contingent Features (CenterPoint Energy)</w: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Certain of CenterPoint Energy’s derivative instruments contain provisions that require CenterPoint Energy’s debt to maintain an investment grade credit rating on its long-term unsecured unsubordinated debt from S&amp;P and Moody’s. If CenterPoint Energy’s debt were to fall below investment grade, it would be in violation of these provisions, and the counterparties to the derivative instruments could request immediate payment.</w:t>
      </w:r>
      <w:r>
        <w:rPr>
          <w:color w:val="000000"/>
        </w:rPr>
        <w:t xml:space="preserve"> </w:t>
      </w:r>
      <w:r>
        <w:rPr>
          <w:rFonts w:ascii="Times New Roman;sans-serif" w:hAnsi="Times New Roman;sans-serif"/>
          <w:b w:val="false"/>
          <w:color w:val="000000"/>
          <w:sz w:val="20"/>
        </w:rPr>
        <w:t>As of March 31, 2023 and December 31, 2022, all derivatives with credit risk-related contingent features were in an asset position.</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(8) Fair Value Measurements </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 </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1: Inputs are unadjusted quoted prices in active markets for identical assets or liabilities at the measurement date. The types of assets carried at Level 1 fair value generally are exchange-traded derivatives and equity securities.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other than quoted prices included in Level 1, are observable for the asset or liability, either directly or indirectly. Level 2 inputs include quoted prices for similar instruments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Fair value assets and liabilities that are generally included in this category are derivatives with fair values based on inputs from actively quoted markets. A market approach is utilized to value the Registrants’ Level 2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 </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Registrants determine the appropriate level for each financial asset and liability on a quarterly basis.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the Registrants’ assets and liabilities measured at fair value on a recurring basis as of March 31, 2023 and December 31, 2022 and indicate the fair value hierarchy of the valuation techniques utilized by the Registrants to determine such fair value.</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CenterPoint Energy</w:t>
      </w:r>
    </w:p>
    <w:tbl>
      <w:tblPr>
        <w:tblW w:w="10205" w:type="dxa"/>
        <w:jc w:val="left"/>
        <w:tblInd w:w="0" w:type="dxa"/>
        <w:tblCellMar>
          <w:top w:w="28" w:type="dxa"/>
          <w:left w:w="28" w:type="dxa"/>
          <w:bottom w:w="28" w:type="dxa"/>
          <w:right w:w="28" w:type="dxa"/>
        </w:tblCellMar>
      </w:tblPr>
      <w:tblGrid>
        <w:gridCol w:w="686"/>
        <w:gridCol w:w="535"/>
        <w:gridCol w:w="544"/>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09"/>
        <w:gridCol w:w="196"/>
        <w:gridCol w:w="421"/>
        <w:gridCol w:w="155"/>
      </w:tblGrid>
      <w:tr>
        <w:trPr/>
        <w:tc>
          <w:tcPr>
            <w:tcW w:w="686"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3" w:type="dxa"/>
            <w:gridSpan w:val="1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208" w:type="dxa"/>
            <w:gridSpan w:val="7"/>
            <w:tcBorders/>
            <w:shd w:fill="auto" w:val="clear"/>
          </w:tcPr>
          <w:p>
            <w:pPr>
              <w:pStyle w:val="TableContents"/>
              <w:spacing w:before="0" w:after="283"/>
              <w:rPr>
                <w:sz w:val="4"/>
                <w:szCs w:val="4"/>
              </w:rPr>
            </w:pPr>
            <w:r>
              <w:rPr>
                <w:sz w:val="4"/>
                <w:szCs w:val="4"/>
              </w:rPr>
            </w:r>
          </w:p>
        </w:tc>
      </w:tr>
      <w:tr>
        <w:trPr/>
        <w:tc>
          <w:tcPr>
            <w:tcW w:w="1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pPr>
            <w:r>
              <w:rPr>
                <w:rFonts w:ascii="Times New Roman;sans-serif" w:hAnsi="Times New Roman;sans-serif"/>
                <w:b/>
                <w:sz w:val="14"/>
              </w:rPr>
              <w:br/>
            </w:r>
            <w:r>
              <w:rPr>
                <w:rFonts w:ascii="Times New Roman;sans-serif" w:hAnsi="Times New Roman;sans-serif"/>
                <w:b/>
                <w:color w:val="000000"/>
                <w:sz w:val="14"/>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pPr>
            <w:r>
              <w:rPr>
                <w:rFonts w:ascii="Times New Roman;sans-serif" w:hAnsi="Times New Roman;sans-serif"/>
                <w:b/>
                <w:sz w:val="14"/>
              </w:rPr>
              <w:br/>
            </w:r>
            <w:r>
              <w:rPr>
                <w:rFonts w:ascii="Times New Roman;sans-serif" w:hAnsi="Times New Roman;sans-serif"/>
                <w:b/>
                <w:color w:val="000000"/>
                <w:sz w:val="14"/>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3</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7232" w:type="dxa"/>
            <w:gridSpan w:val="4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208" w:type="dxa"/>
            <w:gridSpan w:val="7"/>
            <w:tcBorders/>
            <w:shd w:fill="auto" w:val="clear"/>
          </w:tcPr>
          <w:p>
            <w:pPr>
              <w:pStyle w:val="TableContents"/>
              <w:spacing w:before="0" w:after="283"/>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6"/>
              </w:rPr>
              <w:t xml:space="preserve">Investments, including money market funds </w:t>
            </w:r>
            <w:r>
              <w:rPr>
                <w:rFonts w:ascii="Times New Roman;sans-serif" w:hAnsi="Times New Roman;sans-serif"/>
                <w:b w:val="false"/>
                <w:color w:val="000000"/>
                <w:sz w:val="12"/>
              </w:rPr>
              <w:t>(1)</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derivatives</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Natural gas derivatives </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176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176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72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Indexed debt securities derivative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derivatives</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176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176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1765"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Houston Electric</w:t>
      </w:r>
    </w:p>
    <w:tbl>
      <w:tblPr>
        <w:tblW w:w="10205" w:type="dxa"/>
        <w:jc w:val="left"/>
        <w:tblInd w:w="0" w:type="dxa"/>
        <w:tblCellMar>
          <w:top w:w="28" w:type="dxa"/>
          <w:left w:w="28" w:type="dxa"/>
          <w:bottom w:w="28" w:type="dxa"/>
          <w:right w:w="28" w:type="dxa"/>
        </w:tblCellMar>
      </w:tblPr>
      <w:tblGrid>
        <w:gridCol w:w="739"/>
        <w:gridCol w:w="651"/>
        <w:gridCol w:w="656"/>
        <w:gridCol w:w="196"/>
        <w:gridCol w:w="331"/>
        <w:gridCol w:w="109"/>
        <w:gridCol w:w="109"/>
        <w:gridCol w:w="109"/>
        <w:gridCol w:w="109"/>
        <w:gridCol w:w="196"/>
        <w:gridCol w:w="406"/>
        <w:gridCol w:w="109"/>
        <w:gridCol w:w="109"/>
        <w:gridCol w:w="109"/>
        <w:gridCol w:w="109"/>
        <w:gridCol w:w="196"/>
        <w:gridCol w:w="406"/>
        <w:gridCol w:w="109"/>
        <w:gridCol w:w="109"/>
        <w:gridCol w:w="109"/>
        <w:gridCol w:w="109"/>
        <w:gridCol w:w="109"/>
        <w:gridCol w:w="109"/>
        <w:gridCol w:w="196"/>
        <w:gridCol w:w="331"/>
        <w:gridCol w:w="109"/>
        <w:gridCol w:w="109"/>
        <w:gridCol w:w="109"/>
        <w:gridCol w:w="109"/>
        <w:gridCol w:w="196"/>
        <w:gridCol w:w="331"/>
        <w:gridCol w:w="109"/>
        <w:gridCol w:w="109"/>
        <w:gridCol w:w="109"/>
        <w:gridCol w:w="109"/>
        <w:gridCol w:w="196"/>
        <w:gridCol w:w="406"/>
        <w:gridCol w:w="109"/>
        <w:gridCol w:w="109"/>
        <w:gridCol w:w="109"/>
        <w:gridCol w:w="109"/>
        <w:gridCol w:w="196"/>
        <w:gridCol w:w="406"/>
        <w:gridCol w:w="109"/>
        <w:gridCol w:w="109"/>
        <w:gridCol w:w="109"/>
        <w:gridCol w:w="109"/>
        <w:gridCol w:w="109"/>
        <w:gridCol w:w="109"/>
        <w:gridCol w:w="196"/>
        <w:gridCol w:w="331"/>
        <w:gridCol w:w="155"/>
      </w:tblGrid>
      <w:tr>
        <w:trPr/>
        <w:tc>
          <w:tcPr>
            <w:tcW w:w="739"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8" w:type="dxa"/>
            <w:gridSpan w:val="1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227" w:type="dxa"/>
            <w:gridSpan w:val="8"/>
            <w:tcBorders/>
            <w:shd w:fill="auto" w:val="clear"/>
          </w:tcPr>
          <w:p>
            <w:pPr>
              <w:pStyle w:val="TableContents"/>
              <w:spacing w:before="0" w:after="283"/>
              <w:rPr>
                <w:sz w:val="4"/>
                <w:szCs w:val="4"/>
              </w:rPr>
            </w:pPr>
            <w:r>
              <w:rPr>
                <w:sz w:val="4"/>
                <w:szCs w:val="4"/>
              </w:rPr>
            </w:r>
          </w:p>
        </w:tc>
      </w:tr>
      <w:tr>
        <w:trPr/>
        <w:tc>
          <w:tcPr>
            <w:tcW w:w="2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pPr>
            <w:r>
              <w:rPr>
                <w:rFonts w:ascii="Times New Roman;sans-serif" w:hAnsi="Times New Roman;sans-serif"/>
                <w:b/>
                <w:sz w:val="14"/>
              </w:rPr>
              <w:br/>
            </w:r>
            <w:r>
              <w:rPr>
                <w:rFonts w:ascii="Times New Roman;sans-serif" w:hAnsi="Times New Roman;sans-serif"/>
                <w:b/>
                <w:color w:val="000000"/>
                <w:sz w:val="14"/>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pPr>
            <w:r>
              <w:rPr>
                <w:rFonts w:ascii="Times New Roman;sans-serif" w:hAnsi="Times New Roman;sans-serif"/>
                <w:b/>
                <w:sz w:val="14"/>
              </w:rPr>
              <w:br/>
            </w:r>
            <w:r>
              <w:rPr>
                <w:rFonts w:ascii="Times New Roman;sans-serif" w:hAnsi="Times New Roman;sans-serif"/>
                <w:b/>
                <w:color w:val="000000"/>
                <w:sz w:val="14"/>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20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6932" w:type="dxa"/>
            <w:gridSpan w:val="4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227" w:type="dxa"/>
            <w:gridSpan w:val="8"/>
            <w:tcBorders/>
            <w:shd w:fill="auto" w:val="clear"/>
          </w:tcPr>
          <w:p>
            <w:pPr>
              <w:pStyle w:val="TableContents"/>
              <w:spacing w:before="0" w:after="283"/>
              <w:rPr>
                <w:sz w:val="4"/>
                <w:szCs w:val="4"/>
              </w:rPr>
            </w:pPr>
            <w:r>
              <w:rPr>
                <w:sz w:val="4"/>
                <w:szCs w:val="4"/>
              </w:rPr>
            </w:r>
          </w:p>
        </w:tc>
      </w:tr>
      <w:tr>
        <w:trPr/>
        <w:tc>
          <w:tcPr>
            <w:tcW w:w="204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6"/>
              </w:rPr>
              <w:t xml:space="preserve">Investments, including money market funds </w:t>
            </w:r>
            <w:r>
              <w:rPr>
                <w:rFonts w:ascii="Times New Roman;sans-serif" w:hAnsi="Times New Roman;sans-serif"/>
                <w:b w:val="false"/>
                <w:color w:val="000000"/>
                <w:sz w:val="12"/>
              </w:rPr>
              <w:t>(1)</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2" w:type="dxa"/>
            <w:gridSpan w:val="3"/>
            <w:tcBorders/>
            <w:shd w:fill="auto" w:val="clear"/>
            <w:vAlign w:val="center"/>
          </w:tcPr>
          <w:p>
            <w:pPr>
              <w:pStyle w:val="TableContents"/>
              <w:spacing w:before="0" w:after="283"/>
              <w:rPr>
                <w:sz w:val="4"/>
                <w:szCs w:val="4"/>
              </w:rPr>
            </w:pPr>
            <w:r>
              <w:rPr>
                <w:sz w:val="4"/>
                <w:szCs w:val="4"/>
              </w:rPr>
            </w:r>
          </w:p>
        </w:tc>
      </w:tr>
      <w:tr>
        <w:trPr/>
        <w:tc>
          <w:tcPr>
            <w:tcW w:w="20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04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2" w:type="dxa"/>
            <w:gridSpan w:val="3"/>
            <w:tcBorders/>
            <w:shd w:fill="auto" w:val="clear"/>
            <w:vAlign w:val="center"/>
          </w:tcPr>
          <w:p>
            <w:pPr>
              <w:pStyle w:val="TableContents"/>
              <w:spacing w:before="0" w:after="283"/>
              <w:rPr>
                <w:sz w:val="4"/>
                <w:szCs w:val="4"/>
              </w:rPr>
            </w:pPr>
            <w:r>
              <w:rPr>
                <w:sz w:val="4"/>
                <w:szCs w:val="4"/>
              </w:rPr>
            </w:r>
          </w:p>
        </w:tc>
      </w:tr>
      <w:tr>
        <w:trPr/>
        <w:tc>
          <w:tcPr>
            <w:tcW w:w="204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2" w:type="dxa"/>
            <w:gridSpan w:val="3"/>
            <w:tcBorders/>
            <w:shd w:fill="auto" w:val="clear"/>
            <w:vAlign w:val="center"/>
          </w:tcPr>
          <w:p>
            <w:pPr>
              <w:pStyle w:val="TableContents"/>
              <w:spacing w:before="0" w:after="283"/>
              <w:rPr>
                <w:sz w:val="4"/>
                <w:szCs w:val="4"/>
              </w:rPr>
            </w:pPr>
            <w:r>
              <w:rPr>
                <w:sz w:val="4"/>
                <w:szCs w:val="4"/>
              </w:rPr>
            </w:r>
          </w:p>
        </w:tc>
      </w:tr>
      <w:tr>
        <w:trPr/>
        <w:tc>
          <w:tcPr>
            <w:tcW w:w="2046"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CERC</w:t>
      </w:r>
    </w:p>
    <w:tbl>
      <w:tblPr>
        <w:tblW w:w="10205" w:type="dxa"/>
        <w:jc w:val="center"/>
        <w:tblInd w:w="0" w:type="dxa"/>
        <w:tblCellMar>
          <w:top w:w="28" w:type="dxa"/>
          <w:left w:w="28" w:type="dxa"/>
          <w:bottom w:w="28" w:type="dxa"/>
          <w:right w:w="28" w:type="dxa"/>
        </w:tblCellMar>
      </w:tblPr>
      <w:tblGrid>
        <w:gridCol w:w="778"/>
        <w:gridCol w:w="685"/>
        <w:gridCol w:w="691"/>
        <w:gridCol w:w="196"/>
        <w:gridCol w:w="331"/>
        <w:gridCol w:w="109"/>
        <w:gridCol w:w="109"/>
        <w:gridCol w:w="109"/>
        <w:gridCol w:w="109"/>
        <w:gridCol w:w="196"/>
        <w:gridCol w:w="406"/>
        <w:gridCol w:w="109"/>
        <w:gridCol w:w="109"/>
        <w:gridCol w:w="109"/>
        <w:gridCol w:w="109"/>
        <w:gridCol w:w="196"/>
        <w:gridCol w:w="406"/>
        <w:gridCol w:w="109"/>
        <w:gridCol w:w="109"/>
        <w:gridCol w:w="109"/>
        <w:gridCol w:w="109"/>
        <w:gridCol w:w="109"/>
        <w:gridCol w:w="109"/>
        <w:gridCol w:w="196"/>
        <w:gridCol w:w="331"/>
        <w:gridCol w:w="109"/>
        <w:gridCol w:w="109"/>
        <w:gridCol w:w="109"/>
        <w:gridCol w:w="109"/>
        <w:gridCol w:w="196"/>
        <w:gridCol w:w="331"/>
        <w:gridCol w:w="109"/>
        <w:gridCol w:w="109"/>
        <w:gridCol w:w="109"/>
        <w:gridCol w:w="109"/>
        <w:gridCol w:w="196"/>
        <w:gridCol w:w="406"/>
        <w:gridCol w:w="109"/>
        <w:gridCol w:w="109"/>
        <w:gridCol w:w="109"/>
        <w:gridCol w:w="109"/>
        <w:gridCol w:w="196"/>
        <w:gridCol w:w="406"/>
        <w:gridCol w:w="109"/>
        <w:gridCol w:w="109"/>
        <w:gridCol w:w="109"/>
        <w:gridCol w:w="109"/>
        <w:gridCol w:w="109"/>
        <w:gridCol w:w="196"/>
        <w:gridCol w:w="331"/>
        <w:gridCol w:w="156"/>
      </w:tblGrid>
      <w:tr>
        <w:trPr/>
        <w:tc>
          <w:tcPr>
            <w:tcW w:w="778"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8" w:type="dxa"/>
            <w:gridSpan w:val="1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119" w:type="dxa"/>
            <w:gridSpan w:val="7"/>
            <w:tcBorders/>
            <w:shd w:fill="auto" w:val="clear"/>
          </w:tcPr>
          <w:p>
            <w:pPr>
              <w:pStyle w:val="TableContents"/>
              <w:spacing w:before="0" w:after="283"/>
              <w:rPr>
                <w:sz w:val="4"/>
                <w:szCs w:val="4"/>
              </w:rPr>
            </w:pPr>
            <w:r>
              <w:rPr>
                <w:sz w:val="4"/>
                <w:szCs w:val="4"/>
              </w:rPr>
            </w:r>
          </w:p>
        </w:tc>
      </w:tr>
      <w:tr>
        <w:trPr/>
        <w:tc>
          <w:tcPr>
            <w:tcW w:w="2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pPr>
            <w:r>
              <w:rPr>
                <w:rFonts w:ascii="Times New Roman;sans-serif" w:hAnsi="Times New Roman;sans-serif"/>
                <w:b/>
                <w:sz w:val="14"/>
              </w:rPr>
              <w:br/>
            </w:r>
            <w:r>
              <w:rPr>
                <w:rFonts w:ascii="Times New Roman;sans-serif" w:hAnsi="Times New Roman;sans-serif"/>
                <w:b/>
                <w:color w:val="000000"/>
                <w:sz w:val="14"/>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pPr>
            <w:r>
              <w:rPr>
                <w:rFonts w:ascii="Times New Roman;sans-serif" w:hAnsi="Times New Roman;sans-serif"/>
                <w:b/>
                <w:sz w:val="14"/>
              </w:rPr>
              <w:br/>
            </w:r>
            <w:r>
              <w:rPr>
                <w:rFonts w:ascii="Times New Roman;sans-serif" w:hAnsi="Times New Roman;sans-serif"/>
                <w:b/>
                <w:color w:val="000000"/>
                <w:sz w:val="14"/>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3</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2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6932" w:type="dxa"/>
            <w:gridSpan w:val="4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119" w:type="dxa"/>
            <w:gridSpan w:val="7"/>
            <w:tcBorders/>
            <w:shd w:fill="auto" w:val="clear"/>
          </w:tcPr>
          <w:p>
            <w:pPr>
              <w:pStyle w:val="TableContents"/>
              <w:spacing w:before="0" w:after="283"/>
              <w:rPr>
                <w:sz w:val="4"/>
                <w:szCs w:val="4"/>
              </w:rPr>
            </w:pPr>
            <w:r>
              <w:rPr>
                <w:sz w:val="4"/>
                <w:szCs w:val="4"/>
              </w:rPr>
            </w:r>
          </w:p>
        </w:tc>
      </w:tr>
      <w:tr>
        <w:trPr/>
        <w:tc>
          <w:tcPr>
            <w:tcW w:w="215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3" w:type="dxa"/>
            <w:gridSpan w:val="3"/>
            <w:tcBorders/>
            <w:shd w:fill="auto" w:val="clear"/>
            <w:vAlign w:val="center"/>
          </w:tcPr>
          <w:p>
            <w:pPr>
              <w:pStyle w:val="TableContents"/>
              <w:spacing w:before="0" w:after="283"/>
              <w:rPr>
                <w:sz w:val="4"/>
                <w:szCs w:val="4"/>
              </w:rPr>
            </w:pPr>
            <w:r>
              <w:rPr>
                <w:sz w:val="4"/>
                <w:szCs w:val="4"/>
              </w:rPr>
            </w:r>
          </w:p>
        </w:tc>
      </w:tr>
      <w:tr>
        <w:trPr/>
        <w:tc>
          <w:tcPr>
            <w:tcW w:w="21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6"/>
              </w:rPr>
              <w:t xml:space="preserve">Investments, including money market funds </w:t>
            </w:r>
            <w:r>
              <w:rPr>
                <w:rFonts w:ascii="Times New Roman;sans-serif" w:hAnsi="Times New Roman;sans-serif"/>
                <w:b w:val="false"/>
                <w:color w:val="000000"/>
                <w:sz w:val="12"/>
              </w:rPr>
              <w:t>(1)</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Natural gas derivatives </w:t>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15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3" w:type="dxa"/>
            <w:gridSpan w:val="3"/>
            <w:tcBorders/>
            <w:shd w:fill="auto" w:val="clear"/>
            <w:vAlign w:val="center"/>
          </w:tcPr>
          <w:p>
            <w:pPr>
              <w:pStyle w:val="TableContents"/>
              <w:spacing w:before="0" w:after="283"/>
              <w:rPr>
                <w:sz w:val="4"/>
                <w:szCs w:val="4"/>
              </w:rPr>
            </w:pPr>
            <w:r>
              <w:rPr>
                <w:sz w:val="4"/>
                <w:szCs w:val="4"/>
              </w:rPr>
            </w:r>
          </w:p>
        </w:tc>
      </w:tr>
      <w:tr>
        <w:trPr/>
        <w:tc>
          <w:tcPr>
            <w:tcW w:w="215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(1)Amounts are included in Prepaid expenses and other current assets in the Condensed Consolidated Balance Sheets.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Estimated Fair Value of Financial Instruments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cash and cash equivalents, investments in debt and equity securities measured at fair value and short-term borrowings are estimated to be approximately equivalent to carrying amounts and have been excluded from the table below. The carrying amounts of non-trading derivative assets and liabilities and CenterPoint Energy’s ZENS indexed debt securities derivative are stated at fair value and are excluded from the table below. The fair value of each debt instrument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tbl>
      <w:tblPr>
        <w:tblW w:w="10205" w:type="dxa"/>
        <w:jc w:val="left"/>
        <w:tblInd w:w="0" w:type="dxa"/>
        <w:tblCellMar>
          <w:top w:w="28" w:type="dxa"/>
          <w:left w:w="28" w:type="dxa"/>
          <w:bottom w:w="28" w:type="dxa"/>
          <w:right w:w="28" w:type="dxa"/>
        </w:tblCellMar>
      </w:tblPr>
      <w:tblGrid>
        <w:gridCol w:w="659"/>
        <w:gridCol w:w="578"/>
        <w:gridCol w:w="581"/>
        <w:gridCol w:w="274"/>
        <w:gridCol w:w="907"/>
        <w:gridCol w:w="153"/>
        <w:gridCol w:w="109"/>
        <w:gridCol w:w="109"/>
        <w:gridCol w:w="109"/>
        <w:gridCol w:w="263"/>
        <w:gridCol w:w="746"/>
        <w:gridCol w:w="146"/>
        <w:gridCol w:w="109"/>
        <w:gridCol w:w="109"/>
        <w:gridCol w:w="109"/>
        <w:gridCol w:w="196"/>
        <w:gridCol w:w="556"/>
        <w:gridCol w:w="109"/>
        <w:gridCol w:w="109"/>
        <w:gridCol w:w="109"/>
        <w:gridCol w:w="109"/>
        <w:gridCol w:w="274"/>
        <w:gridCol w:w="907"/>
        <w:gridCol w:w="153"/>
        <w:gridCol w:w="109"/>
        <w:gridCol w:w="109"/>
        <w:gridCol w:w="109"/>
        <w:gridCol w:w="263"/>
        <w:gridCol w:w="746"/>
        <w:gridCol w:w="146"/>
        <w:gridCol w:w="109"/>
        <w:gridCol w:w="109"/>
        <w:gridCol w:w="109"/>
        <w:gridCol w:w="196"/>
        <w:gridCol w:w="556"/>
        <w:gridCol w:w="161"/>
      </w:tblGrid>
      <w:tr>
        <w:trPr/>
        <w:tc>
          <w:tcPr>
            <w:tcW w:w="65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8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0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8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CenterPoint Energy </w:t>
            </w:r>
            <w:r>
              <w:rPr>
                <w:rFonts w:ascii="Times New Roman;sans-serif" w:hAnsi="Times New Roman;sans-serif"/>
                <w:b/>
                <w:color w:val="000000"/>
                <w:sz w:val="12"/>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Houston Electric </w:t>
            </w:r>
            <w:r>
              <w:rPr>
                <w:rFonts w:ascii="Times New Roman;sans-serif" w:hAnsi="Times New Roman;sans-serif"/>
                <w:b/>
                <w:color w:val="000000"/>
                <w:sz w:val="12"/>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CenterPoint Energy </w:t>
            </w:r>
            <w:r>
              <w:rPr>
                <w:rFonts w:ascii="Times New Roman;sans-serif" w:hAnsi="Times New Roman;sans-serif"/>
                <w:b/>
                <w:color w:val="000000"/>
                <w:sz w:val="12"/>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Houston Electric </w:t>
            </w:r>
            <w:r>
              <w:rPr>
                <w:rFonts w:ascii="Times New Roman;sans-serif" w:hAnsi="Times New Roman;sans-serif"/>
                <w:b/>
                <w:color w:val="000000"/>
                <w:sz w:val="12"/>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1818"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color w:val="000000"/>
                <w:sz w:val="16"/>
              </w:rPr>
            </w:pPr>
            <w:r>
              <w:rPr>
                <w:rFonts w:ascii="Times New Roman;sans-serif" w:hAnsi="Times New Roman;sans-serif"/>
                <w:b/>
                <w:color w:val="000000"/>
                <w:sz w:val="16"/>
              </w:rPr>
              <w:t>Long-term debt, including current maturities</w:t>
            </w:r>
          </w:p>
        </w:tc>
        <w:tc>
          <w:tcPr>
            <w:tcW w:w="8387"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818"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r>
      <w:tr>
        <w:trPr/>
        <w:tc>
          <w:tcPr>
            <w:tcW w:w="1818"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Carrying amount</w:t>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15,996 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7,245 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16,338 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6,353 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Fair value</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14,965 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6,556 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5,504 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Securitization Bond debt.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(9) Goodwill and Other Intangibles (CenterPoint Energy and CERC)</w:t>
      </w:r>
    </w:p>
    <w:p>
      <w:pPr>
        <w:pStyle w:val="TextBody"/>
        <w:spacing w:before="0" w:after="0"/>
        <w:jc w:val="both"/>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Goodwill (CenterPoint Energy and CERC)</w:t>
      </w:r>
    </w:p>
    <w:p>
      <w:pPr>
        <w:pStyle w:val="TextBody"/>
        <w:spacing w:before="0" w:after="0"/>
        <w:ind w:left="0" w:right="0" w:firstLine="180"/>
        <w:jc w:val="both"/>
        <w:rPr/>
      </w:pPr>
      <w:r>
        <w:rPr/>
      </w:r>
    </w:p>
    <w:p>
      <w:pPr>
        <w:pStyle w:val="TextBody"/>
        <w:spacing w:lineRule="auto" w:line="288" w:before="0" w:after="1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Energy’s goodwill by reportable segment as of both March 31, 2023 and December 31, 2022 is as follows: </w:t>
      </w:r>
    </w:p>
    <w:tbl>
      <w:tblPr>
        <w:tblW w:w="3800" w:type="dxa"/>
        <w:jc w:val="left"/>
        <w:tblInd w:w="0" w:type="dxa"/>
        <w:tblCellMar>
          <w:top w:w="28" w:type="dxa"/>
          <w:left w:w="28" w:type="dxa"/>
          <w:bottom w:w="28" w:type="dxa"/>
          <w:right w:w="28" w:type="dxa"/>
        </w:tblCellMar>
      </w:tblPr>
      <w:tblGrid>
        <w:gridCol w:w="658"/>
        <w:gridCol w:w="578"/>
        <w:gridCol w:w="579"/>
        <w:gridCol w:w="109"/>
        <w:gridCol w:w="109"/>
        <w:gridCol w:w="109"/>
        <w:gridCol w:w="109"/>
        <w:gridCol w:w="109"/>
        <w:gridCol w:w="109"/>
        <w:gridCol w:w="109"/>
        <w:gridCol w:w="109"/>
        <w:gridCol w:w="109"/>
        <w:gridCol w:w="216"/>
        <w:gridCol w:w="631"/>
        <w:gridCol w:w="157"/>
      </w:tblGrid>
      <w:tr>
        <w:trPr/>
        <w:tc>
          <w:tcPr>
            <w:tcW w:w="658"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4" w:type="dxa"/>
            <w:gridSpan w:val="3"/>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8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Electric </w:t>
            </w: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and Other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4" w:type="dxa"/>
            <w:gridSpan w:val="3"/>
            <w:tcBorders/>
            <w:shd w:fill="auto" w:val="clear"/>
            <w:vAlign w:val="center"/>
          </w:tcPr>
          <w:p>
            <w:pPr>
              <w:pStyle w:val="TableContents"/>
              <w:spacing w:before="0" w:after="283"/>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(1)Amount presented is net of the accumulated goodwill impairment charge of $185 million recorded in 2020.</w:t>
      </w:r>
    </w:p>
    <w:p>
      <w:pPr>
        <w:pStyle w:val="TextBody"/>
        <w:spacing w:before="0" w:after="0"/>
        <w:ind w:left="0" w:right="0" w:firstLine="360"/>
        <w:jc w:val="both"/>
        <w:rPr/>
      </w:pPr>
      <w:r>
        <w:rPr/>
      </w:r>
    </w:p>
    <w:p>
      <w:pPr>
        <w:pStyle w:val="TextBody"/>
        <w:spacing w:lineRule="auto" w:line="288" w:before="0" w:after="1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CERC’s goodwill as of both March 31, 2023 and December 31, 2022 is as follows: </w:t>
      </w:r>
    </w:p>
    <w:tbl>
      <w:tblPr>
        <w:tblW w:w="2915" w:type="dxa"/>
        <w:jc w:val="left"/>
        <w:tblInd w:w="0" w:type="dxa"/>
        <w:tblCellMar>
          <w:top w:w="28" w:type="dxa"/>
          <w:left w:w="28" w:type="dxa"/>
          <w:bottom w:w="28" w:type="dxa"/>
          <w:right w:w="28" w:type="dxa"/>
        </w:tblCellMar>
      </w:tblPr>
      <w:tblGrid>
        <w:gridCol w:w="337"/>
        <w:gridCol w:w="296"/>
        <w:gridCol w:w="297"/>
        <w:gridCol w:w="109"/>
        <w:gridCol w:w="109"/>
        <w:gridCol w:w="109"/>
        <w:gridCol w:w="109"/>
        <w:gridCol w:w="109"/>
        <w:gridCol w:w="109"/>
        <w:gridCol w:w="109"/>
        <w:gridCol w:w="109"/>
        <w:gridCol w:w="109"/>
        <w:gridCol w:w="216"/>
        <w:gridCol w:w="631"/>
        <w:gridCol w:w="157"/>
      </w:tblGrid>
      <w:tr>
        <w:trPr/>
        <w:tc>
          <w:tcPr>
            <w:tcW w:w="33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9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4" w:type="dxa"/>
            <w:gridSpan w:val="3"/>
            <w:tcBorders/>
            <w:shd w:fill="auto" w:val="cle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Other Intangibles (CenterPoint Energy)</w:t>
      </w:r>
    </w:p>
    <w:p>
      <w:pPr>
        <w:pStyle w:val="TextBody"/>
        <w:spacing w:before="0" w:after="0"/>
        <w:ind w:left="0" w:right="0" w:firstLine="18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information on CenterPoint Energy’s intangible assets, excluding goodwill, recorded in Other non-current assets on CenterPoint Energy’s Condensed Consolidated Balance Sheets and the related amortization expense included in Depreciation and amortization on CenterPoint Energy’s Condensed Statements of Consolidated Income.</w:t>
      </w:r>
    </w:p>
    <w:tbl>
      <w:tblPr>
        <w:tblW w:w="10205" w:type="dxa"/>
        <w:jc w:val="left"/>
        <w:tblInd w:w="0" w:type="dxa"/>
        <w:tblCellMar>
          <w:top w:w="28" w:type="dxa"/>
          <w:left w:w="28" w:type="dxa"/>
          <w:bottom w:w="28" w:type="dxa"/>
          <w:right w:w="28" w:type="dxa"/>
        </w:tblCellMar>
      </w:tblPr>
      <w:tblGrid>
        <w:gridCol w:w="686"/>
        <w:gridCol w:w="603"/>
        <w:gridCol w:w="605"/>
        <w:gridCol w:w="109"/>
        <w:gridCol w:w="342"/>
        <w:gridCol w:w="589"/>
        <w:gridCol w:w="179"/>
        <w:gridCol w:w="109"/>
        <w:gridCol w:w="109"/>
        <w:gridCol w:w="109"/>
        <w:gridCol w:w="417"/>
        <w:gridCol w:w="743"/>
        <w:gridCol w:w="218"/>
        <w:gridCol w:w="109"/>
        <w:gridCol w:w="109"/>
        <w:gridCol w:w="109"/>
        <w:gridCol w:w="238"/>
        <w:gridCol w:w="408"/>
        <w:gridCol w:w="123"/>
        <w:gridCol w:w="109"/>
        <w:gridCol w:w="109"/>
        <w:gridCol w:w="109"/>
        <w:gridCol w:w="342"/>
        <w:gridCol w:w="589"/>
        <w:gridCol w:w="179"/>
        <w:gridCol w:w="109"/>
        <w:gridCol w:w="109"/>
        <w:gridCol w:w="109"/>
        <w:gridCol w:w="417"/>
        <w:gridCol w:w="743"/>
        <w:gridCol w:w="218"/>
        <w:gridCol w:w="109"/>
        <w:gridCol w:w="109"/>
        <w:gridCol w:w="109"/>
        <w:gridCol w:w="236"/>
        <w:gridCol w:w="405"/>
        <w:gridCol w:w="181"/>
      </w:tblGrid>
      <w:tr>
        <w:trPr/>
        <w:tc>
          <w:tcPr>
            <w:tcW w:w="686"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1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1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Balance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Balance</w:t>
            </w:r>
          </w:p>
        </w:tc>
      </w:tr>
      <w:tr>
        <w:trPr/>
        <w:tc>
          <w:tcPr>
            <w:tcW w:w="18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2"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2" w:type="dxa"/>
            <w:gridSpan w:val="3"/>
            <w:tcBorders/>
            <w:shd w:fill="auto" w:val="clear"/>
            <w:vAlign w:val="center"/>
          </w:tcPr>
          <w:p>
            <w:pPr>
              <w:pStyle w:val="TableContents"/>
              <w:spacing w:before="0" w:after="283"/>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9" w:type="dxa"/>
            <w:tcBorders/>
            <w:shd w:fill="auto" w:val="cle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2" w:type="dxa"/>
            <w:gridSpan w:val="3"/>
            <w:tcBorders/>
            <w:shd w:fill="auto" w:val="clear"/>
            <w:vAlign w:val="center"/>
          </w:tcPr>
          <w:p>
            <w:pPr>
              <w:pStyle w:val="TableContents"/>
              <w:spacing w:before="0" w:after="283"/>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Operation and maintenance agreements </w:t>
            </w:r>
            <w:r>
              <w:rPr>
                <w:rFonts w:ascii="Times New Roman;sans-serif" w:hAnsi="Times New Roman;sans-serif"/>
                <w:b w:val="false"/>
                <w:color w:val="000000"/>
                <w:sz w:val="16"/>
              </w:rPr>
              <w:t>(1)</w:t>
            </w:r>
          </w:p>
        </w:tc>
        <w:tc>
          <w:tcPr>
            <w:tcW w:w="109" w:type="dxa"/>
            <w:tcBorders/>
            <w:shd w:fill="auto" w:val="cle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(1)Amortization expense related to the operation and maintenance agreements is included in Non-utility cost of revenues, including natural gas on CenterPoint Energy’s Condensed Statements of Consolidated Income.</w:t>
      </w:r>
    </w:p>
    <w:tbl>
      <w:tblPr>
        <w:tblW w:w="10205" w:type="dxa"/>
        <w:jc w:val="left"/>
        <w:tblInd w:w="0" w:type="dxa"/>
        <w:tblCellMar>
          <w:top w:w="28" w:type="dxa"/>
          <w:left w:w="28" w:type="dxa"/>
          <w:bottom w:w="28" w:type="dxa"/>
          <w:right w:w="28" w:type="dxa"/>
        </w:tblCellMar>
      </w:tblPr>
      <w:tblGrid>
        <w:gridCol w:w="2401"/>
        <w:gridCol w:w="2108"/>
        <w:gridCol w:w="2119"/>
        <w:gridCol w:w="109"/>
        <w:gridCol w:w="109"/>
        <w:gridCol w:w="247"/>
        <w:gridCol w:w="247"/>
        <w:gridCol w:w="247"/>
        <w:gridCol w:w="247"/>
        <w:gridCol w:w="479"/>
        <w:gridCol w:w="582"/>
        <w:gridCol w:w="247"/>
        <w:gridCol w:w="109"/>
        <w:gridCol w:w="109"/>
        <w:gridCol w:w="109"/>
        <w:gridCol w:w="211"/>
        <w:gridCol w:w="256"/>
        <w:gridCol w:w="109"/>
        <w:gridCol w:w="160"/>
      </w:tblGrid>
      <w:tr>
        <w:trPr/>
        <w:tc>
          <w:tcPr>
            <w:tcW w:w="2401"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rPr>
                <w:sz w:val="4"/>
                <w:szCs w:val="4"/>
              </w:rPr>
            </w:pPr>
            <w:r>
              <w:rPr>
                <w:sz w:val="4"/>
                <w:szCs w:val="4"/>
              </w:rPr>
            </w:r>
          </w:p>
        </w:tc>
        <w:tc>
          <w:tcPr>
            <w:tcW w:w="2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6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6"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6" w:type="dxa"/>
            <w:gridSpan w:val="4"/>
            <w:tcBorders/>
            <w:shd w:fill="auto" w:val="clear"/>
          </w:tcPr>
          <w:p>
            <w:pPr>
              <w:pStyle w:val="TableContents"/>
              <w:spacing w:before="0" w:after="283"/>
              <w:rPr>
                <w:sz w:val="4"/>
                <w:szCs w:val="4"/>
              </w:rPr>
            </w:pPr>
            <w:r>
              <w:rPr>
                <w:sz w:val="4"/>
                <w:szCs w:val="4"/>
              </w:rPr>
            </w:r>
          </w:p>
        </w:tc>
      </w:tr>
      <w:tr>
        <w:trPr/>
        <w:tc>
          <w:tcPr>
            <w:tcW w:w="66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60" w:type="dxa"/>
            <w:tcBorders/>
            <w:shd w:fill="auto" w:val="clear"/>
            <w:vAlign w:val="center"/>
          </w:tcPr>
          <w:p>
            <w:pPr>
              <w:pStyle w:val="TableContents"/>
              <w:spacing w:before="0" w:after="283"/>
              <w:rPr>
                <w:sz w:val="4"/>
                <w:szCs w:val="4"/>
              </w:rPr>
            </w:pPr>
            <w:r>
              <w:rPr>
                <w:sz w:val="4"/>
                <w:szCs w:val="4"/>
              </w:rPr>
            </w:r>
          </w:p>
        </w:tc>
      </w:tr>
      <w:tr>
        <w:trPr/>
        <w:tc>
          <w:tcPr>
            <w:tcW w:w="66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952"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66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of intangible assets recorded in Depreciation and amortization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6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41"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estimates that amortization expense of intangible assets with finite lives for the next five years will be as follows:</w:t>
      </w:r>
    </w:p>
    <w:tbl>
      <w:tblPr>
        <w:tblW w:w="3871" w:type="dxa"/>
        <w:jc w:val="left"/>
        <w:tblInd w:w="0" w:type="dxa"/>
        <w:tblCellMar>
          <w:top w:w="28" w:type="dxa"/>
          <w:left w:w="28" w:type="dxa"/>
          <w:bottom w:w="28" w:type="dxa"/>
          <w:right w:w="28" w:type="dxa"/>
        </w:tblCellMar>
      </w:tblPr>
      <w:tblGrid>
        <w:gridCol w:w="995"/>
        <w:gridCol w:w="874"/>
        <w:gridCol w:w="876"/>
        <w:gridCol w:w="382"/>
        <w:gridCol w:w="464"/>
        <w:gridCol w:w="280"/>
      </w:tblGrid>
      <w:tr>
        <w:trPr/>
        <w:tc>
          <w:tcPr>
            <w:tcW w:w="99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Amortization</w:t>
            </w:r>
          </w:p>
          <w:p>
            <w:pPr>
              <w:pStyle w:val="TableContents"/>
              <w:spacing w:lineRule="auto" w:line="240" w:before="0" w:after="0"/>
              <w:jc w:val="center"/>
              <w:rPr>
                <w:color w:val="000000"/>
              </w:rPr>
            </w:pPr>
            <w:r>
              <w:rPr>
                <w:color w:val="000000"/>
              </w:rPr>
              <w:t> </w:t>
            </w:r>
            <w:r>
              <w:rPr>
                <w:rFonts w:ascii="Times New Roman;sans-serif" w:hAnsi="Times New Roman;sans-serif"/>
                <w:b/>
                <w:color w:val="000000"/>
                <w:sz w:val="16"/>
              </w:rPr>
              <w:t>Expense</w:t>
            </w:r>
          </w:p>
        </w:tc>
      </w:tr>
      <w:tr>
        <w:trPr/>
        <w:tc>
          <w:tcPr>
            <w:tcW w:w="2745"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nine months of 2023</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(10) Equity Securities and Indexed Debt Securities (ZENS) (CenterPoint Energy)</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 Equity Securities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CenterPoint Energy completed the execution of its previously announced plan to exit the midstream sector by selling the remaining Energy Transfer Common Units and Energy Transfer Series G Preferred Units it held.</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Gains and losses on equity securities, net of transaction costs, are recorded in Gain (Loss) on Equity Securities in CenterPoint Energy’s Condensed Statements of Consolidated Income.</w:t>
      </w:r>
    </w:p>
    <w:tbl>
      <w:tblPr>
        <w:tblW w:w="7965" w:type="dxa"/>
        <w:jc w:val="left"/>
        <w:tblInd w:w="0" w:type="dxa"/>
        <w:tblCellMar>
          <w:top w:w="28" w:type="dxa"/>
          <w:left w:w="28" w:type="dxa"/>
          <w:bottom w:w="28" w:type="dxa"/>
          <w:right w:w="28" w:type="dxa"/>
        </w:tblCellMar>
      </w:tblPr>
      <w:tblGrid>
        <w:gridCol w:w="1215"/>
        <w:gridCol w:w="1069"/>
        <w:gridCol w:w="1075"/>
        <w:gridCol w:w="109"/>
        <w:gridCol w:w="109"/>
        <w:gridCol w:w="109"/>
        <w:gridCol w:w="109"/>
        <w:gridCol w:w="109"/>
        <w:gridCol w:w="214"/>
        <w:gridCol w:w="214"/>
        <w:gridCol w:w="611"/>
        <w:gridCol w:w="1047"/>
        <w:gridCol w:w="314"/>
        <w:gridCol w:w="160"/>
        <w:gridCol w:w="160"/>
        <w:gridCol w:w="160"/>
        <w:gridCol w:w="311"/>
        <w:gridCol w:w="643"/>
        <w:gridCol w:w="227"/>
      </w:tblGrid>
      <w:tr>
        <w:trPr/>
        <w:tc>
          <w:tcPr>
            <w:tcW w:w="1215"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633"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(Losses) on Equity Securities</w:t>
            </w:r>
          </w:p>
        </w:tc>
      </w:tr>
      <w:tr>
        <w:trPr/>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0"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661" w:type="dxa"/>
            <w:gridSpan w:val="6"/>
            <w:tcBorders/>
            <w:shd w:fill="auto" w:val="clea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9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63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AT&amp;T Common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Charter Common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WBD Common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Transfer Common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Transfer Series G Preferred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972" w:type="dxa"/>
            <w:gridSpan w:val="3"/>
            <w:tcBorders/>
            <w:shd w:fill="auto" w:val="clear"/>
            <w:vAlign w:val="center"/>
          </w:tcPr>
          <w:p>
            <w:pPr>
              <w:pStyle w:val="TableContents"/>
              <w:spacing w:before="0" w:after="283"/>
              <w:rPr>
                <w:sz w:val="4"/>
                <w:szCs w:val="4"/>
              </w:rPr>
            </w:pPr>
            <w:r>
              <w:rPr>
                <w:sz w:val="4"/>
                <w:szCs w:val="4"/>
              </w:rPr>
            </w:r>
          </w:p>
        </w:tc>
        <w:tc>
          <w:tcPr>
            <w:tcW w:w="480" w:type="dxa"/>
            <w:gridSpan w:val="3"/>
            <w:tcBorders/>
            <w:shd w:fill="auto" w:val="clear"/>
            <w:vAlign w:val="center"/>
          </w:tcPr>
          <w:p>
            <w:pPr>
              <w:pStyle w:val="TableContents"/>
              <w:spacing w:before="0" w:after="283"/>
              <w:rPr>
                <w:sz w:val="4"/>
                <w:szCs w:val="4"/>
              </w:rPr>
            </w:pPr>
            <w:r>
              <w:rPr>
                <w:sz w:val="4"/>
                <w:szCs w:val="4"/>
              </w:rPr>
            </w:r>
          </w:p>
        </w:tc>
        <w:tc>
          <w:tcPr>
            <w:tcW w:w="118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color w:val="000000"/>
        </w:rPr>
      </w:pPr>
      <w:r>
        <w:rPr>
          <w:color w:val="000000"/>
        </w:rPr>
        <w:t>    </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recorded net unrealized gains (losses) of $38 million and $(103) million for the three months ended March 31, 2023 and 2022 respectively, for equity securities held as of March 31, 2023 and 2022.</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 and its subsidiaries hold shares of certain securities detailed in the table below, which are classified as trading securities. Shares of AT&amp;T Common, Charter Common and WBD Common are expected to be held to facilitate CenterPoint Energy’s ability to meet its obligation under the ZENS. </w:t>
      </w:r>
    </w:p>
    <w:tbl>
      <w:tblPr>
        <w:tblW w:w="8744" w:type="dxa"/>
        <w:jc w:val="left"/>
        <w:tblInd w:w="0" w:type="dxa"/>
        <w:tblCellMar>
          <w:top w:w="28" w:type="dxa"/>
          <w:left w:w="28" w:type="dxa"/>
          <w:bottom w:w="28" w:type="dxa"/>
          <w:right w:w="28" w:type="dxa"/>
        </w:tblCellMar>
      </w:tblPr>
      <w:tblGrid>
        <w:gridCol w:w="548"/>
        <w:gridCol w:w="482"/>
        <w:gridCol w:w="485"/>
        <w:gridCol w:w="109"/>
        <w:gridCol w:w="109"/>
        <w:gridCol w:w="109"/>
        <w:gridCol w:w="540"/>
        <w:gridCol w:w="541"/>
        <w:gridCol w:w="421"/>
        <w:gridCol w:w="120"/>
        <w:gridCol w:w="120"/>
        <w:gridCol w:w="120"/>
        <w:gridCol w:w="540"/>
        <w:gridCol w:w="541"/>
        <w:gridCol w:w="501"/>
        <w:gridCol w:w="109"/>
        <w:gridCol w:w="109"/>
        <w:gridCol w:w="109"/>
        <w:gridCol w:w="338"/>
        <w:gridCol w:w="747"/>
        <w:gridCol w:w="174"/>
        <w:gridCol w:w="109"/>
        <w:gridCol w:w="109"/>
        <w:gridCol w:w="109"/>
        <w:gridCol w:w="392"/>
        <w:gridCol w:w="866"/>
        <w:gridCol w:w="287"/>
      </w:tblGrid>
      <w:tr>
        <w:trPr/>
        <w:tc>
          <w:tcPr>
            <w:tcW w:w="548"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Shares Held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Carrying Value </w:t>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AT&amp;T Common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10,212,945 </w:t>
            </w:r>
          </w:p>
        </w:tc>
        <w:tc>
          <w:tcPr>
            <w:tcW w:w="4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10,212,945 </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Charter Common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872,503 </w:t>
            </w:r>
          </w:p>
        </w:tc>
        <w:tc>
          <w:tcPr>
            <w:tcW w:w="4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872,503 </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WBD Common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2,470,685 </w:t>
            </w:r>
          </w:p>
        </w:tc>
        <w:tc>
          <w:tcPr>
            <w:tcW w:w="4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2,470,685 </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2"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5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2"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5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0"/>
        <w:ind w:left="0" w:right="0" w:firstLine="180"/>
        <w:rPr>
          <w:rFonts w:ascii="Times New Roman;sans-serif" w:hAnsi="Times New Roman;sans-serif"/>
          <w:b/>
          <w:i/>
          <w:color w:val="000000"/>
          <w:sz w:val="20"/>
        </w:rPr>
      </w:pPr>
      <w:r>
        <w:rPr>
          <w:rFonts w:ascii="Times New Roman;sans-serif" w:hAnsi="Times New Roman;sans-serif"/>
          <w:b/>
          <w:i/>
          <w:color w:val="000000"/>
          <w:sz w:val="20"/>
        </w:rPr>
        <w:t>(b) ZENS</w:t>
      </w:r>
    </w:p>
    <w:p>
      <w:pPr>
        <w:pStyle w:val="TextBody"/>
        <w:spacing w:before="0" w:after="0"/>
        <w:ind w:left="0" w:right="0" w:firstLine="18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1999, CenterPoint Energy issued ZENS having an original principal amount of $1.0 billion of which $828 million remained outstanding as of March 31, 2023.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Energy’s reference shares for each ZENS consisted of the following:</w:t>
      </w:r>
    </w:p>
    <w:tbl>
      <w:tblPr>
        <w:tblW w:w="4898" w:type="dxa"/>
        <w:jc w:val="left"/>
        <w:tblInd w:w="0" w:type="dxa"/>
        <w:tblCellMar>
          <w:top w:w="28" w:type="dxa"/>
          <w:left w:w="28" w:type="dxa"/>
          <w:bottom w:w="28" w:type="dxa"/>
          <w:right w:w="28" w:type="dxa"/>
        </w:tblCellMar>
      </w:tblPr>
      <w:tblGrid>
        <w:gridCol w:w="548"/>
        <w:gridCol w:w="482"/>
        <w:gridCol w:w="485"/>
        <w:gridCol w:w="541"/>
        <w:gridCol w:w="419"/>
        <w:gridCol w:w="421"/>
        <w:gridCol w:w="109"/>
        <w:gridCol w:w="109"/>
        <w:gridCol w:w="109"/>
        <w:gridCol w:w="583"/>
        <w:gridCol w:w="452"/>
        <w:gridCol w:w="640"/>
      </w:tblGrid>
      <w:tr>
        <w:trPr/>
        <w:tc>
          <w:tcPr>
            <w:tcW w:w="548"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shares)</w:t>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AT&amp;T Common</w:t>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0.7185 </w:t>
            </w:r>
          </w:p>
        </w:tc>
        <w:tc>
          <w:tcPr>
            <w:tcW w:w="4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0.7185 </w:t>
            </w:r>
          </w:p>
        </w:tc>
        <w:tc>
          <w:tcPr>
            <w:tcW w:w="6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Charter Common</w:t>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0.061382 </w:t>
            </w:r>
          </w:p>
        </w:tc>
        <w:tc>
          <w:tcPr>
            <w:tcW w:w="4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0.061382 </w:t>
            </w:r>
          </w:p>
        </w:tc>
        <w:tc>
          <w:tcPr>
            <w:tcW w:w="6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WBD Common</w:t>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0.173817 </w:t>
            </w:r>
          </w:p>
        </w:tc>
        <w:tc>
          <w:tcPr>
            <w:tcW w:w="4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0.173817 </w:t>
            </w:r>
          </w:p>
        </w:tc>
        <w:tc>
          <w:tcPr>
            <w:tcW w:w="6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March 31, 2023, the ZENS, having an original principal amount of $828 million and a contingent principal amount of $24 million, were outstanding and were exchangeable, at the option of the holders, for cash equal to 95% of the market value of the reference shares attributable to the ZENS.</w:t>
      </w:r>
    </w:p>
    <w:p>
      <w:pPr>
        <w:pStyle w:val="TextBody"/>
        <w:spacing w:before="0" w:after="0"/>
        <w:ind w:left="0" w:right="0" w:firstLine="36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(11) Short-term Borrowings and Long-term Debt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 xml:space="preserve">Inventory Financing. </w:t>
      </w:r>
      <w:r>
        <w:rPr>
          <w:rFonts w:ascii="Times New Roman;sans-serif" w:hAnsi="Times New Roman;sans-serif"/>
          <w:b w:val="false"/>
          <w:color w:val="000000"/>
          <w:sz w:val="20"/>
        </w:rPr>
        <w:t xml:space="preserve">CenterPoint Energy’s and CERC’s Natural Gas businesses have third-party AMAs associated with their utility distribution service in Indiana, Louisiana, Minnesota, Mississippi and Texas. The AMAs have varying terms, the longest of which expires in 2027. Pursuant to the provisions of the agreements, CenterPoint Energy’s and CERC’s Natural Gas either sells natural gas to the asset manager and agrees to repurchase an equivalent amount of natural gas throughout the year at the same cost, or simply purchases its full natural gas requirements at each delivery point from the asset manager. Certain of these transactions are accounted for as an inventory financing. CenterPoint Energy and CERC had $-0- and $11 million outstanding obligations related to the AMAs as of March 31, 2023 and December 31, 2022, respectively, recorded in Short-term borrowings on CenterPoint Energy’s and CERC’s Condensed Consolidated Balance Sheets.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 xml:space="preserve">Debt Transactions. </w:t>
      </w:r>
      <w:r>
        <w:rPr>
          <w:rFonts w:ascii="Times New Roman;sans-serif" w:hAnsi="Times New Roman;sans-serif"/>
          <w:b w:val="false"/>
          <w:color w:val="000000"/>
          <w:sz w:val="20"/>
        </w:rPr>
        <w:t>During the three months ended March 31, 2023, the following debt instruments were issued or incurred:</w:t>
      </w:r>
    </w:p>
    <w:p>
      <w:pPr>
        <w:pStyle w:val="TextBody"/>
        <w:spacing w:before="0" w:after="0"/>
        <w:ind w:left="0" w:right="0" w:firstLine="360"/>
        <w:jc w:val="both"/>
        <w:rPr/>
      </w:pPr>
      <w:r>
        <w:rPr/>
      </w:r>
    </w:p>
    <w:tbl>
      <w:tblPr>
        <w:tblW w:w="10205" w:type="dxa"/>
        <w:jc w:val="left"/>
        <w:tblInd w:w="0" w:type="dxa"/>
        <w:tblCellMar>
          <w:top w:w="28" w:type="dxa"/>
          <w:left w:w="28" w:type="dxa"/>
          <w:bottom w:w="28" w:type="dxa"/>
          <w:right w:w="28" w:type="dxa"/>
        </w:tblCellMar>
      </w:tblPr>
      <w:tblGrid>
        <w:gridCol w:w="545"/>
        <w:gridCol w:w="471"/>
        <w:gridCol w:w="474"/>
        <w:gridCol w:w="109"/>
        <w:gridCol w:w="109"/>
        <w:gridCol w:w="109"/>
        <w:gridCol w:w="353"/>
        <w:gridCol w:w="353"/>
        <w:gridCol w:w="354"/>
        <w:gridCol w:w="109"/>
        <w:gridCol w:w="109"/>
        <w:gridCol w:w="109"/>
        <w:gridCol w:w="606"/>
        <w:gridCol w:w="593"/>
        <w:gridCol w:w="595"/>
        <w:gridCol w:w="109"/>
        <w:gridCol w:w="109"/>
        <w:gridCol w:w="109"/>
        <w:gridCol w:w="425"/>
        <w:gridCol w:w="1210"/>
        <w:gridCol w:w="238"/>
        <w:gridCol w:w="109"/>
        <w:gridCol w:w="109"/>
        <w:gridCol w:w="109"/>
        <w:gridCol w:w="407"/>
        <w:gridCol w:w="407"/>
        <w:gridCol w:w="410"/>
        <w:gridCol w:w="109"/>
        <w:gridCol w:w="109"/>
        <w:gridCol w:w="109"/>
        <w:gridCol w:w="327"/>
        <w:gridCol w:w="327"/>
        <w:gridCol w:w="475"/>
      </w:tblGrid>
      <w:tr>
        <w:trPr/>
        <w:tc>
          <w:tcPr>
            <w:tcW w:w="545"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r>
      <w:tr>
        <w:trPr/>
        <w:tc>
          <w:tcPr>
            <w:tcW w:w="14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Registrant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Issuance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Debt Instrument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Principal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Interest Rate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14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8"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r>
      <w:tr>
        <w:trPr/>
        <w:tc>
          <w:tcPr>
            <w:tcW w:w="1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r>
      <w:tr>
        <w:trPr/>
        <w:tc>
          <w:tcPr>
            <w:tcW w:w="1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Houston Electric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General Mortgage Bonds</w:t>
            </w:r>
            <w:r>
              <w:rPr>
                <w:color w:val="000000"/>
              </w:rPr>
              <w:t xml:space="preserve"> </w:t>
            </w:r>
            <w:r>
              <w:rPr>
                <w:rFonts w:ascii="Times New Roman;sans-serif" w:hAnsi="Times New Roman;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4.95%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2033</w:t>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Houston Electric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General Mortgage Bonds</w:t>
            </w:r>
            <w:r>
              <w:rPr>
                <w:color w:val="000000"/>
              </w:rPr>
              <w:t xml:space="preserve"> </w:t>
            </w:r>
            <w:r>
              <w:rPr>
                <w:rFonts w:ascii="Times New Roman;sans-serif" w:hAnsi="Times New Roman;sans-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2053</w:t>
            </w:r>
          </w:p>
        </w:tc>
      </w:tr>
      <w:tr>
        <w:trPr/>
        <w:tc>
          <w:tcPr>
            <w:tcW w:w="14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Total Houston Electric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Term Loan </w:t>
            </w:r>
            <w:r>
              <w:rPr>
                <w:rFonts w:ascii="Times New Roman;sans-serif" w:hAnsi="Times New Roman;sans-serif"/>
                <w:b w:val="false"/>
                <w:color w:val="000000"/>
                <w:sz w:val="14"/>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8"/>
              </w:rPr>
              <w:t xml:space="preserve">SOFR </w:t>
            </w:r>
            <w:r>
              <w:rPr>
                <w:rFonts w:ascii="Times New Roman;sans-serif" w:hAnsi="Times New Roman;sans-serif"/>
                <w:b w:val="false"/>
                <w:color w:val="000000"/>
                <w:sz w:val="14"/>
              </w:rPr>
              <w:t>(3)</w:t>
            </w:r>
            <w:r>
              <w:rPr>
                <w:color w:val="000000"/>
              </w:rPr>
              <w:t xml:space="preserve"> </w:t>
            </w:r>
            <w:r>
              <w:rPr>
                <w:rFonts w:ascii="Times New Roman;sans-serif" w:hAnsi="Times New Roman;sans-serif"/>
                <w:b w:val="false"/>
                <w:color w:val="000000"/>
                <w:sz w:val="18"/>
              </w:rPr>
              <w:t>+ 0.85%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Senior Notes </w:t>
            </w:r>
            <w:r>
              <w:rPr>
                <w:rFonts w:ascii="Times New Roman;sans-serif" w:hAnsi="Times New Roman;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2028</w:t>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Senior Notes </w:t>
            </w:r>
            <w:r>
              <w:rPr>
                <w:rFonts w:ascii="Times New Roman;sans-serif" w:hAnsi="Times New Roman;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2033</w:t>
            </w:r>
          </w:p>
        </w:tc>
      </w:tr>
      <w:tr>
        <w:trPr/>
        <w:tc>
          <w:tcPr>
            <w:tcW w:w="14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CERC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CenterPoint Energy </w:t>
            </w:r>
            <w:r>
              <w:rPr>
                <w:rFonts w:ascii="Times New Roman;sans-serif" w:hAnsi="Times New Roman;sans-serif"/>
                <w:b w:val="false"/>
                <w:color w:val="000000"/>
                <w:sz w:val="14"/>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First Mortgage Bonds </w:t>
            </w:r>
            <w:r>
              <w:rPr>
                <w:rFonts w:ascii="Times New Roman;sans-serif" w:hAnsi="Times New Roman;sans-serif"/>
                <w:b w:val="false"/>
                <w:color w:val="000000"/>
                <w:sz w:val="14"/>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2028</w:t>
            </w:r>
          </w:p>
        </w:tc>
      </w:tr>
      <w:tr>
        <w:trPr/>
        <w:tc>
          <w:tcPr>
            <w:tcW w:w="14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CenterPoint Energy </w:t>
            </w:r>
            <w:r>
              <w:rPr>
                <w:rFonts w:ascii="Times New Roman;sans-serif" w:hAnsi="Times New Roman;sans-serif"/>
                <w:b w:val="false"/>
                <w:color w:val="000000"/>
                <w:sz w:val="14"/>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First Mortgage Bonds </w:t>
            </w:r>
            <w:r>
              <w:rPr>
                <w:rFonts w:ascii="Times New Roman;sans-serif" w:hAnsi="Times New Roman;sans-serif"/>
                <w:b w:val="false"/>
                <w:color w:val="000000"/>
                <w:sz w:val="14"/>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2033</w:t>
            </w:r>
          </w:p>
        </w:tc>
      </w:tr>
      <w:tr>
        <w:trPr/>
        <w:tc>
          <w:tcPr>
            <w:tcW w:w="1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CenterPoint Energy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Term Loan </w:t>
            </w:r>
            <w:r>
              <w:rPr>
                <w:rFonts w:ascii="Times New Roman;sans-serif" w:hAnsi="Times New Roman;sans-serif"/>
                <w:b w:val="false"/>
                <w:color w:val="000000"/>
                <w:sz w:val="14"/>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8"/>
              </w:rPr>
              <w:t xml:space="preserve">SOFR </w:t>
            </w:r>
            <w:r>
              <w:rPr>
                <w:rFonts w:ascii="Times New Roman;sans-serif" w:hAnsi="Times New Roman;sans-serif"/>
                <w:b w:val="false"/>
                <w:color w:val="000000"/>
                <w:sz w:val="14"/>
              </w:rPr>
              <w:t>(3)</w:t>
            </w:r>
            <w:r>
              <w:rPr>
                <w:color w:val="000000"/>
              </w:rPr>
              <w:t xml:space="preserve"> </w:t>
            </w:r>
            <w:r>
              <w:rPr>
                <w:rFonts w:ascii="Times New Roman;sans-serif" w:hAnsi="Times New Roman;sans-serif"/>
                <w:b w:val="false"/>
                <w:color w:val="000000"/>
                <w:sz w:val="18"/>
              </w:rPr>
              <w:t>+ 1.50%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r>
      <w:tr>
        <w:trPr/>
        <w:tc>
          <w:tcPr>
            <w:tcW w:w="14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Total CenterPoint Energy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3,030 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right"/>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(1)Total proceeds from Houston Electric’s March 2023 issuances of general mortgage bonds, net of transaction expenses and fees, were approximately $890 million. Approximately $593 million of such proceeds were used for general limited liability company purposes, including capital expenditures, working capital and the repayment of all or a portion of Houston Electric’s borrowings under the CenterPoint Energy money pool, and approximately $296 million of such proceeds will be disbursed or allocated to finance or refinance, in part or in full, new or existing projects that meet stated criteria.</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(2)Total proceeds, net of transaction expenses and fees, of approximately $500 million were used for general corporate purposes, including the repayment of CERC’s outstanding commercial paper balances.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(3)As defined in the term loan agreement, which includes an adjustment of 0.10% per annum.</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(4)Total proceeds from CERC’s February 2023 issuances of senior notes, net of transaction expenses and fees, of approximately $1.2 billion were used for general corporate purposes, including the repayment of (i) all or a portion of CERC’s outstanding 0.700% senior notes due 2023, (ii) all or a portion of CERC’s outstanding floating rate senior notes due 2023 and (iii) a portion of CERC’s outstanding commercial paper balances.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(5)Issued by SIGECO.</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(6)Total proceeds from SIGECO’s March 2023 issuances of first mortgage bonds, net of transaction expenses and fees, of approximately $179 million were used for general corporate purposes, including repaying short-term debt and refunding long-term debt at maturity or otherwise. </w:t>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(7)Total proceeds, net of transaction expenses and fees, of approximately $250 million were used for general corporate purposes, including the repayment of CenterPoint Energy’s outstanding commercial paper balances. The full outstanding amount of the term loan, including accrued and unpaid interest, was repaid in March 2023 and, following the repayment, the term loan agreement was terminated. </w:t>
      </w:r>
    </w:p>
    <w:p>
      <w:pPr>
        <w:pStyle w:val="TextBody"/>
        <w:spacing w:before="0" w:after="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SIGECO executed a remarketing agreement, subject to standard conditions precedent, to remarket five series of tax-exempt debt issued by the Indiana Finance Authority, and secured by SIGECO first mortgage bonds, of approximately $148 million, comprised of: (i) $107 million aggregate principal amount of Environmental Improvement Refunding Revenue Bonds, Series 2013, originally issued by the Indiana Finance Authority on April 26, 2013, and (ii) $41 million aggregate principal amount of Environmental Improvement Refunding Revenue Bonds, Series 2014, originally issued by the Indiana Finance Authority on September 24, 2014, which is expected to close on May 1, 2023. SIGECO expects to remarket an additional $38 million of tax-exempt debt at then market rates due to mandatory purchase or mandatory tender for purchase provisions by the end of 2023.</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 xml:space="preserve">Debt Repayments and Redemptions. </w:t>
      </w:r>
      <w:r>
        <w:rPr>
          <w:rFonts w:ascii="Times New Roman;sans-serif" w:hAnsi="Times New Roman;sans-serif"/>
          <w:b w:val="false"/>
          <w:color w:val="000000"/>
          <w:sz w:val="20"/>
        </w:rPr>
        <w:t xml:space="preserve">During the three months ended March 31, 2023, the following debt instruments were repaid at maturity or redeemed prior to maturity primarily with proceeds received from the Texas securitization discussed further in Note 6: </w:t>
      </w:r>
    </w:p>
    <w:p>
      <w:pPr>
        <w:pStyle w:val="TextBody"/>
        <w:spacing w:before="0" w:after="0"/>
        <w:ind w:left="0" w:right="0" w:firstLine="360"/>
        <w:jc w:val="both"/>
        <w:rPr/>
      </w:pPr>
      <w:r>
        <w:rPr/>
      </w:r>
    </w:p>
    <w:tbl>
      <w:tblPr>
        <w:tblW w:w="10205" w:type="dxa"/>
        <w:jc w:val="left"/>
        <w:tblInd w:w="0" w:type="dxa"/>
        <w:tblCellMar>
          <w:top w:w="28" w:type="dxa"/>
          <w:left w:w="28" w:type="dxa"/>
          <w:bottom w:w="28" w:type="dxa"/>
          <w:right w:w="28" w:type="dxa"/>
        </w:tblCellMar>
      </w:tblPr>
      <w:tblGrid>
        <w:gridCol w:w="469"/>
        <w:gridCol w:w="412"/>
        <w:gridCol w:w="417"/>
        <w:gridCol w:w="109"/>
        <w:gridCol w:w="109"/>
        <w:gridCol w:w="109"/>
        <w:gridCol w:w="457"/>
        <w:gridCol w:w="457"/>
        <w:gridCol w:w="459"/>
        <w:gridCol w:w="109"/>
        <w:gridCol w:w="109"/>
        <w:gridCol w:w="109"/>
        <w:gridCol w:w="469"/>
        <w:gridCol w:w="435"/>
        <w:gridCol w:w="436"/>
        <w:gridCol w:w="109"/>
        <w:gridCol w:w="109"/>
        <w:gridCol w:w="109"/>
        <w:gridCol w:w="286"/>
        <w:gridCol w:w="835"/>
        <w:gridCol w:w="147"/>
        <w:gridCol w:w="385"/>
        <w:gridCol w:w="385"/>
        <w:gridCol w:w="386"/>
        <w:gridCol w:w="583"/>
        <w:gridCol w:w="539"/>
        <w:gridCol w:w="393"/>
        <w:gridCol w:w="109"/>
        <w:gridCol w:w="109"/>
        <w:gridCol w:w="109"/>
        <w:gridCol w:w="274"/>
        <w:gridCol w:w="274"/>
        <w:gridCol w:w="399"/>
      </w:tblGrid>
      <w:tr>
        <w:trPr/>
        <w:tc>
          <w:tcPr>
            <w:tcW w:w="46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12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Registrant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Repayment/Redemption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Debt Instrument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Principal Amount</w:t>
            </w:r>
          </w:p>
        </w:tc>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12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CERC</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Term Loan </w:t>
            </w:r>
            <w:r>
              <w:rPr>
                <w:rFonts w:ascii="Times New Roman;sans-serif" w:hAnsi="Times New Roman;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SOFR </w:t>
            </w:r>
            <w:r>
              <w:rPr>
                <w:rFonts w:ascii="Times New Roman;sans-serif" w:hAnsi="Times New Roman;sans-serif"/>
                <w:b w:val="false"/>
                <w:color w:val="000000"/>
                <w:sz w:val="16"/>
              </w:rPr>
              <w:t>(2) + 0.70%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129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CERC</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12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CERC</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Floating Rate Senior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Three-month LIBOR plus 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12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CERC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1775000000</w:t>
            </w:r>
          </w:p>
        </w:tc>
        <w:tc>
          <w:tcPr>
            <w:tcW w:w="1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8"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r>
      <w:tr>
        <w:trPr/>
        <w:tc>
          <w:tcPr>
            <w:tcW w:w="12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8"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7" w:type="dxa"/>
            <w:gridSpan w:val="3"/>
            <w:tcBorders/>
            <w:shd w:fill="auto" w:val="clear"/>
            <w:vAlign w:val="center"/>
          </w:tcPr>
          <w:p>
            <w:pPr>
              <w:pStyle w:val="TableContents"/>
              <w:spacing w:before="0" w:after="283"/>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CenterPoint Energy</w:t>
            </w:r>
            <w:r>
              <w:rPr>
                <w:color w:val="000000"/>
              </w:rPr>
              <w:t xml:space="preserve">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Mortgage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2044</w:t>
            </w:r>
          </w:p>
        </w:tc>
      </w:tr>
      <w:tr>
        <w:trPr/>
        <w:tc>
          <w:tcPr>
            <w:tcW w:w="12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CenterPoint Energy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Term Loan </w:t>
            </w:r>
            <w:r>
              <w:rPr>
                <w:rFonts w:ascii="Times New Roman;sans-serif" w:hAnsi="Times New Roman;sans-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8"/>
              </w:rPr>
              <w:t xml:space="preserve">SOFR </w:t>
            </w:r>
            <w:r>
              <w:rPr>
                <w:rFonts w:ascii="Times New Roman;sans-serif" w:hAnsi="Times New Roman;sans-serif"/>
                <w:b w:val="false"/>
                <w:color w:val="000000"/>
                <w:sz w:val="14"/>
              </w:rPr>
              <w:t>(2)</w:t>
            </w:r>
            <w:r>
              <w:rPr>
                <w:color w:val="000000"/>
              </w:rPr>
              <w:t xml:space="preserve"> </w:t>
            </w:r>
            <w:r>
              <w:rPr>
                <w:rFonts w:ascii="Times New Roman;sans-serif" w:hAnsi="Times New Roman;sans-serif"/>
                <w:b w:val="false"/>
                <w:color w:val="000000"/>
                <w:sz w:val="18"/>
              </w:rPr>
              <w:t>+ 1.50%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12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CenterPoint Energy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On December 16, 2022, SIGECO provided notice of redemption and on January 17, 2023, SIGECO redeemed $11 million aggregate principal amount of SIGECO’s outstanding first mortgage bonds due 2044 at a redemption price equal to 100% of the principal amount of the first mortgage bonds to be redeemed plus accrued and unpaid interest thereon, if any, to, but excluding, the redemption date.</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As defined in the term loan agreement, which includes an adjustment of 0.10% per annum.</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The full outstanding amount of the term loan, including accrued and unpaid interest, was repaid in March 2023 and, following the repayment, the term loan agreement was terminated.</w:t>
      </w:r>
    </w:p>
    <w:p>
      <w:pPr>
        <w:pStyle w:val="TextBody"/>
        <w:spacing w:before="0" w:after="0"/>
        <w:ind w:left="0" w:right="0" w:hanging="360"/>
        <w:jc w:val="both"/>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Credit Facilities</w:t>
      </w:r>
      <w:r>
        <w:rPr>
          <w:rFonts w:ascii="Times New Roman;sans-serif" w:hAnsi="Times New Roman;sans-serif"/>
          <w:b w:val="false"/>
          <w:color w:val="000000"/>
          <w:sz w:val="20"/>
        </w:rPr>
        <w:t xml:space="preserve">. The Registrants had the following revolving credit facilities as of March 31, 2023: </w:t>
      </w:r>
    </w:p>
    <w:tbl>
      <w:tblPr>
        <w:tblW w:w="10205" w:type="dxa"/>
        <w:jc w:val="left"/>
        <w:tblInd w:w="0" w:type="dxa"/>
        <w:tblCellMar>
          <w:top w:w="28" w:type="dxa"/>
          <w:left w:w="28" w:type="dxa"/>
          <w:bottom w:w="28" w:type="dxa"/>
          <w:right w:w="28" w:type="dxa"/>
        </w:tblCellMar>
      </w:tblPr>
      <w:tblGrid>
        <w:gridCol w:w="382"/>
        <w:gridCol w:w="337"/>
        <w:gridCol w:w="340"/>
        <w:gridCol w:w="109"/>
        <w:gridCol w:w="109"/>
        <w:gridCol w:w="109"/>
        <w:gridCol w:w="417"/>
        <w:gridCol w:w="417"/>
        <w:gridCol w:w="422"/>
        <w:gridCol w:w="109"/>
        <w:gridCol w:w="109"/>
        <w:gridCol w:w="109"/>
        <w:gridCol w:w="211"/>
        <w:gridCol w:w="619"/>
        <w:gridCol w:w="109"/>
        <w:gridCol w:w="109"/>
        <w:gridCol w:w="109"/>
        <w:gridCol w:w="109"/>
        <w:gridCol w:w="299"/>
        <w:gridCol w:w="287"/>
        <w:gridCol w:w="288"/>
        <w:gridCol w:w="109"/>
        <w:gridCol w:w="109"/>
        <w:gridCol w:w="109"/>
        <w:gridCol w:w="573"/>
        <w:gridCol w:w="573"/>
        <w:gridCol w:w="575"/>
        <w:gridCol w:w="109"/>
        <w:gridCol w:w="109"/>
        <w:gridCol w:w="109"/>
        <w:gridCol w:w="407"/>
        <w:gridCol w:w="407"/>
        <w:gridCol w:w="408"/>
        <w:gridCol w:w="109"/>
        <w:gridCol w:w="109"/>
        <w:gridCol w:w="109"/>
        <w:gridCol w:w="339"/>
        <w:gridCol w:w="339"/>
        <w:gridCol w:w="494"/>
      </w:tblGrid>
      <w:tr>
        <w:trPr/>
        <w:tc>
          <w:tcPr>
            <w:tcW w:w="382"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r>
      <w:tr>
        <w:trPr/>
        <w:tc>
          <w:tcPr>
            <w:tcW w:w="10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Execution</w:t>
              <w:br/>
              <w:t xml:space="preserve"> Date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Registrant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Size of</w:t>
              <w:br/>
              <w:t>Facility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Draw Rate of SOFR plus </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Covenant Limit on Debt for Borrowed Money to Capital Ratio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2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Debt for Borrowed Money to Capital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Ratio as of</w:t>
            </w:r>
          </w:p>
          <w:p>
            <w:pPr>
              <w:pStyle w:val="TableContents"/>
              <w:spacing w:lineRule="auto" w:line="240" w:before="0" w:after="0"/>
              <w:jc w:val="center"/>
              <w:rPr/>
            </w:pPr>
            <w:r>
              <w:rPr>
                <w:rFonts w:ascii="Times New Roman;sans-serif" w:hAnsi="Times New Roman;sans-serif"/>
                <w:b/>
                <w:color w:val="000000"/>
                <w:sz w:val="16"/>
              </w:rPr>
              <w:t xml:space="preserve">March 31, 2023 </w:t>
            </w:r>
            <w:r>
              <w:rPr>
                <w:rFonts w:ascii="Times New Roman;sans-serif" w:hAnsi="Times New Roman;sans-serif"/>
                <w:b/>
                <w:color w:val="000000"/>
                <w:sz w:val="12"/>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 Date</w:t>
            </w:r>
          </w:p>
        </w:tc>
      </w:tr>
      <w:tr>
        <w:trPr/>
        <w:tc>
          <w:tcPr>
            <w:tcW w:w="10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2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2027</w:t>
            </w:r>
          </w:p>
        </w:tc>
      </w:tr>
      <w:tr>
        <w:trPr/>
        <w:tc>
          <w:tcPr>
            <w:tcW w:w="10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CenterPoint Energy</w:t>
            </w:r>
            <w:r>
              <w:rPr>
                <w:color w:val="000000"/>
              </w:rPr>
              <w:t xml:space="preserve"> </w:t>
            </w:r>
            <w:r>
              <w:rPr>
                <w:rFonts w:ascii="Times New Roman;sans-serif" w:hAnsi="Times New Roman;sans-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2027</w:t>
            </w:r>
          </w:p>
        </w:tc>
      </w:tr>
      <w:tr>
        <w:trPr/>
        <w:tc>
          <w:tcPr>
            <w:tcW w:w="1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r>
      <w:tr>
        <w:trPr/>
        <w:tc>
          <w:tcPr>
            <w:tcW w:w="10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Houston Electric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2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2027</w:t>
            </w:r>
          </w:p>
        </w:tc>
      </w:tr>
      <w:tr>
        <w:trPr/>
        <w:tc>
          <w:tcPr>
            <w:tcW w:w="10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2027</w:t>
            </w:r>
          </w:p>
        </w:tc>
      </w:tr>
      <w:tr>
        <w:trPr/>
        <w:tc>
          <w:tcPr>
            <w:tcW w:w="10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(1)Based on current credit ratings.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(2)As defined in the revolving credit facility agreements, excluding Securitization Bonds.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(4)This credit facility was issued by SIGECO.</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including the subsidiaries of CenterPoint Energy discussed above, were in compliance with all financial debt covenants as of March 31, 2023.</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reflects the utilization of the Registrants’ respective revolving credit facilities:</w:t>
      </w:r>
    </w:p>
    <w:tbl>
      <w:tblPr>
        <w:tblW w:w="10750" w:type="dxa"/>
        <w:jc w:val="left"/>
        <w:tblInd w:w="0" w:type="dxa"/>
        <w:tblCellMar>
          <w:top w:w="28" w:type="dxa"/>
          <w:left w:w="28" w:type="dxa"/>
          <w:bottom w:w="28" w:type="dxa"/>
          <w:right w:w="28" w:type="dxa"/>
        </w:tblCellMar>
      </w:tblPr>
      <w:tblGrid>
        <w:gridCol w:w="397"/>
        <w:gridCol w:w="348"/>
        <w:gridCol w:w="351"/>
        <w:gridCol w:w="109"/>
        <w:gridCol w:w="109"/>
        <w:gridCol w:w="109"/>
        <w:gridCol w:w="211"/>
        <w:gridCol w:w="406"/>
        <w:gridCol w:w="109"/>
        <w:gridCol w:w="109"/>
        <w:gridCol w:w="109"/>
        <w:gridCol w:w="109"/>
        <w:gridCol w:w="237"/>
        <w:gridCol w:w="406"/>
        <w:gridCol w:w="123"/>
        <w:gridCol w:w="109"/>
        <w:gridCol w:w="109"/>
        <w:gridCol w:w="109"/>
        <w:gridCol w:w="223"/>
        <w:gridCol w:w="652"/>
        <w:gridCol w:w="116"/>
        <w:gridCol w:w="109"/>
        <w:gridCol w:w="109"/>
        <w:gridCol w:w="109"/>
        <w:gridCol w:w="334"/>
        <w:gridCol w:w="177"/>
        <w:gridCol w:w="442"/>
        <w:gridCol w:w="109"/>
        <w:gridCol w:w="109"/>
        <w:gridCol w:w="109"/>
        <w:gridCol w:w="109"/>
        <w:gridCol w:w="211"/>
        <w:gridCol w:w="406"/>
        <w:gridCol w:w="109"/>
        <w:gridCol w:w="109"/>
        <w:gridCol w:w="109"/>
        <w:gridCol w:w="109"/>
        <w:gridCol w:w="237"/>
        <w:gridCol w:w="406"/>
        <w:gridCol w:w="123"/>
        <w:gridCol w:w="109"/>
        <w:gridCol w:w="109"/>
        <w:gridCol w:w="109"/>
        <w:gridCol w:w="223"/>
        <w:gridCol w:w="652"/>
        <w:gridCol w:w="116"/>
        <w:gridCol w:w="109"/>
        <w:gridCol w:w="109"/>
        <w:gridCol w:w="109"/>
        <w:gridCol w:w="340"/>
        <w:gridCol w:w="171"/>
        <w:gridCol w:w="499"/>
      </w:tblGrid>
      <w:tr>
        <w:trPr/>
        <w:tc>
          <w:tcPr>
            <w:tcW w:w="39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Registrant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Loans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Letters</w:t>
              <w:br/>
              <w:t>of Credit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Commercial</w:t>
            </w:r>
          </w:p>
          <w:p>
            <w:pPr>
              <w:pStyle w:val="TableContents"/>
              <w:spacing w:lineRule="auto" w:line="240" w:before="0" w:after="0"/>
              <w:jc w:val="center"/>
              <w:rPr/>
            </w:pPr>
            <w:r>
              <w:rPr>
                <w:rFonts w:ascii="Times New Roman;sans-serif" w:hAnsi="Times New Roman;sans-serif"/>
                <w:b/>
                <w:color w:val="000000"/>
                <w:sz w:val="16"/>
              </w:rPr>
              <w:t xml:space="preserve">Paper </w:t>
            </w:r>
            <w:r>
              <w:rPr>
                <w:rFonts w:ascii="Times New Roman;sans-serif" w:hAnsi="Times New Roman;sans-serif"/>
                <w:b/>
                <w:color w:val="000000"/>
                <w:sz w:val="12"/>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Interest Rate</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Loans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Letters</w:t>
              <w:br/>
              <w:t>of Credit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Commercial</w:t>
            </w:r>
          </w:p>
          <w:p>
            <w:pPr>
              <w:pStyle w:val="TableContents"/>
              <w:spacing w:lineRule="auto" w:line="240" w:before="0" w:after="0"/>
              <w:jc w:val="center"/>
              <w:rPr/>
            </w:pPr>
            <w:r>
              <w:rPr>
                <w:rFonts w:ascii="Times New Roman;sans-serif" w:hAnsi="Times New Roman;sans-serif"/>
                <w:b/>
                <w:color w:val="000000"/>
                <w:sz w:val="16"/>
              </w:rPr>
              <w:t xml:space="preserve">Paper </w:t>
            </w:r>
            <w:r>
              <w:rPr>
                <w:rFonts w:ascii="Times New Roman;sans-serif" w:hAnsi="Times New Roman;sans-serif"/>
                <w:b/>
                <w:color w:val="000000"/>
                <w:sz w:val="12"/>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Interest Rate</w:t>
            </w:r>
          </w:p>
        </w:tc>
      </w:tr>
      <w:tr>
        <w:trPr/>
        <w:tc>
          <w:tcPr>
            <w:tcW w:w="10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7" w:type="dxa"/>
            <w:gridSpan w:val="4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weighted average interest rate)</w:t>
            </w:r>
          </w:p>
        </w:tc>
        <w:tc>
          <w:tcPr>
            <w:tcW w:w="1010" w:type="dxa"/>
            <w:gridSpan w:val="3"/>
            <w:tcBorders/>
            <w:shd w:fill="auto" w:val="clea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4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CenterPoint Energy </w:t>
            </w: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Houston Electric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CERC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4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(1)This credit facility was issued by SIGECO.</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(2)Outstanding commercial paper generally has maturities of 60 days or less and each Registrants’ commercial paper program is backstopped by such Registrants’ long-term credit facilities. Neither Houston Electric nor SIGECO has a commercial paper program.</w:t>
      </w:r>
    </w:p>
    <w:p>
      <w:pPr>
        <w:pStyle w:val="TextBody"/>
        <w:spacing w:lineRule="auto" w:line="288" w:before="0" w:after="0"/>
        <w:ind w:left="0" w:right="0" w:firstLine="360"/>
        <w:jc w:val="both"/>
        <w:rPr/>
      </w:pPr>
      <w:r>
        <w:rPr>
          <w:rFonts w:ascii="Times New Roman;sans-serif" w:hAnsi="Times New Roman;sans-serif"/>
          <w:b w:val="false"/>
          <w:i/>
          <w:color w:val="000000"/>
          <w:sz w:val="20"/>
        </w:rPr>
        <w:t xml:space="preserve">Liens. </w:t>
      </w:r>
      <w:r>
        <w:rPr>
          <w:rFonts w:ascii="Times New Roman;sans-serif" w:hAnsi="Times New Roman;sans-serif"/>
          <w:b w:val="false"/>
          <w:color w:val="000000"/>
          <w:sz w:val="20"/>
        </w:rPr>
        <w:t>As of March 31, 2023, Houston Electric’s assets were subject to liens securing approximately $7.1 billion of general mortgage bonds outstanding under the General Mortgage, including approximately $68 million held in trust to secure pollution control bonds that mature in 2028 for which CenterPoint Energy is obligated. The general mortgage bonds that are held in trust to secure pollution control bonds are not reflected in Houston Electric’s consolidated financial statements because of the contingent nature of the obligations. Houston Electric may issue additional general mortgage bonds on the basis of retired bonds, 70% of property additions or cash deposited with the trustee. Houston Electric could issue approximately $4.4 billion of additional general mortgage bonds on the basis of retired bonds and 70% of property additions as of March 31, 2023. No first mortgage bonds are outstanding under the M&amp;DOT, and Houston Electric is contractually obligated to not issue any additional first mortgage bonds under the M&amp;DOT and is undertaking actions to release the lien of the M&amp;DOT and terminate the M&amp;DOT.</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SIGECO had approximately $457 million aggregate principal amount of first mortgage bonds outstanding. Generally, all of SIGECO’s real and tangible property is subject to the lien of SIGECO’s mortgage indenture which was amended and restated effective as of January 1, 2023. As of March 31, 2023, SIGECO was permitted to issue additional bonds under its mortgage indenture up to 70% of then currently unfunded property additions and approximately $1.2 billion of additional first mortgage bonds could be issued on this basis.</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 xml:space="preserve">Other. </w:t>
      </w:r>
      <w:r>
        <w:rPr>
          <w:rFonts w:ascii="Times New Roman;sans-serif" w:hAnsi="Times New Roman;sans-serif"/>
          <w:b w:val="false"/>
          <w:color w:val="000000"/>
          <w:sz w:val="20"/>
        </w:rPr>
        <w:t xml:space="preserve">As of March 31, 2023, certain financial institutions agreed to issue, from time to time, up to $5 million of letters of credit on behalf of Vectren and certain of its subsidiaries in exchange for customary fees. As of March 31, 2023, such financial institutions had issued $0.2 million of letters of credit on behalf of Vectren and certain of its subsidiaries.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(12) Income Taxes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Registrants reported the following effective tax rates: </w:t>
      </w:r>
    </w:p>
    <w:tbl>
      <w:tblPr>
        <w:tblW w:w="5596" w:type="dxa"/>
        <w:jc w:val="left"/>
        <w:tblInd w:w="0" w:type="dxa"/>
        <w:tblCellMar>
          <w:top w:w="28" w:type="dxa"/>
          <w:left w:w="28" w:type="dxa"/>
          <w:bottom w:w="28" w:type="dxa"/>
          <w:right w:w="28" w:type="dxa"/>
        </w:tblCellMar>
      </w:tblPr>
      <w:tblGrid>
        <w:gridCol w:w="717"/>
        <w:gridCol w:w="630"/>
        <w:gridCol w:w="632"/>
        <w:gridCol w:w="109"/>
        <w:gridCol w:w="109"/>
        <w:gridCol w:w="282"/>
        <w:gridCol w:w="282"/>
        <w:gridCol w:w="282"/>
        <w:gridCol w:w="282"/>
        <w:gridCol w:w="282"/>
        <w:gridCol w:w="282"/>
        <w:gridCol w:w="703"/>
        <w:gridCol w:w="109"/>
        <w:gridCol w:w="109"/>
        <w:gridCol w:w="109"/>
        <w:gridCol w:w="180"/>
        <w:gridCol w:w="181"/>
        <w:gridCol w:w="316"/>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04" w:type="dxa"/>
            <w:gridSpan w:val="6"/>
            <w:tcBorders/>
            <w:shd w:fill="auto" w:val="clea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CenterPoint Energy </w:t>
            </w:r>
            <w:r>
              <w:rPr>
                <w:rFonts w:ascii="Times New Roman;sans-serif" w:hAnsi="Times New Roman;sans-serif"/>
                <w:b w:val="false"/>
                <w:color w:val="000000"/>
                <w:sz w:val="16"/>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2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Houston Electric </w:t>
            </w:r>
            <w:r>
              <w:rPr>
                <w:rFonts w:ascii="Times New Roman;sans-serif" w:hAnsi="Times New Roman;sans-serif"/>
                <w:b w:val="false"/>
                <w:color w:val="000000"/>
                <w:sz w:val="16"/>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7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CERC </w:t>
            </w:r>
            <w:r>
              <w:rPr>
                <w:rFonts w:ascii="Times New Roman;sans-serif" w:hAnsi="Times New Roman;sans-serif"/>
                <w:b w:val="false"/>
                <w:color w:val="000000"/>
                <w:sz w:val="16"/>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7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46" w:type="dxa"/>
            <w:gridSpan w:val="3"/>
            <w:tcBorders/>
            <w:shd w:fill="auto" w:val="clear"/>
            <w:vAlign w:val="center"/>
          </w:tcPr>
          <w:p>
            <w:pPr>
              <w:pStyle w:val="TableContents"/>
              <w:spacing w:before="0" w:after="283"/>
              <w:rPr>
                <w:sz w:val="4"/>
                <w:szCs w:val="4"/>
              </w:rPr>
            </w:pPr>
            <w:r>
              <w:rPr>
                <w:sz w:val="4"/>
                <w:szCs w:val="4"/>
              </w:rPr>
            </w:r>
          </w:p>
        </w:tc>
        <w:tc>
          <w:tcPr>
            <w:tcW w:w="12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(1)CenterPoint Energy’s lower effective tax rate for the three months ended March 31, 2023 compared to the same periods ended March 31, 2022 was primarily driven by the decrease in state income taxes and the absence of the non-deductible goodwill associated with the sale of the Natural Gas businesses in Arkansas and Oklahoma in 2022 which is partially offset by the decrease in the amount of amortization of the net regulatory EDIT liability.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(2)Houston Electric’s higher effective tax rate for the three months ended March 31, 2023 compared to the same period in 2022 was primarily driven by an increase in state income taxes which is partially offset by an increase in the amount of amortization of the net regulatory EDIT liability.</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(3)CERC’s lower effective tax rate for the three months ended March 31, 2023 compared to the same period ended March 31, 2022 was primarily driven by a decrease in state income taxes and the absence of the non-deductible goodwill associated with the sale of the Natural Gas businesses in Arkansas and Oklahoma in 2022 which is partially offset by the decrease in the amount of amortization of the net regulatory EDIT liability.</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 reported a net uncertain tax liability, inclusive of interest and penalties, of $28 million as of March 31, 2023. The Registrants believe that it is reasonably possible that there will be no change in unrecognized tax benefits, including penalties and interest, in the next 12 months as a result of a lapse of statutes on older exposures, a tax settlement, and/or a resolution of open audits.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Tax Audits and Settlements</w:t>
      </w:r>
      <w:r>
        <w:rPr>
          <w:rFonts w:ascii="Times New Roman;sans-serif" w:hAnsi="Times New Roman;sans-serif"/>
          <w:b w:val="false"/>
          <w:color w:val="000000"/>
          <w:sz w:val="20"/>
        </w:rPr>
        <w:t xml:space="preserve">. Tax years through 2018 have been audited and settled with the IRS for CenterPoint Energy. For the 2019-2022 tax years, the Registrants are participants in the IRS’s Compliance Assurance Process. Vectren’s pre-Merger 2014-2019 tax years have been audited and settled with the IRS.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(13) Commitments and Contingencies </w:t>
      </w:r>
    </w:p>
    <w:p>
      <w:pPr>
        <w:pStyle w:val="TextBody"/>
        <w:spacing w:before="0" w:after="0"/>
        <w:rPr/>
      </w:pPr>
      <w:r>
        <w:rPr/>
      </w:r>
    </w:p>
    <w:p>
      <w:pPr>
        <w:pStyle w:val="TextBody"/>
        <w:spacing w:lineRule="auto" w:line="288" w:before="0" w:after="0"/>
        <w:ind w:left="0" w:right="0" w:hanging="360"/>
        <w:rPr>
          <w:rFonts w:ascii="Times New Roman;sans-serif" w:hAnsi="Times New Roman;sans-serif"/>
          <w:b/>
          <w:i/>
          <w:color w:val="000000"/>
          <w:sz w:val="20"/>
        </w:rPr>
      </w:pPr>
      <w:r>
        <w:rPr>
          <w:rFonts w:ascii="Times New Roman;sans-serif" w:hAnsi="Times New Roman;sans-serif"/>
          <w:b/>
          <w:i/>
          <w:color w:val="000000"/>
          <w:sz w:val="20"/>
        </w:rPr>
        <w:t>(a)Purchase Obligations (CenterPoint Energy and CERC)</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Commitments include minimum purchase obligations related to CenterPoint Energy’s and CERC’s Natural Gas reportable segment and CenterPoint Energy’s Electric reportable segment. A purchase obligation is defined as an agreement to purchase goods or services that is enforceable and legally binding on the registrant and that specifies all significant terms, including: fixed or minimum quantities to be purchased; fixed, minimum or variable price provisions; and the approximate timing of the transaction. Contracts with minimum payment provisions have various quantity requirements and durations and are not classified as non-trading derivative assets and liabilities in CenterPoint Energy’s and CERC’s Condensed Consolidated Balance Sheets as of March 31, 2023 and December 31, 2021. These contracts meet an exception as “normal purchases contracts” or do not meet the definition of a derivative. Natural gas and coal supply commitments also include transportation contracts that do not meet the definition of a derivative.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27, 2021, the IURC issued an order approving the CPCN, authorizing Indiana Electric to purchase the Posey Solar project through a BTA to acquire its solar array assets for a fixed purchase price and approved recovery of costs via a levelized rate over the anticipated 35-year life. Due to community feedback and rising project costs caused by inflation and supply chain issues affecting the energy industry, Indiana Electric, along with Arevon, the developer, announced plans in January 2022 to downsize the Posey Solar project to 191 MW. Indiana Electric collaboratively agreed to the scope change, and on February 1, 2023, Indiana Electric entered into an amended and restated BTA that is contingent on further IURC review and approval. On February 7, 2023, Indiana Electric filed a CPCN with the IURC to approve the amended BTA. With the passage of the IRA, Indiana Electric can now pursue PTCs for solar projects. Indiana Electric will request that project costs, net of PTCs, be recovered in rate base rather than a levelized rate, through base rates or the CECA mechanism, depending on which provides more timely recovery. The Posey Solar project is expected to be placed in service in 2025.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5, 2022, Indiana Electric entered into a BTA to acquire a 130 MW solar array in Pike County, Indiana through a special purpose entity for a capped purchase price. A CPCN for the project was filed with the IURC on July 29, 2022. On September 21, 2022, an agreement in principle was reached resolving all the issues between Indiana Electric and OUCC. The Stipulation and Settlement agreement was filed on October 6, 2022 and a settlement hearing was held on November 1, 2022. On January 11, 2023, the IURC issued an order approving the settlement agreement granting Indiana Electric a CPCN to purchase and acquire the Pike County solar project through a BTA and approved the estimated cost. The IURC also designated the project as a clean energy project under Ind. Code Ch. 8-1-8.8, approved the proposed levelized rate and associated ratemaking and accounting treatment. The project is expected to be placed in service by 2025.</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other than discussed below, undiscounted minimum purchase obligations are approximately: </w:t>
      </w:r>
    </w:p>
    <w:tbl>
      <w:tblPr>
        <w:tblW w:w="8218" w:type="dxa"/>
        <w:jc w:val="left"/>
        <w:tblInd w:w="0" w:type="dxa"/>
        <w:tblCellMar>
          <w:top w:w="28" w:type="dxa"/>
          <w:left w:w="28" w:type="dxa"/>
          <w:bottom w:w="28" w:type="dxa"/>
          <w:right w:w="28" w:type="dxa"/>
        </w:tblCellMar>
      </w:tblPr>
      <w:tblGrid>
        <w:gridCol w:w="995"/>
        <w:gridCol w:w="874"/>
        <w:gridCol w:w="876"/>
        <w:gridCol w:w="282"/>
        <w:gridCol w:w="623"/>
        <w:gridCol w:w="145"/>
        <w:gridCol w:w="374"/>
        <w:gridCol w:w="827"/>
        <w:gridCol w:w="193"/>
        <w:gridCol w:w="109"/>
        <w:gridCol w:w="109"/>
        <w:gridCol w:w="109"/>
        <w:gridCol w:w="211"/>
        <w:gridCol w:w="466"/>
        <w:gridCol w:w="109"/>
        <w:gridCol w:w="109"/>
        <w:gridCol w:w="109"/>
        <w:gridCol w:w="109"/>
        <w:gridCol w:w="403"/>
        <w:gridCol w:w="892"/>
        <w:gridCol w:w="294"/>
      </w:tblGrid>
      <w:tr>
        <w:trPr/>
        <w:tc>
          <w:tcPr>
            <w:tcW w:w="995"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7"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Natural Gas </w:t>
              <w:br/>
              <w:t>Supply</w:t>
            </w:r>
          </w:p>
        </w:tc>
        <w:tc>
          <w:tcPr>
            <w:tcW w:w="139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Electric Supply </w:t>
            </w:r>
            <w:r>
              <w:rPr>
                <w:rFonts w:ascii="Times New Roman;sans-serif" w:hAnsi="Times New Roman;sans-serif"/>
                <w:b/>
                <w:color w:val="000000"/>
                <w:sz w:val="12"/>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Other </w:t>
            </w:r>
            <w:r>
              <w:rPr>
                <w:rFonts w:ascii="Times New Roman;sans-serif" w:hAnsi="Times New Roman;sans-serif"/>
                <w:b/>
                <w:color w:val="000000"/>
                <w:sz w:val="12"/>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Supply</w:t>
            </w:r>
          </w:p>
        </w:tc>
      </w:tr>
      <w:tr>
        <w:trPr/>
        <w:tc>
          <w:tcPr>
            <w:tcW w:w="2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3" w:type="dxa"/>
            <w:gridSpan w:val="18"/>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nine months of 2023</w:t>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beyond</w:t>
            </w:r>
          </w:p>
        </w:tc>
        <w:tc>
          <w:tcPr>
            <w:tcW w:w="9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(1)CenterPoint Energy’s undiscounted minimum payment obligations related to PPAs with commitments ranging from 15 to 25 years and its purchase commitments under its BTA in Posey County, Indiana and its BTA in Pike County, Indiana are included above. </w:t>
      </w:r>
    </w:p>
    <w:p>
      <w:pPr>
        <w:pStyle w:val="TextBody"/>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undiscounted payment obligations relate primarily to technology hardware and software agreements.</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Excluded from the table above are estimates for cash outlays from other PPAs through Indiana Electric that do not have minimum thresholds but do require payment when energy is generated by the provider. Costs arising from certain of these commitments are pass-through costs, generally collected dollar-for-dollar from retail customers through regulator-approved cost recovery mechanisms. </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(b) Guarantees and Product Warranties (CenterPoint Energy)</w: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In the normal course of business, </w:t>
      </w:r>
      <w:r>
        <w:rPr>
          <w:rFonts w:ascii="Times New Roman;sans-serif" w:hAnsi="Times New Roman;sans-serif"/>
          <w:b w:val="false"/>
          <w:color w:val="221F1F"/>
          <w:sz w:val="20"/>
        </w:rPr>
        <w:t>Energy Systems Group</w:t>
      </w:r>
      <w:r>
        <w:rPr>
          <w:color w:val="000000"/>
        </w:rPr>
        <w:t xml:space="preserve"> </w:t>
      </w:r>
      <w:r>
        <w:rPr>
          <w:rFonts w:ascii="Times New Roman;sans-serif" w:hAnsi="Times New Roman;sans-serif"/>
          <w:b w:val="false"/>
          <w:color w:val="000000"/>
          <w:sz w:val="20"/>
        </w:rPr>
        <w:t>enters into contracts requiring it to timely install infrastructure, operate facilities, pay vendors and subcontractors and support warranty obligations and, at times, issue payment and performance bonds and other forms of assurance in connection with these contracts.</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Specific to </w:t>
      </w:r>
      <w:r>
        <w:rPr>
          <w:rFonts w:ascii="Times New Roman;sans-serif" w:hAnsi="Times New Roman;sans-serif"/>
          <w:b w:val="false"/>
          <w:color w:val="221F1F"/>
          <w:sz w:val="20"/>
        </w:rPr>
        <w:t>Energy Systems Group</w:t>
      </w:r>
      <w:r>
        <w:rPr>
          <w:color w:val="000000"/>
        </w:rPr>
        <w:t>’</w:t>
      </w:r>
      <w:r>
        <w:rPr>
          <w:rFonts w:ascii="Times New Roman;sans-serif" w:hAnsi="Times New Roman;sans-serif"/>
          <w:b w:val="false"/>
          <w:color w:val="000000"/>
          <w:sz w:val="20"/>
        </w:rPr>
        <w:t xml:space="preserve">s role as a general contractor in the performance contracting industry, as of March 31, 2023, there were 66 open surety bonds supporting future performance with an aggregate face amount of approximately $666 million. </w:t>
      </w:r>
      <w:r>
        <w:rPr>
          <w:rFonts w:ascii="Times New Roman;sans-serif" w:hAnsi="Times New Roman;sans-serif"/>
          <w:b w:val="false"/>
          <w:color w:val="221F1F"/>
          <w:sz w:val="20"/>
        </w:rPr>
        <w:t>Energy Systems Group</w:t>
      </w:r>
      <w:r>
        <w:rPr>
          <w:color w:val="000000"/>
        </w:rPr>
        <w:t>’</w:t>
      </w:r>
      <w:r>
        <w:rPr>
          <w:rFonts w:ascii="Times New Roman;sans-serif" w:hAnsi="Times New Roman;sans-serif"/>
          <w:b w:val="false"/>
          <w:color w:val="000000"/>
          <w:sz w:val="20"/>
        </w:rPr>
        <w:t xml:space="preserve">s exposure is less than the face amount of the surety bonds and is limited to the level of uncompleted work under the contracts. As of March 31, 2023, approximately 36% of the work was yet to be completed on projects with open surety bonds. Further, various subcontractors issue surety bonds to </w:t>
      </w:r>
      <w:r>
        <w:rPr>
          <w:rFonts w:ascii="Times New Roman;sans-serif" w:hAnsi="Times New Roman;sans-serif"/>
          <w:b w:val="false"/>
          <w:color w:val="221F1F"/>
          <w:sz w:val="20"/>
        </w:rPr>
        <w:t>Energy Systems Group</w:t>
      </w:r>
      <w:r>
        <w:rPr>
          <w:rFonts w:ascii="Times New Roman;sans-serif" w:hAnsi="Times New Roman;sans-serif"/>
          <w:b w:val="false"/>
          <w:color w:val="000000"/>
          <w:sz w:val="20"/>
        </w:rPr>
        <w:t xml:space="preserve">. In addition to these performance obligations, </w:t>
      </w:r>
      <w:r>
        <w:rPr>
          <w:rFonts w:ascii="Times New Roman;sans-serif" w:hAnsi="Times New Roman;sans-serif"/>
          <w:b w:val="false"/>
          <w:color w:val="221F1F"/>
          <w:sz w:val="20"/>
        </w:rPr>
        <w:t>Energy Systems Group</w:t>
      </w:r>
      <w:r>
        <w:rPr>
          <w:color w:val="000000"/>
        </w:rPr>
        <w:t xml:space="preserve"> </w:t>
      </w:r>
      <w:r>
        <w:rPr>
          <w:rFonts w:ascii="Times New Roman;sans-serif" w:hAnsi="Times New Roman;sans-serif"/>
          <w:b w:val="false"/>
          <w:color w:val="000000"/>
          <w:sz w:val="20"/>
        </w:rPr>
        <w:t xml:space="preserve">also warrants the functionality of certain installed infrastructure generally for one year and the associated energy savings over a specified number of years. As of March 31, 2023, there were 34 warranties totaling $517 million and an additional $1.4 billion in energy savings commitments not guaranteed by Vectren. Since </w:t>
      </w:r>
      <w:r>
        <w:rPr>
          <w:rFonts w:ascii="Times New Roman;sans-serif" w:hAnsi="Times New Roman;sans-serif"/>
          <w:b w:val="false"/>
          <w:color w:val="221F1F"/>
          <w:sz w:val="20"/>
        </w:rPr>
        <w:t>Energy Systems Group</w:t>
      </w:r>
      <w:r>
        <w:rPr>
          <w:color w:val="000000"/>
        </w:rPr>
        <w:t>’</w:t>
      </w:r>
      <w:r>
        <w:rPr>
          <w:rFonts w:ascii="Times New Roman;sans-serif" w:hAnsi="Times New Roman;sans-serif"/>
          <w:b w:val="false"/>
          <w:color w:val="000000"/>
          <w:sz w:val="20"/>
        </w:rPr>
        <w:t xml:space="preserve">s inception in 1994, CenterPoint Energy believes </w:t>
      </w:r>
      <w:r>
        <w:rPr>
          <w:rFonts w:ascii="Times New Roman;sans-serif" w:hAnsi="Times New Roman;sans-serif"/>
          <w:b w:val="false"/>
          <w:color w:val="221F1F"/>
          <w:sz w:val="20"/>
        </w:rPr>
        <w:t>Energy Systems Group</w:t>
      </w:r>
      <w:r>
        <w:rPr>
          <w:color w:val="000000"/>
        </w:rPr>
        <w:t xml:space="preserve"> </w:t>
      </w:r>
      <w:r>
        <w:rPr>
          <w:rFonts w:ascii="Times New Roman;sans-serif" w:hAnsi="Times New Roman;sans-serif"/>
          <w:b w:val="false"/>
          <w:color w:val="000000"/>
          <w:sz w:val="20"/>
        </w:rPr>
        <w:t xml:space="preserve">has had a history of generally meeting its performance obligations and energy savings guarantees and its installed products have operated effectively. CenterPoint Energy assessed the fair value of its obligation for such guarantees as of March 31, 2023 and no amounts were recorded on CenterPoint Energy’s Condensed Consolidated Balance Sheets.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CenterPoint Energy issues parent company level guarantees to certain vendors, customers and other commercial counterparties of </w:t>
      </w:r>
      <w:r>
        <w:rPr>
          <w:rFonts w:ascii="Times New Roman;sans-serif" w:hAnsi="Times New Roman;sans-serif"/>
          <w:b w:val="false"/>
          <w:color w:val="221F1F"/>
          <w:sz w:val="20"/>
        </w:rPr>
        <w:t>Energy Systems Group</w:t>
      </w:r>
      <w:r>
        <w:rPr>
          <w:rFonts w:ascii="Times New Roman;sans-serif" w:hAnsi="Times New Roman;sans-serif"/>
          <w:b w:val="false"/>
          <w:color w:val="000000"/>
          <w:sz w:val="20"/>
        </w:rPr>
        <w:t xml:space="preserve">. These guarantees do not represent incremental consolidated obligations, but rather, represent guarantees of subsidiary obligations to allow those subsidiaries to conduct business without posting other forms of assurance. As of March 31, 2023, CenterPoint Energy, primarily through Vectren, has issued parent company level guarantees supporting </w:t>
      </w:r>
      <w:r>
        <w:rPr>
          <w:rFonts w:ascii="Times New Roman;sans-serif" w:hAnsi="Times New Roman;sans-serif"/>
          <w:b w:val="false"/>
          <w:color w:val="221F1F"/>
          <w:sz w:val="20"/>
        </w:rPr>
        <w:t>Energy Systems Group</w:t>
      </w:r>
      <w:r>
        <w:rPr>
          <w:color w:val="000000"/>
        </w:rPr>
        <w:t>’</w:t>
      </w:r>
      <w:r>
        <w:rPr>
          <w:rFonts w:ascii="Times New Roman;sans-serif" w:hAnsi="Times New Roman;sans-serif"/>
          <w:b w:val="false"/>
          <w:color w:val="000000"/>
          <w:sz w:val="20"/>
        </w:rPr>
        <w:t>s obligations. For those obligations where potential exposure can be estimated, management estimates the maximum exposure under these guarantees to be approximately $523 million as of March 31, 2023. This exposure primarily relates to energy savings guarantees on federal energy savings performance contracts. Other parent company level guarantees, certain of which do not contain a cap on potential liability, have been issued in support of federal operations and maintenance projects for which a maximum exposure cannot be estimated based on the nature of the projects. While there can be no assurance that performance under any of these parent company guarantees will not be required in the future, CenterPoint Energy considers the likelihood of a material amount being incurred as remote.</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 xml:space="preserve">(c)Legal, Environmental and Other Matters </w:t>
      </w:r>
    </w:p>
    <w:p>
      <w:pPr>
        <w:pStyle w:val="TextBody"/>
        <w:spacing w:before="0" w:after="0"/>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Legal Matters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Litigation Related to the February 2021 Winter Storm Event.</w:t>
      </w:r>
      <w:r>
        <w:rPr>
          <w:color w:val="000000"/>
        </w:rPr>
        <w:t xml:space="preserve"> </w:t>
      </w:r>
      <w:r>
        <w:rPr>
          <w:rFonts w:ascii="Times New Roman;sans-serif" w:hAnsi="Times New Roman;sans-serif"/>
          <w:b w:val="false"/>
          <w:color w:val="000000"/>
          <w:sz w:val="20"/>
        </w:rPr>
        <w:t xml:space="preserve">Various legal proceedings are still pending against numerous entities with respect to the February 2021 Winter Storm Event, including against CenterPoint Energy, Utility Holding, LLC, Houston Electric, and CERC. Like other Texas energy companies and TDUs, CenterPoint Energy and Houston Electric have become involved in certain investigations, litigation and other regulatory and legal proceedings regarding their efforts to restore power during the storm and their compliance with NERC, ERCOT and PUCT rules and directives. Additionally, like other natural gas market participants, CERC has been named in litigation alleging gas market manipulation.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 Utility Holding, LLC, and Houston Electric, along with hundreds of other defendants (including ERCOT, power generation companies, other TDUs, natural gas producers, REPs, and other entities) have received claims and lawsuits filed by plaintiffs alleging wrongful death, personal injury, property damage and other injuries and damages.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of the litigation is or will be consolidated in Texas state court in Harris County, Texas, as part of a multi-district litigation proceeding, with two cases currently pending in federal court in Houston. The judge overseeing the multi-district litigation issued an initial case management order and stayed all proceedings and discovery. Per the case management order, the judge entertained dispositive motions in five representative or “bellwether” cases and, in late January 2023, issued rulings on them. The judge ruled that ERCOT has sovereign immunity as a governmental entity and dismissed the suits against it. The judge also dismissed all claims against the natural gas defendants (which lists of natural gas defendants incorrectly included Utility Holding, LLC), and the REP defendants and some causes of action against the other defendants. As to the TDU and generator defendants, the judge dismissed some causes of action but denied the motions to dismiss claims for negligence, gross negligence, and nuisance, which denial the TDU defendants and generator defendants are asking the court of appeals to overturn. The judge allowed plaintiffs to file amended petitions, but otherwise the cases remain stayed as the judge addresses additional preliminary issues.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initial rulings and around the two-year anniversary of the February 2021 Winter Storm Event, there were voluminous amendments, non-suits and re-filings of pending lawsuits, and the filing of new lawsuits, such that the pleadings are still being settled and the precise number of cases and claims against particular defendants and in total is still being determined. As of March 31, 2023, there are approximately 220 pending lawsuits that are in or will be added to the multi-district litigation proceeding related to the February 2021 Winter Storm Event, and CenterPoint Energy and Houston Electric, along with numerous other entities, have been named as defendants in approximately 155 of those lawsuits. One of the newly filed lawsuits is a putative class action on behalf of everyone who received electric power via the ERCOT grid and sustained a power outage between February 10, 2021 and February 28, 2021. Additionally, Utility Holding, LLC is currently named as a defendant in approximately 15 lawsuits, but CenterPoint Energy expects that those claims will ultimately be dismissed in light of the judge’s initial rulings. CenterPoint Energy, Utility Holding, LLC, and Houston Electric intend to vigorously defend themselves against the claims raised.</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 and Houston Electric have also responded to inquiries from the Texas Attorney General and the Galveston County District Attorney’s Office, and various other regulatory and governmental entities also conducted inquiries, investigations and other reviews of the February 2021 Winter Storm Event and the efforts made by various entities to prepare for, and respond to, the event, including the electric generation shortfall issues.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twelve lawsuits were filed in state district court in Harris County and Tom Green County, Texas, against dozens of gas market participants in Texas, including natural gas producers, processors, pipelines, marketers, sellers, traders, gas utilities, and financial institutions. Plaintiffs named CERC as one such defendant, along with “CenterPoint Energy Services, Inc.,” incorrectly identifying it as CERC’s parent company (CenterPoint Energy previously divested CES). One lawsuit filed in Harris County is a putative class action on behalf of two classes of electric and natural gas customers (those who experienced a loss of electricity and/or natural gas, and those who were charged securitization-related surcharges on a utility bill or were otherwise charged higher rates for electricity and/or gas during the February 2021 Winter Storm Event), potentially including millions of class members. Two other lawsuits (one filed in Harris County and one in Tom Green County) are brought by an entity that purports to be an assignee of claims by tens of thousands of persons and entities that have assigned claims to the plaintiff. These, and nine other similar lawsuits filed in Harris County, generally allege that the defendants engaged in gas market manipulation and price gouging, including by intentionally withholding, suppressing, or diverting supplies of natural gas in connection with the February 2021 Winter Storm Event, Winter Storm Elliott, and other severe weather conditions, and through financial market manipulation. Plaintiffs allege that this manipulation impacted gas supply and prices as well as the market, supply, and price of electricity in Texas and caused blackouts and other damage. Plaintiffs assert claims for tortious interference with existing contract, private nuisance, and unjust enrichment, and allege a broad array of injuries and damages, including personal injury, property damage, and harm from certain costs being securitized and passed on to ratepayers. The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lawsuits do not specify the amount of damages sought, but seek broad categories of actual, compensatory, statutory, consequential economic, and punitive damages; restitution and disgorgement; pre- and post-judgment interest; costs and attorneys’ fees; and other relief. As of April 12, 2023, most of the lawsuits have not been served, but as they are served, the cases will be tagged for transfer to the existing multi-district litigation proceeding referenced above. CERC intends to vigorously defend itself against the claims raised.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numerosity of parties and complexity of issues involved, and the uncertainties of litigation, CenterPoint Energy and its subsidiaries are unable to predict the outcome or consequences of any of the foregoing matters or to estimate a range of potential losses. CenterPoint Energy and its subsidiaries have general and excess liability insurance policies that provide coverage for third party bodily injury and property damage claims. Given the nature of certain of the recent allegations, however, it is possible that the insurers for third party bodily injury and property damage claims could dispute coverage for other types of damage that may be alleged by plaintiffs. CenterPoint Energy and its subsidiaries intend to continue to pursue any and all available insurance coverage for all of these matters.</w:t>
      </w:r>
    </w:p>
    <w:p>
      <w:pPr>
        <w:pStyle w:val="TextBody"/>
        <w:spacing w:before="0" w:after="0"/>
        <w:ind w:left="0" w:right="0" w:firstLine="360"/>
        <w:jc w:val="both"/>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Environmental Matters </w:t>
      </w:r>
    </w:p>
    <w:p>
      <w:pPr>
        <w:pStyle w:val="TextBody"/>
        <w:spacing w:before="0" w:after="0"/>
        <w:ind w:left="0" w:right="0" w:firstLine="180"/>
        <w:jc w:val="both"/>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MGP Sites.</w:t>
      </w:r>
      <w:r>
        <w:rPr>
          <w:color w:val="000000"/>
        </w:rPr>
        <w:t xml:space="preserve"> </w:t>
      </w:r>
      <w:r>
        <w:rPr>
          <w:rFonts w:ascii="Times New Roman;sans-serif" w:hAnsi="Times New Roman;sans-serif"/>
          <w:b w:val="false"/>
          <w:color w:val="000000"/>
          <w:sz w:val="20"/>
        </w:rPr>
        <w:t>CenterPoint Energy, CERC and their predecessors, including predecessors of Vectren, operated MGPs in the past. The costs CenterPoint Energy or CERC, as applicable, expect to incur to fulfill their respective obligations are estimated by management using assumptions based on actual costs incurred, the timing of expected future payments and inflation factors, among others. While CenterPoint Energy and CERC have recorded obligations for all costs which are probable and estimable, including amounts they are presently obligated to incur in connection with activities at these sites, it is possible that future events may require remedial activities which are not presently foreseen, and those costs may not be subject to PRP or insurance recovery.</w:t>
      </w:r>
    </w:p>
    <w:p>
      <w:pPr>
        <w:pStyle w:val="TextBody"/>
        <w:spacing w:before="0" w:after="0"/>
        <w:ind w:left="0" w:right="0" w:firstLine="36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(i)</w:t>
      </w:r>
      <w:r>
        <w:rPr>
          <w:rFonts w:ascii="Times New Roman;sans-serif" w:hAnsi="Times New Roman;sans-serif"/>
          <w:b w:val="false"/>
          <w:i/>
          <w:color w:val="000000"/>
          <w:sz w:val="20"/>
        </w:rPr>
        <w:t>Minnesota MGPs (CenterPoint Energy and CERC)</w:t>
      </w:r>
      <w:r>
        <w:rPr>
          <w:rFonts w:ascii="Times New Roman;sans-serif" w:hAnsi="Times New Roman;sans-serif"/>
          <w:b w:val="false"/>
          <w:color w:val="000000"/>
          <w:sz w:val="20"/>
        </w:rPr>
        <w:t xml:space="preserve">. With respect to certain Minnesota MGP sites, CenterPoint Energy and CERC have completed state-ordered remediation and continue state-ordered monitoring and water treatment. CenterPoint Energy and CERC recorded a liability as reflected in the table below for continued monitoring and any future remediation required by regulators in Minnesota. </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(ii)</w:t>
      </w:r>
      <w:r>
        <w:rPr>
          <w:rFonts w:ascii="Times New Roman;sans-serif" w:hAnsi="Times New Roman;sans-serif"/>
          <w:b w:val="false"/>
          <w:i/>
          <w:color w:val="000000"/>
          <w:sz w:val="20"/>
        </w:rPr>
        <w:t>Indiana MGPs (CenterPoint Energy and CERC)</w:t>
      </w:r>
      <w:r>
        <w:rPr>
          <w:rFonts w:ascii="Times New Roman;sans-serif" w:hAnsi="Times New Roman;sans-serif"/>
          <w:b w:val="false"/>
          <w:color w:val="000000"/>
          <w:sz w:val="20"/>
        </w:rPr>
        <w:t>. In the Indiana Gas service territory, the existence, location and certain general characteristics of 26 gas manufacturing and storage sites have been identified for which CenterPoint Energy and CERC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5 manufactured gas plant sites in SIGECO’s service territory, all of which are currently enrolled in the IDEM’s VRP. CenterPoint Energy is currently conducting some level of remedial activities, including groundwater monitoring at certain sites.</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(iii)</w:t>
      </w:r>
      <w:r>
        <w:rPr>
          <w:rFonts w:ascii="Times New Roman;sans-serif" w:hAnsi="Times New Roman;sans-serif"/>
          <w:b w:val="false"/>
          <w:i/>
          <w:color w:val="000000"/>
          <w:sz w:val="20"/>
        </w:rPr>
        <w:t>Other MGPs</w:t>
      </w:r>
      <w:r>
        <w:rPr>
          <w:color w:val="000000"/>
        </w:rPr>
        <w:t xml:space="preserve"> </w:t>
      </w:r>
      <w:r>
        <w:rPr>
          <w:rFonts w:ascii="Times New Roman;sans-serif" w:hAnsi="Times New Roman;sans-serif"/>
          <w:b w:val="false"/>
          <w:i/>
          <w:color w:val="000000"/>
          <w:sz w:val="20"/>
        </w:rPr>
        <w:t>(CenterPoint Energy and CERC).</w:t>
      </w:r>
      <w:r>
        <w:rPr>
          <w:color w:val="000000"/>
        </w:rPr>
        <w:t xml:space="preserve"> </w:t>
      </w:r>
      <w:r>
        <w:rPr>
          <w:rFonts w:ascii="Times New Roman;sans-serif" w:hAnsi="Times New Roman;sans-serif"/>
          <w:b w:val="false"/>
          <w:color w:val="000000"/>
          <w:sz w:val="20"/>
        </w:rPr>
        <w:t xml:space="preserve">In addition to the Minnesota and Indiana sites, the EPA and other regulators have investigated MGP sites that were owned or operated by CenterPoint Energy or CERC or may have been owned by one of their former affiliates. </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 </w:t>
      </w:r>
    </w:p>
    <w:tbl>
      <w:tblPr>
        <w:tblW w:w="5867" w:type="dxa"/>
        <w:jc w:val="left"/>
        <w:tblInd w:w="0" w:type="dxa"/>
        <w:tblCellMar>
          <w:top w:w="28" w:type="dxa"/>
          <w:left w:w="28" w:type="dxa"/>
          <w:bottom w:w="28" w:type="dxa"/>
          <w:right w:w="28" w:type="dxa"/>
        </w:tblCellMar>
      </w:tblPr>
      <w:tblGrid>
        <w:gridCol w:w="1179"/>
        <w:gridCol w:w="1037"/>
        <w:gridCol w:w="1039"/>
        <w:gridCol w:w="483"/>
        <w:gridCol w:w="826"/>
        <w:gridCol w:w="250"/>
        <w:gridCol w:w="109"/>
        <w:gridCol w:w="109"/>
        <w:gridCol w:w="109"/>
        <w:gridCol w:w="211"/>
        <w:gridCol w:w="361"/>
        <w:gridCol w:w="154"/>
      </w:tblGrid>
      <w:tr>
        <w:trPr/>
        <w:tc>
          <w:tcPr>
            <w:tcW w:w="1179"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years)</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accrued for remediation</w:t>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estimated remediation costs</w:t>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estimated remediation costs</w:t>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years of remediation</w:t>
            </w:r>
          </w:p>
        </w:tc>
        <w:tc>
          <w:tcPr>
            <w:tcW w:w="15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years of remediation</w:t>
            </w:r>
          </w:p>
        </w:tc>
        <w:tc>
          <w:tcPr>
            <w:tcW w:w="15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bl>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 estimates are based on studies of a site or industry average costs for remediation of sites of similar size. The actual remediation costs will depend on the number of sites to be remediated, the participation of other PRPs, if any, and the remediation methods used. </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and CERC do not expect the ultimate outcome of these matters to have a material adverse effect on the financial condition, results of operations or cash flows of either CenterPoint Energy or CERC.</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Asbestos.</w:t>
      </w:r>
      <w:r>
        <w:rPr>
          <w:color w:val="000000"/>
        </w:rPr>
        <w:t xml:space="preserve"> </w:t>
      </w:r>
      <w:r>
        <w:rPr>
          <w:rFonts w:ascii="Times New Roman;sans-serif" w:hAnsi="Times New Roman;sans-serif"/>
          <w:b w:val="false"/>
          <w:color w:val="000000"/>
          <w:sz w:val="20"/>
        </w:rPr>
        <w:t>Some facilities owned by the Registrants or their predecessors contain or have contained asbestos insulation and other asbestos-containing materials. The Registrants are from time to 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 xml:space="preserve">CCR Rule (CenterPoint Energy). </w:t>
      </w:r>
      <w:r>
        <w:rPr>
          <w:rFonts w:ascii="Times New Roman;sans-serif" w:hAnsi="Times New Roman;sans-serif"/>
          <w:b w:val="false"/>
          <w:color w:val="000000"/>
          <w:sz w:val="20"/>
        </w:rPr>
        <w:t xml:space="preserve">In April 2015, the EPA finalized its CCR Rule, which regulates ash as non-hazardous material under the RCRA. The final rule allows beneficial reuse of ash, and the majority of the ash generated by Indiana Electric’s generating plants will continue to be reused. In July 2018, the EPA released its final CCR Rule Phase I Reconsideration which extended the deadline to October 31, 2020 for ceasing placement of ash in ponds that exceed groundwater protections standards or that fail to meet location restrictions. In August 2019, the EPA proposed additional “Part A” amendments to its CCR Rule with respect to beneficial reuse of ash and other materials. Further “Part B” amendments, which related to alternate liners for CCR surface impoundments and the surface impoundment closure process, were published in March 2020. The Part A amendments were finalized in August 2020 and extended the deadline to cease placement of ash in ponds to April 11, 2021, discussed further below. The Part A amendments do not restrict Indiana Electric’s current beneficial reuse of its fly ash. CenterPoint Energy evaluated the Part B amendments to determine potential impacts and determined that the Part B amendments did not have an impact on its current plans.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Indiana Electric has three ash ponds, two at the F.B. Culley facility (Culley East and Culley West) and one at the A.B. Brown facility. Under the existing CCR Rule, Indiana Electric is required to perform integrity assessments, including ground water monitoring, at its F.B. Culley and A.B. Brown generating stations. The ground water studies are necessary to determine the remaining service life of the ponds and whether a pond must be retrofitted with liners or closed in place. Indiana Electric’s Warrick generating unit is not included in the scope of the CCR Rule as this unit has historically been part of a larger generating station that predominantly serves an adjacent industrial facility. Preliminary groundwater monitoring indicates potential groundwater impacts very close to Indiana Electric’s ash impoundments, and further analysis is ongoing. The CCR Rule required companies to complete location restriction determinations by October 18, 2018. Indiana Electric completed its evaluation and determined that one F.B. Culley pond (Culley East) and the A.B. Brown pond fail the aquifer placement location restriction. As a result of this failure, Indiana Electric was required to cease disposal of new ash in the ponds and commence closure of the ponds by April 11, 2021, unless approved for an extension. CenterPoint Energy filed timely extension requests available under the CCR Rule that would allow Indiana Electric to continue to use the ponds through October 15, 2023. The EPA is still reviewing industry extension requests, including CenterPoint Energy’s extension request for the Culley East pond. Companies can continue to operate ponds pending completion of the EPA’s evaluation of the requests for extension. If the EPA denies a full extension request, that denial may result in increased and potentially significant operational costs in connection with the accelerated implementation of an alternative ash disposal system or may adversely impact Indiana Electric’s future operations. Failure to comply with a cease waste receipt could also result in an enforcement proceeding, resulting in the imposition of fines and penalties. On October 5, 2022, EPA issued a proposed conditional approval of the Part A extension request for the A.B. Brown pond. EPA’s determination was up for public comment for thirty days from October 19, 2022. On April 24, 2019, Indiana Electric received an order from the IURC approving recovery in rates of costs associated with the closure of the Culley West pond, which has already completed closure activities. On August 14, 2019, Indiana Electric filed its petition with the IURC for recovery of costs associated with the closure of the A.B. Brown ash pond, which would include costs associated with the excavation and recycling of ponded ash. This petition was subsequently approved by the IURC on May 13, 2020. On October 28, 2020, the IURC approved Indiana Electric’s ECA proceeding, which included the initiation of recovery of the federally mandated project costs.</w:t>
      </w:r>
    </w:p>
    <w:p>
      <w:pPr>
        <w:pStyle w:val="TextBody"/>
        <w:spacing w:before="0" w:after="0"/>
        <w:ind w:left="0" w:right="0" w:firstLine="360"/>
        <w:jc w:val="both"/>
        <w:rPr/>
      </w:pPr>
      <w:r>
        <w:rPr/>
      </w:r>
    </w:p>
    <w:p>
      <w:pPr>
        <w:pStyle w:val="TextBody"/>
        <w:spacing w:lineRule="auto" w:line="288" w:before="0" w:after="0"/>
        <w:ind w:left="0" w:right="0" w:firstLine="360"/>
        <w:jc w:val="both"/>
        <w:rPr>
          <w:color w:val="000000"/>
        </w:rPr>
      </w:pPr>
      <w:r>
        <w:rPr>
          <w:color w:val="000000"/>
        </w:rPr>
        <w:t> </w:t>
      </w:r>
      <w:r>
        <w:rPr>
          <w:rFonts w:ascii="Times New Roman;sans-serif" w:hAnsi="Times New Roman;sans-serif"/>
          <w:b w:val="false"/>
          <w:color w:val="000000"/>
          <w:sz w:val="20"/>
        </w:rPr>
        <w:t xml:space="preserve">In July 2018, Indiana Electric filed a Complaint for Damages and Declaratory Relief against its insurers seeking reimbursement of defense, investigation and pond closure costs incurred to comply with the CCR Rule, and has since reached confidential settlement agreements with its insurers. The proceeds of these settlements will offset costs that have been and will be incurred to close the ponds. On November 1, 2022, Indiana Electric filed for a CPCN to recover federally mandated costs associated with closure of the Culley East Pond, its third and final ash pond. Indiana Electric is also seeking accounting and ratemaking relief for the project. The project costs are estimated to be approximately $50 million, inclusive of overheads. OUCC and intervenor testimony was submitted February 10, 2023 and Indiana Electric’s rebuttal testimony was filed on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24, 2023. A hearing was held on March 12, 2023 and post hearing briefs were filed on April 14, 2023. Indiana Electric is awaiting an order.</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CenterPoint Energy has recorded an approximate $105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proceeds received from the settlements in the aforementioned insurance proceeding. In addition to these AROs, Indiana Electric also anticipates equipment purchases of between $60 million and $80 million to complete the A.B. Brown closure project.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Clean Water Act Permitting of Groundwater Discharges</w:t>
      </w:r>
      <w:r>
        <w:rPr>
          <w:rFonts w:ascii="Times New Roman;sans-serif" w:hAnsi="Times New Roman;sans-serif"/>
          <w:b w:val="false"/>
          <w:color w:val="000000"/>
          <w:sz w:val="20"/>
        </w:rPr>
        <w:t>. In April 2021, the U.S. Supreme Court issued an opinion providing that indirect discharges via groundwater or other non-point sources are subject to permitting and liability under the Clean Water Act when they are the functional equivalent of a direct discharge. The Registrants are evaluating the extent to which this decision will affect Clean Water Act permitting requirements and/or liability for their operations.</w: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 xml:space="preserve">Other Environmental. </w:t>
      </w:r>
      <w:r>
        <w:rPr>
          <w:rFonts w:ascii="Times New Roman;sans-serif" w:hAnsi="Times New Roman;sans-serif"/>
          <w:b w:val="false"/>
          <w:color w:val="000000"/>
          <w:sz w:val="20"/>
        </w:rPr>
        <w:t>From time to time, the Registrants identify the presence of environmental contaminants during operations or on property where their predecessors have conducted 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pStyle w:val="TextBody"/>
        <w:spacing w:before="0" w:after="0"/>
        <w:ind w:left="0" w:right="0" w:firstLine="180"/>
        <w:rPr/>
      </w:pPr>
      <w:r>
        <w:rPr/>
      </w:r>
    </w:p>
    <w:p>
      <w:pPr>
        <w:pStyle w:val="TextBody"/>
        <w:spacing w:lineRule="auto" w:line="288" w:before="0" w:after="0"/>
        <w:ind w:left="0" w:right="0" w:firstLine="180"/>
        <w:rPr>
          <w:rFonts w:ascii="Times New Roman;sans-serif" w:hAnsi="Times New Roman;sans-serif"/>
          <w:b/>
          <w:i/>
          <w:color w:val="000000"/>
          <w:sz w:val="20"/>
        </w:rPr>
      </w:pPr>
      <w:r>
        <w:rPr>
          <w:rFonts w:ascii="Times New Roman;sans-serif" w:hAnsi="Times New Roman;sans-serif"/>
          <w:b/>
          <w:i/>
          <w:color w:val="000000"/>
          <w:sz w:val="20"/>
        </w:rPr>
        <w:t>Other Proceedings</w:t>
      </w:r>
    </w:p>
    <w:p>
      <w:pPr>
        <w:pStyle w:val="TextBody"/>
        <w:spacing w:before="0" w:after="0"/>
        <w:ind w:left="0" w:right="0" w:firstLine="18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(14) Earnings Per Share (CenterPoint Energy)</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common share is computed by dividing income available to common shareholders by the basic weighted average number of common shares outstanding during the period. Diluted earnings per common share is computed by dividing income available to common shareholders by the weighted average number of common shares outstanding, including all potentially dilutive common shares, if the effect of such common shares is dilutive.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 reflects the dilutive effect of potential common shares from share-based awards. The dilutive effect of restricted stock is computed using the treasury stock method, as applicable, which includes the incremental shares that would be hypothetically vested in excess of the number of shares assumed to be hypothetically repurchased with the assumed proceeds.</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numerators and denominators of CenterPoint Energy’s basic and diluted earnings per common share. </w:t>
      </w:r>
    </w:p>
    <w:tbl>
      <w:tblPr>
        <w:tblW w:w="8550" w:type="dxa"/>
        <w:jc w:val="left"/>
        <w:tblInd w:w="0" w:type="dxa"/>
        <w:tblCellMar>
          <w:top w:w="28" w:type="dxa"/>
          <w:left w:w="28" w:type="dxa"/>
          <w:bottom w:w="28" w:type="dxa"/>
          <w:right w:w="28" w:type="dxa"/>
        </w:tblCellMar>
      </w:tblPr>
      <w:tblGrid>
        <w:gridCol w:w="1599"/>
        <w:gridCol w:w="1410"/>
        <w:gridCol w:w="1416"/>
        <w:gridCol w:w="382"/>
        <w:gridCol w:w="910"/>
        <w:gridCol w:w="212"/>
        <w:gridCol w:w="212"/>
        <w:gridCol w:w="212"/>
        <w:gridCol w:w="212"/>
        <w:gridCol w:w="382"/>
        <w:gridCol w:w="910"/>
        <w:gridCol w:w="212"/>
        <w:gridCol w:w="109"/>
        <w:gridCol w:w="109"/>
        <w:gridCol w:w="109"/>
        <w:gridCol w:w="154"/>
      </w:tblGrid>
      <w:tr>
        <w:trPr/>
        <w:tc>
          <w:tcPr>
            <w:tcW w:w="1599" w:type="dxa"/>
            <w:tcBorders/>
            <w:shd w:fill="auto" w:val="clear"/>
            <w:vAlign w:val="center"/>
          </w:tcPr>
          <w:p>
            <w:pPr>
              <w:pStyle w:val="TableContents"/>
              <w:spacing w:before="0" w:after="283"/>
              <w:rPr>
                <w:sz w:val="4"/>
                <w:szCs w:val="4"/>
              </w:rPr>
            </w:pPr>
            <w:r>
              <w:rPr>
                <w:sz w:val="4"/>
                <w:szCs w:val="4"/>
              </w:rPr>
            </w:r>
          </w:p>
        </w:tc>
        <w:tc>
          <w:tcPr>
            <w:tcW w:w="1410" w:type="dxa"/>
            <w:tcBorders/>
            <w:shd w:fill="auto" w:val="clear"/>
            <w:vAlign w:val="center"/>
          </w:tcPr>
          <w:p>
            <w:pPr>
              <w:pStyle w:val="TableContents"/>
              <w:spacing w:before="0" w:after="283"/>
              <w:rPr>
                <w:sz w:val="4"/>
                <w:szCs w:val="4"/>
              </w:rPr>
            </w:pPr>
            <w:r>
              <w:rPr>
                <w:sz w:val="4"/>
                <w:szCs w:val="4"/>
              </w:rPr>
            </w:r>
          </w:p>
        </w:tc>
        <w:tc>
          <w:tcPr>
            <w:tcW w:w="1416"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March 31,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and share amounts)</w:t>
            </w:r>
          </w:p>
        </w:tc>
        <w:tc>
          <w:tcPr>
            <w:tcW w:w="481" w:type="dxa"/>
            <w:gridSpan w:val="4"/>
            <w:tcBorders/>
            <w:shd w:fill="auto" w:val="clear"/>
          </w:tcPr>
          <w:p>
            <w:pPr>
              <w:pStyle w:val="TableContents"/>
              <w:spacing w:before="0" w:after="283"/>
              <w:rPr>
                <w:sz w:val="4"/>
                <w:szCs w:val="4"/>
              </w:rPr>
            </w:pPr>
            <w:r>
              <w:rPr>
                <w:sz w:val="4"/>
                <w:szCs w:val="4"/>
              </w:rPr>
            </w:r>
          </w:p>
        </w:tc>
      </w:tr>
      <w:tr>
        <w:trPr/>
        <w:tc>
          <w:tcPr>
            <w:tcW w:w="4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Preferred stock dividend requirement (Note 18)</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available to common shareholders - basic and diluted</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basic</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630,309,000 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629,134,000 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 Incremental shares from assumed conversions:</w:t>
            </w:r>
          </w:p>
        </w:tc>
        <w:tc>
          <w:tcPr>
            <w:tcW w:w="1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2,742,000 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2,170,000 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diluted</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633,051,000 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631,304,000 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Common Share:</w:t>
            </w:r>
          </w:p>
        </w:tc>
        <w:tc>
          <w:tcPr>
            <w:tcW w:w="1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Per Common Share</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0.82 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15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Per Common Share</w:t>
            </w:r>
          </w:p>
        </w:tc>
        <w:tc>
          <w:tcPr>
            <w:tcW w:w="3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2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0.82 </w:t>
            </w:r>
          </w:p>
        </w:tc>
        <w:tc>
          <w:tcPr>
            <w:tcW w:w="2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(15) Reportable Segments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Registrants’ determination of reportable segments considers the strategic operating units under which its CODM manages sales, allocates resources and assesses performance of various products and services to wholesale or retail customers in differing regulatory environments. Each Registrant’s CODM views net income as the measure of profit or loss for the reportable segments.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reportable segments by Registrant were as follows: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CenterPoint Energy</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CenterPoint Energy’s Electric reportable segment consisted of electric transmission and distribution services in the Texas gulf coast area in the ERCOT region and electric transmission and distribution services primarily to southwestern Indiana and includes power generation and wholesale power operations in the MISO region.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CenterPoint Energy’s Natural Gas reportable segment consists of (i) intrastate natural gas sales to, and natural gas transportation and distribution for residential, commercial, industrial and institutional customers in Indiana, Louisiana, Minnesota, Mississippi, Ohio and Texas; and (ii) permanent pipeline connections through interconnects with various interstate and intrastate pipeline companies through CEIP.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CenterPoint Energy’s Corporate and Other category consists of energy performance contracting and sustainable infrastructure services through Energy Systems Group and other corporate operations which support all of the business operations of CenterPoint Energy.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Houston Electric</w:t>
      </w:r>
    </w:p>
    <w:p>
      <w:pPr>
        <w:pStyle w:val="TextBody"/>
        <w:spacing w:before="0" w:after="0"/>
        <w:ind w:left="0" w:right="0" w:firstLine="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Houston Electric’s single reportable segment consisted of electric transmission services to transmission service customers in the ERCOT region and distribution services to REPs serving the Texas gulf coast area.</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CERC</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CERC’s single reportable segment following the Restructuring consisted of (i) intrastate natural gas sales to, and natural gas transportation and distribution for, residential, commercial, industrial and institutional customers in Indiana, Louisiana, Minnesota, Mississippi, Ohio and Texas; and (ii) permanent pipeline connections through interconnects with various interstate and intrastate pipeline companies through CEIP.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data for reportable segments is as follows:</w:t>
      </w:r>
    </w:p>
    <w:p>
      <w:pPr>
        <w:pStyle w:val="TextBody"/>
        <w:spacing w:before="0" w:after="0"/>
        <w:ind w:left="0" w:right="0" w:firstLine="36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CenterPoint Energy </w:t>
      </w:r>
    </w:p>
    <w:tbl>
      <w:tblPr>
        <w:tblW w:w="8704" w:type="dxa"/>
        <w:jc w:val="center"/>
        <w:tblInd w:w="0" w:type="dxa"/>
        <w:tblCellMar>
          <w:top w:w="28" w:type="dxa"/>
          <w:left w:w="28" w:type="dxa"/>
          <w:bottom w:w="28" w:type="dxa"/>
          <w:right w:w="28" w:type="dxa"/>
        </w:tblCellMar>
      </w:tblPr>
      <w:tblGrid>
        <w:gridCol w:w="641"/>
        <w:gridCol w:w="563"/>
        <w:gridCol w:w="566"/>
        <w:gridCol w:w="267"/>
        <w:gridCol w:w="780"/>
        <w:gridCol w:w="138"/>
        <w:gridCol w:w="109"/>
        <w:gridCol w:w="109"/>
        <w:gridCol w:w="109"/>
        <w:gridCol w:w="109"/>
        <w:gridCol w:w="109"/>
        <w:gridCol w:w="378"/>
        <w:gridCol w:w="836"/>
        <w:gridCol w:w="195"/>
        <w:gridCol w:w="109"/>
        <w:gridCol w:w="109"/>
        <w:gridCol w:w="109"/>
        <w:gridCol w:w="267"/>
        <w:gridCol w:w="780"/>
        <w:gridCol w:w="138"/>
        <w:gridCol w:w="109"/>
        <w:gridCol w:w="109"/>
        <w:gridCol w:w="109"/>
        <w:gridCol w:w="109"/>
        <w:gridCol w:w="109"/>
        <w:gridCol w:w="288"/>
        <w:gridCol w:w="493"/>
        <w:gridCol w:w="149"/>
        <w:gridCol w:w="109"/>
        <w:gridCol w:w="109"/>
        <w:gridCol w:w="109"/>
        <w:gridCol w:w="109"/>
        <w:gridCol w:w="109"/>
        <w:gridCol w:w="109"/>
        <w:gridCol w:w="154"/>
      </w:tblGrid>
      <w:tr>
        <w:trPr/>
        <w:tc>
          <w:tcPr>
            <w:tcW w:w="641"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6" w:type="dxa"/>
            <w:gridSpan w:val="12"/>
            <w:tcBorders/>
            <w:shd w:fill="auto" w:val="clea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8" w:type="dxa"/>
            <w:gridSpan w:val="10"/>
            <w:tcBorders/>
            <w:shd w:fill="auto" w:val="clea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6" w:type="dxa"/>
            <w:gridSpan w:val="12"/>
            <w:tcBorders/>
            <w:shd w:fill="auto" w:val="clea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6" w:type="dxa"/>
            <w:gridSpan w:val="12"/>
            <w:tcBorders/>
            <w:shd w:fill="auto" w:val="clea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1" w:type="dxa"/>
            <w:gridSpan w:val="1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2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Revenues from</w:t>
              <w:br/>
              <w:t>External</w:t>
              <w:br/>
              <w:t>Customers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Revenues from</w:t>
              <w:br/>
              <w:t>External</w:t>
              <w:br/>
              <w:t>Customers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1" w:type="dxa"/>
            <w:gridSpan w:val="1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Electric</w:t>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Natural Gas </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(1)Houston Electric revenues from major external customers are as follows (CenterPoint Energy and Houston Electric):</w:t>
      </w:r>
    </w:p>
    <w:tbl>
      <w:tblPr>
        <w:tblW w:w="6614" w:type="dxa"/>
        <w:jc w:val="left"/>
        <w:tblInd w:w="0" w:type="dxa"/>
        <w:tblCellMar>
          <w:top w:w="28" w:type="dxa"/>
          <w:left w:w="28" w:type="dxa"/>
          <w:bottom w:w="28" w:type="dxa"/>
          <w:right w:w="28" w:type="dxa"/>
        </w:tblCellMar>
      </w:tblPr>
      <w:tblGrid>
        <w:gridCol w:w="987"/>
        <w:gridCol w:w="868"/>
        <w:gridCol w:w="875"/>
        <w:gridCol w:w="109"/>
        <w:gridCol w:w="109"/>
        <w:gridCol w:w="109"/>
        <w:gridCol w:w="214"/>
        <w:gridCol w:w="214"/>
        <w:gridCol w:w="214"/>
        <w:gridCol w:w="214"/>
        <w:gridCol w:w="414"/>
        <w:gridCol w:w="915"/>
        <w:gridCol w:w="214"/>
        <w:gridCol w:w="109"/>
        <w:gridCol w:w="109"/>
        <w:gridCol w:w="109"/>
        <w:gridCol w:w="211"/>
        <w:gridCol w:w="466"/>
        <w:gridCol w:w="154"/>
      </w:tblGrid>
      <w:tr>
        <w:trPr/>
        <w:tc>
          <w:tcPr>
            <w:tcW w:w="987"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158" w:type="dxa"/>
            <w:gridSpan w:val="6"/>
            <w:tcBorders/>
            <w:shd w:fill="auto" w:val="clea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343"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Affiliates of NRG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Affiliates of Vistra Energy Corp.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tbl>
      <w:tblPr>
        <w:tblW w:w="6776" w:type="dxa"/>
        <w:jc w:val="left"/>
        <w:tblInd w:w="0" w:type="dxa"/>
        <w:tblCellMar>
          <w:top w:w="28" w:type="dxa"/>
          <w:left w:w="28" w:type="dxa"/>
          <w:bottom w:w="28" w:type="dxa"/>
          <w:right w:w="28" w:type="dxa"/>
        </w:tblCellMar>
      </w:tblPr>
      <w:tblGrid>
        <w:gridCol w:w="1319"/>
        <w:gridCol w:w="1159"/>
        <w:gridCol w:w="1166"/>
        <w:gridCol w:w="255"/>
        <w:gridCol w:w="873"/>
        <w:gridCol w:w="132"/>
        <w:gridCol w:w="109"/>
        <w:gridCol w:w="109"/>
        <w:gridCol w:w="109"/>
        <w:gridCol w:w="300"/>
        <w:gridCol w:w="1026"/>
        <w:gridCol w:w="219"/>
      </w:tblGrid>
      <w:tr>
        <w:trPr/>
        <w:tc>
          <w:tcPr>
            <w:tcW w:w="1319"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Assets</w:t>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Electric</w:t>
            </w:r>
          </w:p>
        </w:tc>
        <w:tc>
          <w:tcPr>
            <w:tcW w:w="2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19,858 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19,024 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Natural Gas </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16,407 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18,043 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Corporate and Other, net of eliminations </w:t>
            </w:r>
            <w:r>
              <w:rPr>
                <w:rFonts w:ascii="Times New Roman;sans-serif" w:hAnsi="Times New Roman;sans-serif"/>
                <w:b w:val="false"/>
                <w:color w:val="000000"/>
                <w:sz w:val="16"/>
              </w:rPr>
              <w:t>(1)</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11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38,546 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1872" w:type="dxa"/>
            <w:gridSpan w:val="6"/>
            <w:tcBorders/>
            <w:shd w:fill="auto" w:val="clea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1872" w:type="dxa"/>
            <w:gridSpan w:val="6"/>
            <w:tcBorders/>
            <w:shd w:fill="auto" w:val="clea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center"/>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(1)Total assets included pension and other postemployment-related regulatory assets of $391 million and $405 million as of March 31, 2023 and December 31, 2022, respectively. </w:t>
      </w:r>
    </w:p>
    <w:p>
      <w:pPr>
        <w:pStyle w:val="TextBody"/>
        <w:spacing w:before="0" w:after="0"/>
        <w:ind w:left="0" w:right="0" w:firstLine="360"/>
        <w:jc w:val="center"/>
        <w:rPr/>
      </w:pPr>
      <w:r>
        <w:rPr/>
      </w:r>
    </w:p>
    <w:p>
      <w:pPr>
        <w:pStyle w:val="TextBody"/>
        <w:spacing w:lineRule="auto" w:line="288" w:before="0" w:after="0"/>
        <w:jc w:val="both"/>
        <w:rPr/>
      </w:pPr>
      <w:r>
        <w:rPr>
          <w:rFonts w:ascii="Times New Roman;sans-serif" w:hAnsi="Times New Roman;sans-serif"/>
          <w:b/>
          <w:color w:val="000000"/>
          <w:sz w:val="20"/>
        </w:rPr>
        <w:t>Houston Electric</w:t>
      </w:r>
      <w:r>
        <w:rPr>
          <w:color w:val="000000"/>
        </w:rPr>
        <w:t xml:space="preserve">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Houston Electric consists of a single reportable segment; therefore, a tabular reportable segment presentation has not been included.</w:t>
      </w:r>
    </w:p>
    <w:p>
      <w:pPr>
        <w:pStyle w:val="TextBody"/>
        <w:spacing w:before="0" w:after="0"/>
        <w:ind w:left="0" w:right="0" w:firstLine="36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CERC</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CERC consists of a single reportable segment; therefore, a tabular reportable segment presentation has not been included.</w:t>
      </w:r>
    </w:p>
    <w:p>
      <w:pPr>
        <w:pStyle w:val="TextBody"/>
        <w:spacing w:before="0" w:after="0"/>
        <w:ind w:left="0" w:right="0" w:firstLine="3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rPr/>
      </w:pPr>
      <w:r>
        <w:rPr>
          <w:rFonts w:ascii="Times New Roman;sans-serif" w:hAnsi="Times New Roman;sans-serif"/>
          <w:b/>
          <w:color w:val="000000"/>
          <w:sz w:val="20"/>
        </w:rPr>
        <w:t>(16) Supplemental Disclosure of Cash Flow Information</w:t>
      </w:r>
      <w:r>
        <w:rPr>
          <w:color w:val="000000"/>
        </w:rPr>
        <w:t xml:space="preserve"> </w:t>
      </w:r>
    </w:p>
    <w:p>
      <w:pPr>
        <w:pStyle w:val="TextBody"/>
        <w:spacing w:before="0" w:after="0"/>
        <w:jc w:val="center"/>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supplemental disclosure of cash flow information:</w:t>
      </w:r>
    </w:p>
    <w:tbl>
      <w:tblPr>
        <w:tblW w:w="10205" w:type="dxa"/>
        <w:jc w:val="center"/>
        <w:tblInd w:w="0" w:type="dxa"/>
        <w:tblCellMar>
          <w:top w:w="28" w:type="dxa"/>
          <w:left w:w="28" w:type="dxa"/>
          <w:bottom w:w="28" w:type="dxa"/>
          <w:right w:w="28" w:type="dxa"/>
        </w:tblCellMar>
      </w:tblPr>
      <w:tblGrid>
        <w:gridCol w:w="968"/>
        <w:gridCol w:w="796"/>
        <w:gridCol w:w="803"/>
        <w:gridCol w:w="349"/>
        <w:gridCol w:w="752"/>
        <w:gridCol w:w="196"/>
        <w:gridCol w:w="109"/>
        <w:gridCol w:w="109"/>
        <w:gridCol w:w="109"/>
        <w:gridCol w:w="321"/>
        <w:gridCol w:w="543"/>
        <w:gridCol w:w="179"/>
        <w:gridCol w:w="109"/>
        <w:gridCol w:w="109"/>
        <w:gridCol w:w="109"/>
        <w:gridCol w:w="196"/>
        <w:gridCol w:w="331"/>
        <w:gridCol w:w="109"/>
        <w:gridCol w:w="109"/>
        <w:gridCol w:w="109"/>
        <w:gridCol w:w="109"/>
        <w:gridCol w:w="349"/>
        <w:gridCol w:w="752"/>
        <w:gridCol w:w="196"/>
        <w:gridCol w:w="109"/>
        <w:gridCol w:w="109"/>
        <w:gridCol w:w="109"/>
        <w:gridCol w:w="321"/>
        <w:gridCol w:w="543"/>
        <w:gridCol w:w="179"/>
        <w:gridCol w:w="109"/>
        <w:gridCol w:w="109"/>
        <w:gridCol w:w="109"/>
        <w:gridCol w:w="196"/>
        <w:gridCol w:w="331"/>
        <w:gridCol w:w="160"/>
      </w:tblGrid>
      <w:tr>
        <w:trPr/>
        <w:tc>
          <w:tcPr>
            <w:tcW w:w="968"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8" w:type="dxa"/>
            <w:gridSpan w:val="3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0"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81"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2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8"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5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Payments/Receipts:</w:t>
            </w:r>
          </w:p>
        </w:tc>
        <w:tc>
          <w:tcPr>
            <w:tcW w:w="1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net of capitalized interest</w:t>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refunds, net</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transactions:</w:t>
            </w:r>
          </w:p>
        </w:tc>
        <w:tc>
          <w:tcPr>
            <w:tcW w:w="12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related to capital expenditures</w:t>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6"/>
              </w:rPr>
              <w:t xml:space="preserve">ROU assets obtained in exchange for lease liabilities </w:t>
            </w:r>
            <w:r>
              <w:rPr>
                <w:rFonts w:ascii="Times New Roman;sans-serif" w:hAnsi="Times New Roman;sans-serif"/>
                <w:b w:val="false"/>
                <w:color w:val="000000"/>
                <w:sz w:val="12"/>
              </w:rPr>
              <w:t>(1)</w:t>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r>
        <w:trPr/>
        <w:tc>
          <w:tcPr>
            <w:tcW w:w="256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Excludes ROU assets obtained through prepayment of the lease liabilities. See Note 19.</w:t>
      </w:r>
    </w:p>
    <w:p>
      <w:pPr>
        <w:pStyle w:val="TextBody"/>
        <w:spacing w:before="0" w:after="0"/>
        <w:jc w:val="center"/>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a reconciliation of cash, cash equivalents and restricted cash reported in the Condensed Consolidated Balance Sheets to the amount reported in the Condensed Statements of Consolidated Cash Flows:</w:t>
      </w:r>
    </w:p>
    <w:tbl>
      <w:tblPr>
        <w:tblW w:w="10205" w:type="dxa"/>
        <w:jc w:val="left"/>
        <w:tblInd w:w="0" w:type="dxa"/>
        <w:tblCellMar>
          <w:top w:w="28" w:type="dxa"/>
          <w:left w:w="28" w:type="dxa"/>
          <w:bottom w:w="28" w:type="dxa"/>
          <w:right w:w="28" w:type="dxa"/>
        </w:tblCellMar>
      </w:tblPr>
      <w:tblGrid>
        <w:gridCol w:w="1107"/>
        <w:gridCol w:w="975"/>
        <w:gridCol w:w="978"/>
        <w:gridCol w:w="316"/>
        <w:gridCol w:w="680"/>
        <w:gridCol w:w="177"/>
        <w:gridCol w:w="109"/>
        <w:gridCol w:w="109"/>
        <w:gridCol w:w="109"/>
        <w:gridCol w:w="247"/>
        <w:gridCol w:w="532"/>
        <w:gridCol w:w="137"/>
        <w:gridCol w:w="109"/>
        <w:gridCol w:w="109"/>
        <w:gridCol w:w="109"/>
        <w:gridCol w:w="204"/>
        <w:gridCol w:w="252"/>
        <w:gridCol w:w="115"/>
        <w:gridCol w:w="109"/>
        <w:gridCol w:w="109"/>
        <w:gridCol w:w="109"/>
        <w:gridCol w:w="361"/>
        <w:gridCol w:w="610"/>
        <w:gridCol w:w="202"/>
        <w:gridCol w:w="109"/>
        <w:gridCol w:w="109"/>
        <w:gridCol w:w="109"/>
        <w:gridCol w:w="281"/>
        <w:gridCol w:w="475"/>
        <w:gridCol w:w="157"/>
        <w:gridCol w:w="109"/>
        <w:gridCol w:w="109"/>
        <w:gridCol w:w="109"/>
        <w:gridCol w:w="196"/>
        <w:gridCol w:w="406"/>
        <w:gridCol w:w="162"/>
      </w:tblGrid>
      <w:tr>
        <w:trPr/>
        <w:tc>
          <w:tcPr>
            <w:tcW w:w="1107"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0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5"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(1)</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included in Prepaid expenses and other current assets</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4" w:type="dxa"/>
            <w:gridSpan w:val="3"/>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 shown in Condensed Statements of Consolidated Cash Flows</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(1)Houston Electric’s Cash and cash equivalents as of March 31, 2023 and December 31, 2022 included $110 million and $75 million, respectively, of cash related to the Bond Companies.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(17) Related Party Transactions</w:t>
      </w:r>
      <w:r>
        <w:rPr>
          <w:color w:val="000000"/>
        </w:rPr>
        <w:t xml:space="preserve"> </w:t>
      </w:r>
      <w:r>
        <w:rPr>
          <w:rFonts w:ascii="Times New Roman;sans-serif" w:hAnsi="Times New Roman;sans-serif"/>
          <w:b/>
          <w:color w:val="000000"/>
          <w:sz w:val="20"/>
        </w:rPr>
        <w:t>(Houston Electric and CERC)</w: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Houston Electric and CERC participate in CenterPoint Energy’s money pool through which they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r>
        <w:rPr>
          <w:color w:val="000000"/>
        </w:rPr>
        <w:t>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CenterPoint Energy money pool activity:</w:t>
      </w:r>
    </w:p>
    <w:tbl>
      <w:tblPr>
        <w:tblW w:w="8382" w:type="dxa"/>
        <w:jc w:val="left"/>
        <w:tblInd w:w="0" w:type="dxa"/>
        <w:tblCellMar>
          <w:top w:w="28" w:type="dxa"/>
          <w:left w:w="28" w:type="dxa"/>
          <w:bottom w:w="28" w:type="dxa"/>
          <w:right w:w="28" w:type="dxa"/>
        </w:tblCellMar>
      </w:tblPr>
      <w:tblGrid>
        <w:gridCol w:w="1114"/>
        <w:gridCol w:w="979"/>
        <w:gridCol w:w="982"/>
        <w:gridCol w:w="296"/>
        <w:gridCol w:w="637"/>
        <w:gridCol w:w="387"/>
        <w:gridCol w:w="109"/>
        <w:gridCol w:w="109"/>
        <w:gridCol w:w="109"/>
        <w:gridCol w:w="196"/>
        <w:gridCol w:w="331"/>
        <w:gridCol w:w="256"/>
        <w:gridCol w:w="109"/>
        <w:gridCol w:w="109"/>
        <w:gridCol w:w="109"/>
        <w:gridCol w:w="273"/>
        <w:gridCol w:w="691"/>
        <w:gridCol w:w="356"/>
        <w:gridCol w:w="109"/>
        <w:gridCol w:w="109"/>
        <w:gridCol w:w="109"/>
        <w:gridCol w:w="196"/>
        <w:gridCol w:w="406"/>
        <w:gridCol w:w="301"/>
      </w:tblGrid>
      <w:tr>
        <w:trPr/>
        <w:tc>
          <w:tcPr>
            <w:tcW w:w="111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interest rates)</w:t>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8"/>
              </w:rPr>
              <w:t xml:space="preserve">Money pool investments (borrowings) </w:t>
            </w:r>
            <w:r>
              <w:rPr>
                <w:rFonts w:ascii="Times New Roman;sans-serif" w:hAnsi="Times New Roman;sans-serif"/>
                <w:b w:val="false"/>
                <w:color w:val="000000"/>
                <w:sz w:val="14"/>
              </w:rPr>
              <w:t>(1)</w:t>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interest rate</w:t>
            </w:r>
          </w:p>
        </w:tc>
        <w:tc>
          <w:tcPr>
            <w:tcW w:w="93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38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2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35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30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ind w:left="0" w:right="0" w:firstLine="36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(1)Included in Accounts and notes receivable (payable)–affiliated companies on Houston Electric’s and CERC’s respective Condensed Consolidated Balance Sheets.</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 provides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allocation and include line locating and other miscellaneous services. These charges are not necessarily indicative of what would have been incurred had Houston Electric and CERC not been affiliates.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Amounts charged for these services were as follows and are included primarily in operation and maintenance expenses:</w:t>
      </w:r>
    </w:p>
    <w:tbl>
      <w:tblPr>
        <w:tblW w:w="9299" w:type="dxa"/>
        <w:jc w:val="left"/>
        <w:tblInd w:w="0" w:type="dxa"/>
        <w:tblCellMar>
          <w:top w:w="28" w:type="dxa"/>
          <w:left w:w="28" w:type="dxa"/>
          <w:bottom w:w="28" w:type="dxa"/>
          <w:right w:w="28" w:type="dxa"/>
        </w:tblCellMar>
      </w:tblPr>
      <w:tblGrid>
        <w:gridCol w:w="999"/>
        <w:gridCol w:w="879"/>
        <w:gridCol w:w="882"/>
        <w:gridCol w:w="109"/>
        <w:gridCol w:w="109"/>
        <w:gridCol w:w="173"/>
        <w:gridCol w:w="173"/>
        <w:gridCol w:w="173"/>
        <w:gridCol w:w="173"/>
        <w:gridCol w:w="173"/>
        <w:gridCol w:w="173"/>
        <w:gridCol w:w="173"/>
        <w:gridCol w:w="173"/>
        <w:gridCol w:w="407"/>
        <w:gridCol w:w="687"/>
        <w:gridCol w:w="225"/>
        <w:gridCol w:w="109"/>
        <w:gridCol w:w="109"/>
        <w:gridCol w:w="109"/>
        <w:gridCol w:w="196"/>
        <w:gridCol w:w="331"/>
        <w:gridCol w:w="109"/>
        <w:gridCol w:w="109"/>
        <w:gridCol w:w="109"/>
        <w:gridCol w:w="109"/>
        <w:gridCol w:w="406"/>
        <w:gridCol w:w="687"/>
        <w:gridCol w:w="227"/>
        <w:gridCol w:w="109"/>
        <w:gridCol w:w="109"/>
        <w:gridCol w:w="109"/>
        <w:gridCol w:w="196"/>
        <w:gridCol w:w="331"/>
        <w:gridCol w:w="154"/>
      </w:tblGrid>
      <w:tr>
        <w:trPr/>
        <w:tc>
          <w:tcPr>
            <w:tcW w:w="999"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3"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618" w:type="dxa"/>
            <w:gridSpan w:val="18"/>
            <w:tcBorders/>
            <w:shd w:fill="auto" w:val="clea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8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2655" w:type="dxa"/>
            <w:gridSpan w:val="12"/>
            <w:tcBorders/>
            <w:shd w:fill="auto" w:val="clea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456" w:type="dxa"/>
            <w:gridSpan w:val="2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service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affiliate service charges (billings)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transactions among Houston Electric, CERC and their parent, CenterPoint Energy.</w:t>
      </w:r>
    </w:p>
    <w:tbl>
      <w:tblPr>
        <w:tblW w:w="10205" w:type="dxa"/>
        <w:jc w:val="left"/>
        <w:tblInd w:w="0" w:type="dxa"/>
        <w:tblCellMar>
          <w:top w:w="28" w:type="dxa"/>
          <w:left w:w="28" w:type="dxa"/>
          <w:bottom w:w="28" w:type="dxa"/>
          <w:right w:w="28" w:type="dxa"/>
        </w:tblCellMar>
      </w:tblPr>
      <w:tblGrid>
        <w:gridCol w:w="1587"/>
        <w:gridCol w:w="1321"/>
        <w:gridCol w:w="1326"/>
        <w:gridCol w:w="109"/>
        <w:gridCol w:w="109"/>
        <w:gridCol w:w="109"/>
        <w:gridCol w:w="141"/>
        <w:gridCol w:w="141"/>
        <w:gridCol w:w="173"/>
        <w:gridCol w:w="173"/>
        <w:gridCol w:w="147"/>
        <w:gridCol w:w="141"/>
        <w:gridCol w:w="141"/>
        <w:gridCol w:w="141"/>
        <w:gridCol w:w="345"/>
        <w:gridCol w:w="512"/>
        <w:gridCol w:w="168"/>
        <w:gridCol w:w="109"/>
        <w:gridCol w:w="109"/>
        <w:gridCol w:w="109"/>
        <w:gridCol w:w="196"/>
        <w:gridCol w:w="421"/>
        <w:gridCol w:w="109"/>
        <w:gridCol w:w="109"/>
        <w:gridCol w:w="109"/>
        <w:gridCol w:w="109"/>
        <w:gridCol w:w="315"/>
        <w:gridCol w:w="534"/>
        <w:gridCol w:w="176"/>
        <w:gridCol w:w="109"/>
        <w:gridCol w:w="109"/>
        <w:gridCol w:w="109"/>
        <w:gridCol w:w="196"/>
        <w:gridCol w:w="331"/>
        <w:gridCol w:w="162"/>
      </w:tblGrid>
      <w:tr>
        <w:trPr/>
        <w:tc>
          <w:tcPr>
            <w:tcW w:w="1587"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3"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421" w:type="dxa"/>
            <w:gridSpan w:val="18"/>
            <w:tcBorders/>
            <w:shd w:fill="auto" w:val="clear"/>
          </w:tcPr>
          <w:p>
            <w:pPr>
              <w:pStyle w:val="TableContents"/>
              <w:spacing w:before="0" w:after="283"/>
              <w:rPr>
                <w:sz w:val="4"/>
                <w:szCs w:val="4"/>
              </w:rPr>
            </w:pPr>
            <w:r>
              <w:rPr>
                <w:sz w:val="4"/>
                <w:szCs w:val="4"/>
              </w:rPr>
            </w:r>
          </w:p>
        </w:tc>
      </w:tr>
      <w:tr>
        <w:trPr/>
        <w:tc>
          <w:tcPr>
            <w:tcW w:w="4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2368" w:type="dxa"/>
            <w:gridSpan w:val="12"/>
            <w:tcBorders/>
            <w:shd w:fill="auto" w:val="clear"/>
          </w:tcPr>
          <w:p>
            <w:pPr>
              <w:pStyle w:val="TableContents"/>
              <w:spacing w:before="0" w:after="283"/>
              <w:rPr>
                <w:sz w:val="4"/>
                <w:szCs w:val="4"/>
              </w:rPr>
            </w:pPr>
            <w:r>
              <w:rPr>
                <w:sz w:val="4"/>
                <w:szCs w:val="4"/>
              </w:rPr>
            </w:r>
          </w:p>
        </w:tc>
      </w:tr>
      <w:tr>
        <w:trPr/>
        <w:tc>
          <w:tcPr>
            <w:tcW w:w="4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4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869" w:type="dxa"/>
            <w:gridSpan w:val="2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 to parent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6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 paid to parent related to the sale of the Arkansas and Oklahoma Natural Gas businesses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Cash contribution from parent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23"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9"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capital contribution from parent in payment for property, plant and equipment below</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6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to parent for property, plant and equipment below</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8"/>
              </w:rPr>
              <w:t xml:space="preserve">Property, plant and equipment from parent </w:t>
            </w:r>
            <w:r>
              <w:rPr>
                <w:rFonts w:ascii="Times New Roman;sans-serif" w:hAnsi="Times New Roman;sans-serif"/>
                <w:b w:val="false"/>
                <w:color w:val="000000"/>
                <w:sz w:val="14"/>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Property, plant and equipment purchased from CenterPoint Energy at its net carrying value on the date of purchase.</w:t>
      </w:r>
    </w:p>
    <w:p>
      <w:pPr>
        <w:pStyle w:val="TextBody"/>
        <w:spacing w:before="0" w:after="0"/>
        <w:ind w:left="0" w:right="0" w:hanging="36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(18) Equity </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Dividends Declared and Paid (CenterPoint Energy)</w:t>
      </w:r>
    </w:p>
    <w:p>
      <w:pPr>
        <w:pStyle w:val="TextBody"/>
        <w:spacing w:before="0" w:after="0"/>
        <w:ind w:left="0" w:right="0" w:firstLine="360"/>
        <w:jc w:val="both"/>
        <w:rPr/>
      </w:pPr>
      <w:r>
        <w:rPr/>
      </w:r>
    </w:p>
    <w:tbl>
      <w:tblPr>
        <w:tblW w:w="10205" w:type="dxa"/>
        <w:jc w:val="left"/>
        <w:tblInd w:w="0" w:type="dxa"/>
        <w:tblCellMar>
          <w:top w:w="28" w:type="dxa"/>
          <w:left w:w="28" w:type="dxa"/>
          <w:bottom w:w="28" w:type="dxa"/>
          <w:right w:w="28" w:type="dxa"/>
        </w:tblCellMar>
      </w:tblPr>
      <w:tblGrid>
        <w:gridCol w:w="629"/>
        <w:gridCol w:w="550"/>
        <w:gridCol w:w="556"/>
        <w:gridCol w:w="109"/>
        <w:gridCol w:w="109"/>
        <w:gridCol w:w="109"/>
        <w:gridCol w:w="109"/>
        <w:gridCol w:w="109"/>
        <w:gridCol w:w="257"/>
        <w:gridCol w:w="257"/>
        <w:gridCol w:w="463"/>
        <w:gridCol w:w="960"/>
        <w:gridCol w:w="257"/>
        <w:gridCol w:w="109"/>
        <w:gridCol w:w="109"/>
        <w:gridCol w:w="109"/>
        <w:gridCol w:w="196"/>
        <w:gridCol w:w="406"/>
        <w:gridCol w:w="109"/>
        <w:gridCol w:w="109"/>
        <w:gridCol w:w="718"/>
        <w:gridCol w:w="718"/>
        <w:gridCol w:w="720"/>
        <w:gridCol w:w="109"/>
        <w:gridCol w:w="109"/>
        <w:gridCol w:w="109"/>
        <w:gridCol w:w="196"/>
        <w:gridCol w:w="556"/>
        <w:gridCol w:w="109"/>
        <w:gridCol w:w="109"/>
        <w:gridCol w:w="109"/>
        <w:gridCol w:w="109"/>
        <w:gridCol w:w="196"/>
        <w:gridCol w:w="556"/>
        <w:gridCol w:w="161"/>
      </w:tblGrid>
      <w:tr>
        <w:trPr/>
        <w:tc>
          <w:tcPr>
            <w:tcW w:w="629"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718"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Dividends Declared </w:t>
              <w:br/>
              <w:t>Per Share</w:t>
            </w:r>
          </w:p>
        </w:tc>
        <w:tc>
          <w:tcPr>
            <w:tcW w:w="109"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428"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Dividends Paid </w:t>
              <w:br/>
              <w:t>Per Share</w:t>
            </w:r>
          </w:p>
        </w:tc>
      </w:tr>
      <w:tr>
        <w:trPr/>
        <w:tc>
          <w:tcPr>
            <w:tcW w:w="1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4"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428" w:type="dxa"/>
            <w:gridSpan w:val="12"/>
            <w:tcBorders/>
            <w:shd w:fill="auto" w:val="clear"/>
          </w:tcPr>
          <w:p>
            <w:pPr>
              <w:pStyle w:val="TableContents"/>
              <w:spacing w:before="0" w:after="283"/>
              <w:rPr>
                <w:sz w:val="4"/>
                <w:szCs w:val="4"/>
              </w:rPr>
            </w:pPr>
            <w:r>
              <w:rPr>
                <w:sz w:val="4"/>
                <w:szCs w:val="4"/>
              </w:rPr>
            </w:r>
          </w:p>
        </w:tc>
      </w:tr>
      <w:tr>
        <w:trPr/>
        <w:tc>
          <w:tcPr>
            <w:tcW w:w="1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A Preferred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6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r>
      <w:tr>
        <w:trPr/>
        <w:tc>
          <w:tcPr>
            <w:tcW w:w="17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6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Preferred Stock (CenterPoint Energy)</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546"/>
        <w:gridCol w:w="478"/>
        <w:gridCol w:w="482"/>
        <w:gridCol w:w="109"/>
        <w:gridCol w:w="109"/>
        <w:gridCol w:w="109"/>
        <w:gridCol w:w="451"/>
        <w:gridCol w:w="1281"/>
        <w:gridCol w:w="253"/>
        <w:gridCol w:w="109"/>
        <w:gridCol w:w="109"/>
        <w:gridCol w:w="109"/>
        <w:gridCol w:w="420"/>
        <w:gridCol w:w="384"/>
        <w:gridCol w:w="331"/>
        <w:gridCol w:w="176"/>
        <w:gridCol w:w="176"/>
        <w:gridCol w:w="176"/>
        <w:gridCol w:w="480"/>
        <w:gridCol w:w="412"/>
        <w:gridCol w:w="441"/>
        <w:gridCol w:w="109"/>
        <w:gridCol w:w="109"/>
        <w:gridCol w:w="109"/>
        <w:gridCol w:w="290"/>
        <w:gridCol w:w="624"/>
        <w:gridCol w:w="160"/>
        <w:gridCol w:w="113"/>
        <w:gridCol w:w="113"/>
        <w:gridCol w:w="113"/>
        <w:gridCol w:w="333"/>
        <w:gridCol w:w="716"/>
        <w:gridCol w:w="275"/>
      </w:tblGrid>
      <w:tr>
        <w:trPr/>
        <w:tc>
          <w:tcPr>
            <w:tcW w:w="546"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1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Liquidation Preference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Outstanding as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Outstanding Value as of </w:t>
            </w:r>
          </w:p>
        </w:tc>
      </w:tr>
      <w:tr>
        <w:trPr/>
        <w:tc>
          <w:tcPr>
            <w:tcW w:w="1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5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2"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shares and per share amounts)</w:t>
            </w:r>
          </w:p>
        </w:tc>
      </w:tr>
      <w:tr>
        <w:trPr/>
        <w:tc>
          <w:tcPr>
            <w:tcW w:w="15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A Preferred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800,000 </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800,000 </w:t>
            </w:r>
          </w:p>
        </w:tc>
        <w:tc>
          <w:tcPr>
            <w:tcW w:w="4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324" w:type="dxa"/>
            <w:gridSpan w:val="3"/>
            <w:tcBorders/>
            <w:shd w:fill="auto" w:val="clear"/>
            <w:vAlign w:val="center"/>
          </w:tcPr>
          <w:p>
            <w:pPr>
              <w:pStyle w:val="TableContents"/>
              <w:spacing w:before="0" w:after="283"/>
              <w:rPr>
                <w:sz w:val="4"/>
                <w:szCs w:val="4"/>
              </w:rPr>
            </w:pPr>
            <w:r>
              <w:rPr>
                <w:sz w:val="4"/>
                <w:szCs w:val="4"/>
              </w:rPr>
            </w:r>
          </w:p>
        </w:tc>
      </w:tr>
      <w:tr>
        <w:trPr/>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vAlign w:val="center"/>
          </w:tcPr>
          <w:p>
            <w:pPr>
              <w:pStyle w:val="TableContents"/>
              <w:spacing w:before="0" w:after="283"/>
              <w:rPr>
                <w:sz w:val="4"/>
                <w:szCs w:val="4"/>
              </w:rPr>
            </w:pPr>
            <w:r>
              <w:rPr>
                <w:sz w:val="4"/>
                <w:szCs w:val="4"/>
              </w:rPr>
            </w:r>
          </w:p>
        </w:tc>
        <w:tc>
          <w:tcPr>
            <w:tcW w:w="528"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4" w:type="dxa"/>
            <w:gridSpan w:val="3"/>
            <w:tcBorders/>
            <w:shd w:fill="auto" w:val="clear"/>
            <w:vAlign w:val="center"/>
          </w:tcPr>
          <w:p>
            <w:pPr>
              <w:pStyle w:val="TableContents"/>
              <w:spacing w:before="0" w:after="283"/>
              <w:rPr>
                <w:sz w:val="4"/>
                <w:szCs w:val="4"/>
              </w:rPr>
            </w:pPr>
            <w:r>
              <w:rPr>
                <w:sz w:val="4"/>
                <w:szCs w:val="4"/>
              </w:rPr>
            </w:r>
          </w:p>
        </w:tc>
        <w:tc>
          <w:tcPr>
            <w:tcW w:w="339" w:type="dxa"/>
            <w:gridSpan w:val="3"/>
            <w:tcBorders/>
            <w:shd w:fill="auto" w:val="clear"/>
            <w:vAlign w:val="center"/>
          </w:tcPr>
          <w:p>
            <w:pPr>
              <w:pStyle w:val="TableContents"/>
              <w:spacing w:before="0" w:after="283"/>
              <w:rPr>
                <w:sz w:val="4"/>
                <w:szCs w:val="4"/>
              </w:rPr>
            </w:pPr>
            <w:r>
              <w:rPr>
                <w:sz w:val="4"/>
                <w:szCs w:val="4"/>
              </w:rPr>
            </w:r>
          </w:p>
        </w:tc>
        <w:tc>
          <w:tcPr>
            <w:tcW w:w="1324" w:type="dxa"/>
            <w:gridSpan w:val="3"/>
            <w:tcBorders/>
            <w:shd w:fill="auto" w:val="clear"/>
            <w:vAlign w:val="center"/>
          </w:tcPr>
          <w:p>
            <w:pPr>
              <w:pStyle w:val="TableContents"/>
              <w:spacing w:before="0" w:after="283"/>
              <w:rPr>
                <w:sz w:val="4"/>
                <w:szCs w:val="4"/>
              </w:rPr>
            </w:pPr>
            <w:r>
              <w:rPr>
                <w:sz w:val="4"/>
                <w:szCs w:val="4"/>
              </w:rPr>
            </w:r>
          </w:p>
        </w:tc>
      </w:tr>
      <w:tr>
        <w:trPr/>
        <w:tc>
          <w:tcPr>
            <w:tcW w:w="15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800,000 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800,000 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Allocated to Preferred Shareholders (CenterPoint Energy)</w:t>
      </w:r>
    </w:p>
    <w:tbl>
      <w:tblPr>
        <w:tblW w:w="7704" w:type="dxa"/>
        <w:jc w:val="left"/>
        <w:tblInd w:w="0" w:type="dxa"/>
        <w:tblCellMar>
          <w:top w:w="28" w:type="dxa"/>
          <w:left w:w="28" w:type="dxa"/>
          <w:bottom w:w="28" w:type="dxa"/>
          <w:right w:w="28" w:type="dxa"/>
        </w:tblCellMar>
      </w:tblPr>
      <w:tblGrid>
        <w:gridCol w:w="1459"/>
        <w:gridCol w:w="1286"/>
        <w:gridCol w:w="1290"/>
        <w:gridCol w:w="109"/>
        <w:gridCol w:w="109"/>
        <w:gridCol w:w="234"/>
        <w:gridCol w:w="234"/>
        <w:gridCol w:w="234"/>
        <w:gridCol w:w="234"/>
        <w:gridCol w:w="453"/>
        <w:gridCol w:w="775"/>
        <w:gridCol w:w="234"/>
        <w:gridCol w:w="109"/>
        <w:gridCol w:w="109"/>
        <w:gridCol w:w="109"/>
        <w:gridCol w:w="211"/>
        <w:gridCol w:w="361"/>
        <w:gridCol w:w="154"/>
      </w:tblGrid>
      <w:tr>
        <w:trPr/>
        <w:tc>
          <w:tcPr>
            <w:tcW w:w="1459"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53" w:type="dxa"/>
            <w:gridSpan w:val="6"/>
            <w:tcBorders/>
            <w:shd w:fill="auto" w:val="clear"/>
          </w:tcPr>
          <w:p>
            <w:pPr>
              <w:pStyle w:val="TableContents"/>
              <w:spacing w:before="0" w:after="283"/>
              <w:rPr>
                <w:sz w:val="4"/>
                <w:szCs w:val="4"/>
              </w:rPr>
            </w:pPr>
            <w:r>
              <w:rPr>
                <w:sz w:val="4"/>
                <w:szCs w:val="4"/>
              </w:rPr>
            </w:r>
          </w:p>
        </w:tc>
      </w:tr>
      <w:tr>
        <w:trPr/>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217"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02" w:type="dxa"/>
            <w:gridSpan w:val="3"/>
            <w:tcBorders/>
            <w:shd w:fill="auto" w:val="clear"/>
            <w:vAlign w:val="center"/>
          </w:tcPr>
          <w:p>
            <w:pPr>
              <w:pStyle w:val="TableContents"/>
              <w:spacing w:before="0" w:after="283"/>
              <w:rPr>
                <w:sz w:val="4"/>
                <w:szCs w:val="4"/>
              </w:rPr>
            </w:pPr>
            <w:r>
              <w:rPr>
                <w:sz w:val="4"/>
                <w:szCs w:val="4"/>
              </w:rPr>
            </w:r>
          </w:p>
        </w:tc>
        <w:tc>
          <w:tcPr>
            <w:tcW w:w="14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02" w:type="dxa"/>
            <w:gridSpan w:val="3"/>
            <w:tcBorders/>
            <w:shd w:fill="auto" w:val="clear"/>
            <w:vAlign w:val="center"/>
          </w:tcPr>
          <w:p>
            <w:pPr>
              <w:pStyle w:val="TableContents"/>
              <w:spacing w:before="0" w:after="283"/>
              <w:rPr>
                <w:sz w:val="4"/>
                <w:szCs w:val="4"/>
              </w:rPr>
            </w:pPr>
            <w:r>
              <w:rPr>
                <w:sz w:val="4"/>
                <w:szCs w:val="4"/>
              </w:rPr>
            </w:r>
          </w:p>
        </w:tc>
        <w:tc>
          <w:tcPr>
            <w:tcW w:w="14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02" w:type="dxa"/>
            <w:gridSpan w:val="3"/>
            <w:tcBorders/>
            <w:shd w:fill="auto" w:val="clear"/>
            <w:vAlign w:val="center"/>
          </w:tcPr>
          <w:p>
            <w:pPr>
              <w:pStyle w:val="TableContents"/>
              <w:spacing w:before="0" w:after="283"/>
              <w:rPr>
                <w:sz w:val="4"/>
                <w:szCs w:val="4"/>
              </w:rPr>
            </w:pPr>
            <w:r>
              <w:rPr>
                <w:sz w:val="4"/>
                <w:szCs w:val="4"/>
              </w:rPr>
            </w:r>
          </w:p>
        </w:tc>
        <w:tc>
          <w:tcPr>
            <w:tcW w:w="14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02" w:type="dxa"/>
            <w:gridSpan w:val="3"/>
            <w:tcBorders/>
            <w:shd w:fill="auto" w:val="clear"/>
            <w:vAlign w:val="center"/>
          </w:tcPr>
          <w:p>
            <w:pPr>
              <w:pStyle w:val="TableContents"/>
              <w:spacing w:before="0" w:after="283"/>
              <w:rPr>
                <w:sz w:val="4"/>
                <w:szCs w:val="4"/>
              </w:rPr>
            </w:pPr>
            <w:r>
              <w:rPr>
                <w:sz w:val="4"/>
                <w:szCs w:val="4"/>
              </w:rPr>
            </w:r>
          </w:p>
        </w:tc>
        <w:tc>
          <w:tcPr>
            <w:tcW w:w="14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allocated to preferred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Temporary Equity (CenterPoint Energy)</w: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On the approval and recommendation of the Compensation Committee and approval of the Board (acting solely through its independent directors), CenterPoint Energy entered into a retention incentive agreement with David J. Lesar, then President and Chief Executive Officer of CenterPoint Energy, dated July 20, 2021. Pursuant to the retention incentive agreement, Mr. Lesar received equity-based awards under CenterPoint Energy’s LTIP covering a total of 1 million shares of Common Stock (Total Stock Award) which were granted in multiple annual awards. Mr. Lesar received 400 thousand restricted stock units in July 2021 that vested in December 2022 and 400 thousand restricted stock units and 200 thousand restricted stock units in February 2022 and February 2023, respectively, that will vest in December 2023. For accounting purposes, the 1 million shares under the Total Stock Award, consisting of the equity-based awards described above, were considered granted in July 2021. In the event that death, disability, termination without cause or resignation for good reason, as defined in the retention incentive agreement, had occurred prior to the full Total Stock Award being awarded, CenterPoint Energy would have paid a lump sum cash payment equal to the value of the unawarded equity-based awards, based on the closing trading price of Common Stock on the date of the event’s occurrence. Because the equity-based awards would have been redeemable for cash prior to being awarded upon events that were not probable at the grant date, the equity associated with any unawarded equity-based awards were classified as Temporary Equity as of December 31, 2022 on CenterPoint Energy’s Condensed Consolidated Balance Sheets</w:t>
      </w:r>
      <w:r>
        <w:rPr>
          <w:rFonts w:ascii="Times New Roman;sans-serif" w:hAnsi="Times New Roman;sans-serif"/>
          <w:b/>
          <w:color w:val="000000"/>
          <w:sz w:val="20"/>
        </w:rPr>
        <w:t xml:space="preserve">. </w:t>
      </w:r>
    </w:p>
    <w:p>
      <w:pPr>
        <w:pStyle w:val="TextBody"/>
        <w:spacing w:before="0" w:after="0"/>
        <w:ind w:left="0" w:right="0" w:firstLine="36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Accumulated Other Comprehensive Income (Loss) </w:t>
      </w:r>
    </w:p>
    <w:p>
      <w:pPr>
        <w:pStyle w:val="TextBody"/>
        <w:spacing w:before="0" w:after="0"/>
        <w:ind w:left="0" w:right="0" w:firstLine="18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accumulated comprehensive income (loss) are as follows:</w:t>
      </w:r>
    </w:p>
    <w:tbl>
      <w:tblPr>
        <w:tblW w:w="10205" w:type="dxa"/>
        <w:jc w:val="left"/>
        <w:tblInd w:w="0" w:type="dxa"/>
        <w:tblCellMar>
          <w:top w:w="28" w:type="dxa"/>
          <w:left w:w="28" w:type="dxa"/>
          <w:bottom w:w="28" w:type="dxa"/>
          <w:right w:w="28" w:type="dxa"/>
        </w:tblCellMar>
      </w:tblPr>
      <w:tblGrid>
        <w:gridCol w:w="1109"/>
        <w:gridCol w:w="929"/>
        <w:gridCol w:w="861"/>
        <w:gridCol w:w="365"/>
        <w:gridCol w:w="645"/>
        <w:gridCol w:w="205"/>
        <w:gridCol w:w="109"/>
        <w:gridCol w:w="109"/>
        <w:gridCol w:w="109"/>
        <w:gridCol w:w="263"/>
        <w:gridCol w:w="546"/>
        <w:gridCol w:w="148"/>
        <w:gridCol w:w="109"/>
        <w:gridCol w:w="109"/>
        <w:gridCol w:w="109"/>
        <w:gridCol w:w="196"/>
        <w:gridCol w:w="331"/>
        <w:gridCol w:w="109"/>
        <w:gridCol w:w="109"/>
        <w:gridCol w:w="109"/>
        <w:gridCol w:w="109"/>
        <w:gridCol w:w="365"/>
        <w:gridCol w:w="645"/>
        <w:gridCol w:w="205"/>
        <w:gridCol w:w="109"/>
        <w:gridCol w:w="109"/>
        <w:gridCol w:w="109"/>
        <w:gridCol w:w="263"/>
        <w:gridCol w:w="546"/>
        <w:gridCol w:w="148"/>
        <w:gridCol w:w="109"/>
        <w:gridCol w:w="109"/>
        <w:gridCol w:w="109"/>
        <w:gridCol w:w="196"/>
        <w:gridCol w:w="331"/>
        <w:gridCol w:w="164"/>
      </w:tblGrid>
      <w:tr>
        <w:trPr/>
        <w:tc>
          <w:tcPr>
            <w:tcW w:w="1109"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6091" w:type="dxa"/>
            <w:gridSpan w:val="30"/>
            <w:tcBorders/>
            <w:shd w:fill="auto" w:val="clea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4807" w:type="dxa"/>
            <w:gridSpan w:val="24"/>
            <w:tcBorders/>
            <w:shd w:fill="auto" w:val="clea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6091" w:type="dxa"/>
            <w:gridSpan w:val="30"/>
            <w:tcBorders/>
            <w:shd w:fill="auto" w:val="clea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6"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1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2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6" w:type="dxa"/>
            <w:gridSpan w:val="3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w:t>
            </w:r>
          </w:p>
        </w:tc>
        <w:tc>
          <w:tcPr>
            <w:tcW w:w="3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accumulated other comprehensive income (loss):</w:t>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left"/>
              <w:rPr/>
            </w:pPr>
            <w:r>
              <w:rPr>
                <w:rFonts w:ascii="Times New Roman;sans-serif" w:hAnsi="Times New Roman;sans-serif"/>
                <w:b w:val="false"/>
                <w:color w:val="000000"/>
                <w:sz w:val="16"/>
              </w:rPr>
              <w:t xml:space="preserve">Prior service cost </w:t>
            </w:r>
            <w:r>
              <w:rPr>
                <w:rFonts w:ascii="Times New Roman;sans-serif" w:hAnsi="Times New Roman;sans-serif"/>
                <w:b w:val="false"/>
                <w:color w:val="000000"/>
                <w:sz w:val="14"/>
              </w:rPr>
              <w:t>(1)</w:t>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360"/>
              <w:jc w:val="left"/>
              <w:rPr/>
            </w:pPr>
            <w:r>
              <w:rPr>
                <w:rFonts w:ascii="Times New Roman;sans-serif" w:hAnsi="Times New Roman;sans-serif"/>
                <w:b w:val="false"/>
                <w:color w:val="000000"/>
                <w:sz w:val="16"/>
              </w:rPr>
              <w:t xml:space="preserve">Actuarial losses </w:t>
            </w:r>
            <w:r>
              <w:rPr>
                <w:rFonts w:ascii="Times New Roman;sans-serif" w:hAnsi="Times New Roman;sans-serif"/>
                <w:b w:val="false"/>
                <w:color w:val="000000"/>
                <w:sz w:val="14"/>
              </w:rPr>
              <w:t>(1)</w:t>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of deferred loss from cash flow hedges realized in net income</w:t>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r>
      <w:tr>
        <w:trPr/>
        <w:tc>
          <w:tcPr>
            <w:tcW w:w="2899"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current period other comprehensive income (loss)</w:t>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w:t>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(1)Amounts are included in the computation of net periodic cost and are reflected in Other income, net in each of the Registrants’ respective Condensed Statements of Consolidated Income.</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(19) Leases </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Houston Electric entered into a temporary short-term lease and long-term leases for mobile generation. The short-term lease agreement allowed Houston Electric to take delivery of TEEEF assets on a short-term basis with an initial term ending on September 30, 2022 and extended until December 31, 2022. As of December 31, 2022, the short-term lease agreement has expired and all mobile generation assets are leased under the long-term lease agreement. Per Houston Electric’s short-term lease accounting policy election, a ROU asset and lease liability are not reflected on Houston Electric’s Condensed Consolidated Balance Sheets. Expenses associated with the short-term lease, including carrying costs, are deferred to a regulatory asset and totaled $105 million and $103 million as of March 31, 2023 and December 31, 2022, respectively.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The long-term lease agreement includes up to 505 MW of TEEEF, all of which was delivered as of December 31, 2022, triggering lease commencement at delivery, with an initial term ending in 2029 for all TEEEF leases. These assets were previously available under the short-term lease agreement. Houston Electric derecognized the finance lease liability when the extinguishment criteria in Topic 405 - </w:t>
      </w:r>
      <w:r>
        <w:rPr>
          <w:rFonts w:ascii="Times New Roman;sans-serif" w:hAnsi="Times New Roman;sans-serif"/>
          <w:b w:val="false"/>
          <w:i/>
          <w:color w:val="000000"/>
          <w:sz w:val="20"/>
        </w:rPr>
        <w:t>Liabilities</w:t>
      </w:r>
      <w:r>
        <w:rPr>
          <w:color w:val="000000"/>
        </w:rPr>
        <w:t xml:space="preserve"> </w:t>
      </w:r>
      <w:r>
        <w:rPr>
          <w:rFonts w:ascii="Times New Roman;sans-serif" w:hAnsi="Times New Roman;sans-serif"/>
          <w:b w:val="false"/>
          <w:color w:val="000000"/>
          <w:sz w:val="20"/>
        </w:rPr>
        <w:t>was achieved. Per the terms of the agreement, lease payments are due and made in full by Houston Electric upon taking possession of the asset, relieving substantially all of the associated finance lease liability at that time.</w:t>
      </w:r>
      <w:r>
        <w:rPr>
          <w:color w:val="000000"/>
        </w:rPr>
        <w:t xml:space="preserve"> </w:t>
      </w:r>
      <w:r>
        <w:rPr>
          <w:rFonts w:ascii="Times New Roman;sans-serif" w:hAnsi="Times New Roman;sans-serif"/>
          <w:b w:val="false"/>
          <w:color w:val="000000"/>
          <w:sz w:val="20"/>
        </w:rPr>
        <w:t xml:space="preserve">The remaining finance lease liability associated with the commenced long-term TEEEF agreement was not significant as of March 31, 2023 and December 31, 2022 and relates to removal costs that will be incurred at the end of the lease term. As of March 31, 2023, Houston Electric has secured a first lien on the assets leased under the prepayment agreement, except for assets with lease payments totaling $113 million. The $113 million prepayment is being held in an escrow account, not controlled by Houston Electric, and the funds will be released when a first lien can be secured for Houston Electric. Expenses associated with the long-term lease, including depreciation expense on the right of use asset and carrying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costs, are deferred to a regulatory asset and totaled $90 million and $60 million as of March 31, 2023 and December 31, 2022, respectively. The long-term lease agreement contains a termination clause that can be exercised in the event of material adverse regulatory actions. If the right to terminate is elected, subject to the satisfaction of certain conditions, 75% of Houston Electric’s prepaid lease costs that is attributable to the period from the effective date of termination to the end of the lease term would be refunded. In December 2022, the long-term lease agreement was amended to include a disallowance reimbursement clause that can be exercised in the event that any regulatory proceeding or settlement agreement results in a disallowance of Houston Electric’s recovery of deferred costs under either the long-term lease agreement, short-term lease agreement or any other quantifiable adverse financial impact to Houston Electric. If the disallowance reimbursement clause is exercised, 85% of such disallowance up to $53 million would be paid to Houston Electric. Any disallowance greater than $53 million would remain subject to the 75% limit set forth in the termination clause. For further discussion of the regulatory impacts, see Note 6.</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Houston Electric will also incur variable costs throughout the lease term for the operation and maintenance of the generators. Lease costs, including variable and ROU asset amortization costs, are deferred to Regulatory assets as incurred as a recoverable cost under the 2021 Texas legislation. See Note 6 for further information regarding recovery of these deferred costs.</w:t>
      </w:r>
    </w:p>
    <w:p>
      <w:pPr>
        <w:pStyle w:val="TextBody"/>
        <w:spacing w:before="0" w:after="0"/>
        <w:ind w:left="0" w:right="0" w:firstLine="360"/>
        <w:jc w:val="both"/>
        <w:rPr/>
      </w:pPr>
      <w:r>
        <w:rPr/>
      </w:r>
    </w:p>
    <w:p>
      <w:pPr>
        <w:pStyle w:val="TextBody"/>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included in Operation and maintenance expense on the Registrants’ respective Condensed Statements of Consolidated Income, are as follows:</w:t>
      </w:r>
    </w:p>
    <w:tbl>
      <w:tblPr>
        <w:tblW w:w="9571" w:type="dxa"/>
        <w:jc w:val="left"/>
        <w:tblInd w:w="0" w:type="dxa"/>
        <w:tblCellMar>
          <w:top w:w="28" w:type="dxa"/>
          <w:left w:w="28" w:type="dxa"/>
          <w:bottom w:w="28" w:type="dxa"/>
          <w:right w:w="28" w:type="dxa"/>
        </w:tblCellMar>
      </w:tblPr>
      <w:tblGrid>
        <w:gridCol w:w="651"/>
        <w:gridCol w:w="572"/>
        <w:gridCol w:w="576"/>
        <w:gridCol w:w="571"/>
        <w:gridCol w:w="693"/>
        <w:gridCol w:w="296"/>
        <w:gridCol w:w="114"/>
        <w:gridCol w:w="114"/>
        <w:gridCol w:w="114"/>
        <w:gridCol w:w="222"/>
        <w:gridCol w:w="428"/>
        <w:gridCol w:w="115"/>
        <w:gridCol w:w="114"/>
        <w:gridCol w:w="114"/>
        <w:gridCol w:w="114"/>
        <w:gridCol w:w="220"/>
        <w:gridCol w:w="424"/>
        <w:gridCol w:w="114"/>
        <w:gridCol w:w="109"/>
        <w:gridCol w:w="109"/>
        <w:gridCol w:w="109"/>
        <w:gridCol w:w="483"/>
        <w:gridCol w:w="826"/>
        <w:gridCol w:w="250"/>
        <w:gridCol w:w="115"/>
        <w:gridCol w:w="115"/>
        <w:gridCol w:w="115"/>
        <w:gridCol w:w="224"/>
        <w:gridCol w:w="431"/>
        <w:gridCol w:w="115"/>
        <w:gridCol w:w="115"/>
        <w:gridCol w:w="115"/>
        <w:gridCol w:w="115"/>
        <w:gridCol w:w="224"/>
        <w:gridCol w:w="272"/>
        <w:gridCol w:w="163"/>
      </w:tblGrid>
      <w:tr>
        <w:trPr/>
        <w:tc>
          <w:tcPr>
            <w:tcW w:w="65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2"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Total lease cost </w:t>
            </w:r>
            <w:r>
              <w:rPr>
                <w:rFonts w:ascii="Times New Roman;sans-serif" w:hAnsi="Times New Roman;sans-serif"/>
                <w:b w:val="false"/>
                <w:color w:val="000000"/>
                <w:sz w:val="12"/>
              </w:rPr>
              <w:t>(1)</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7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77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659" w:type="dxa"/>
            <w:gridSpan w:val="3"/>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5105" w:type="dxa"/>
            <w:gridSpan w:val="24"/>
            <w:tcBorders/>
            <w:shd w:fill="auto" w:val="clea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7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77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659" w:type="dxa"/>
            <w:gridSpan w:val="3"/>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6212" w:type="dxa"/>
            <w:gridSpan w:val="30"/>
            <w:tcBorders/>
            <w:shd w:fill="auto" w:val="clea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7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77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659" w:type="dxa"/>
            <w:gridSpan w:val="3"/>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7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77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659" w:type="dxa"/>
            <w:gridSpan w:val="3"/>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7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77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659" w:type="dxa"/>
            <w:gridSpan w:val="3"/>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765"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7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770"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65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(1) CenterPoint Energy and Houston Electric defer finance lease costs for TEEEF to Regulatory assets for recovery rather than recognizing Depreciation and Amortization in the Condensed Statements of Consolidated Income.</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Lease income was as follows:</w:t>
      </w:r>
    </w:p>
    <w:tbl>
      <w:tblPr>
        <w:tblW w:w="9838" w:type="dxa"/>
        <w:jc w:val="center"/>
        <w:tblInd w:w="0" w:type="dxa"/>
        <w:tblCellMar>
          <w:top w:w="28" w:type="dxa"/>
          <w:left w:w="28" w:type="dxa"/>
          <w:bottom w:w="28" w:type="dxa"/>
          <w:right w:w="28" w:type="dxa"/>
        </w:tblCellMar>
      </w:tblPr>
      <w:tblGrid>
        <w:gridCol w:w="733"/>
        <w:gridCol w:w="644"/>
        <w:gridCol w:w="648"/>
        <w:gridCol w:w="571"/>
        <w:gridCol w:w="693"/>
        <w:gridCol w:w="296"/>
        <w:gridCol w:w="120"/>
        <w:gridCol w:w="120"/>
        <w:gridCol w:w="120"/>
        <w:gridCol w:w="233"/>
        <w:gridCol w:w="449"/>
        <w:gridCol w:w="120"/>
        <w:gridCol w:w="120"/>
        <w:gridCol w:w="120"/>
        <w:gridCol w:w="120"/>
        <w:gridCol w:w="233"/>
        <w:gridCol w:w="283"/>
        <w:gridCol w:w="120"/>
        <w:gridCol w:w="109"/>
        <w:gridCol w:w="109"/>
        <w:gridCol w:w="109"/>
        <w:gridCol w:w="571"/>
        <w:gridCol w:w="693"/>
        <w:gridCol w:w="296"/>
        <w:gridCol w:w="120"/>
        <w:gridCol w:w="120"/>
        <w:gridCol w:w="120"/>
        <w:gridCol w:w="233"/>
        <w:gridCol w:w="449"/>
        <w:gridCol w:w="120"/>
        <w:gridCol w:w="120"/>
        <w:gridCol w:w="120"/>
        <w:gridCol w:w="120"/>
        <w:gridCol w:w="233"/>
        <w:gridCol w:w="283"/>
        <w:gridCol w:w="170"/>
      </w:tblGrid>
      <w:tr>
        <w:trPr/>
        <w:tc>
          <w:tcPr>
            <w:tcW w:w="733"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3"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income</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5"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686" w:type="dxa"/>
            <w:gridSpan w:val="3"/>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income</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025"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686" w:type="dxa"/>
            <w:gridSpan w:val="3"/>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5091" w:type="dxa"/>
            <w:gridSpan w:val="24"/>
            <w:tcBorders/>
            <w:shd w:fill="auto" w:val="clear"/>
          </w:tcPr>
          <w:p>
            <w:pPr>
              <w:pStyle w:val="TableContents"/>
              <w:spacing w:before="0" w:after="283"/>
              <w:rPr>
                <w:sz w:val="4"/>
                <w:szCs w:val="4"/>
              </w:rPr>
            </w:pPr>
            <w:r>
              <w:rPr>
                <w:sz w:val="4"/>
                <w:szCs w:val="4"/>
              </w:rPr>
            </w:r>
          </w:p>
        </w:tc>
      </w:tr>
      <w:tr>
        <w:trPr/>
        <w:tc>
          <w:tcPr>
            <w:tcW w:w="2025"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686" w:type="dxa"/>
            <w:gridSpan w:val="3"/>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6253" w:type="dxa"/>
            <w:gridSpan w:val="30"/>
            <w:tcBorders/>
            <w:shd w:fill="auto" w:val="clear"/>
          </w:tcPr>
          <w:p>
            <w:pPr>
              <w:pStyle w:val="TableContents"/>
              <w:spacing w:before="0" w:after="283"/>
              <w:rPr>
                <w:sz w:val="4"/>
                <w:szCs w:val="4"/>
              </w:rPr>
            </w:pPr>
            <w:r>
              <w:rPr>
                <w:sz w:val="4"/>
                <w:szCs w:val="4"/>
              </w:rPr>
            </w:r>
          </w:p>
        </w:tc>
      </w:tr>
      <w:tr>
        <w:trPr/>
        <w:tc>
          <w:tcPr>
            <w:tcW w:w="2025"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686" w:type="dxa"/>
            <w:gridSpan w:val="3"/>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686" w:type="dxa"/>
            <w:gridSpan w:val="3"/>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02"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6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was as follows:</w:t>
      </w:r>
    </w:p>
    <w:tbl>
      <w:tblPr>
        <w:tblW w:w="10205" w:type="dxa"/>
        <w:jc w:val="center"/>
        <w:tblInd w:w="0" w:type="dxa"/>
        <w:tblCellMar>
          <w:top w:w="28" w:type="dxa"/>
          <w:left w:w="28" w:type="dxa"/>
          <w:bottom w:w="28" w:type="dxa"/>
          <w:right w:w="28" w:type="dxa"/>
        </w:tblCellMar>
      </w:tblPr>
      <w:tblGrid>
        <w:gridCol w:w="1120"/>
        <w:gridCol w:w="625"/>
        <w:gridCol w:w="634"/>
        <w:gridCol w:w="257"/>
        <w:gridCol w:w="554"/>
        <w:gridCol w:w="338"/>
        <w:gridCol w:w="109"/>
        <w:gridCol w:w="109"/>
        <w:gridCol w:w="109"/>
        <w:gridCol w:w="196"/>
        <w:gridCol w:w="421"/>
        <w:gridCol w:w="256"/>
        <w:gridCol w:w="109"/>
        <w:gridCol w:w="109"/>
        <w:gridCol w:w="109"/>
        <w:gridCol w:w="209"/>
        <w:gridCol w:w="257"/>
        <w:gridCol w:w="256"/>
        <w:gridCol w:w="109"/>
        <w:gridCol w:w="109"/>
        <w:gridCol w:w="109"/>
        <w:gridCol w:w="257"/>
        <w:gridCol w:w="554"/>
        <w:gridCol w:w="338"/>
        <w:gridCol w:w="109"/>
        <w:gridCol w:w="109"/>
        <w:gridCol w:w="109"/>
        <w:gridCol w:w="196"/>
        <w:gridCol w:w="421"/>
        <w:gridCol w:w="256"/>
        <w:gridCol w:w="109"/>
        <w:gridCol w:w="109"/>
        <w:gridCol w:w="109"/>
        <w:gridCol w:w="209"/>
        <w:gridCol w:w="257"/>
        <w:gridCol w:w="256"/>
        <w:gridCol w:w="109"/>
        <w:gridCol w:w="109"/>
        <w:gridCol w:w="109"/>
        <w:gridCol w:w="109"/>
        <w:gridCol w:w="109"/>
        <w:gridCol w:w="158"/>
      </w:tblGrid>
      <w:tr>
        <w:trPr/>
        <w:tc>
          <w:tcPr>
            <w:tcW w:w="112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5" w:type="dxa"/>
            <w:gridSpan w:val="4"/>
            <w:tcBorders/>
            <w:shd w:fill="auto" w:val="clear"/>
          </w:tcPr>
          <w:p>
            <w:pPr>
              <w:pStyle w:val="TableContents"/>
              <w:spacing w:before="0" w:after="283"/>
              <w:rPr>
                <w:sz w:val="4"/>
                <w:szCs w:val="4"/>
              </w:rPr>
            </w:pPr>
            <w:r>
              <w:rPr>
                <w:sz w:val="4"/>
                <w:szCs w:val="4"/>
              </w:rPr>
            </w:r>
          </w:p>
        </w:tc>
      </w:tr>
      <w:tr>
        <w:trPr/>
        <w:tc>
          <w:tcPr>
            <w:tcW w:w="2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3"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lease term and discount rate)</w:t>
            </w:r>
          </w:p>
        </w:tc>
        <w:tc>
          <w:tcPr>
            <w:tcW w:w="703" w:type="dxa"/>
            <w:gridSpan w:val="6"/>
            <w:tcBorders/>
            <w:shd w:fill="auto" w:val="clear"/>
          </w:tcPr>
          <w:p>
            <w:pPr>
              <w:pStyle w:val="TableContents"/>
              <w:spacing w:before="0" w:after="283"/>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1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Operating ROU assets </w:t>
            </w:r>
            <w:r>
              <w:rPr>
                <w:rFonts w:ascii="Times New Roman;sans-serif" w:hAnsi="Times New Roman;sans-serif"/>
                <w:b w:val="false"/>
                <w:color w:val="000000"/>
                <w:sz w:val="14"/>
              </w:rPr>
              <w:t>(1)</w:t>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Finance ROU assets </w:t>
            </w:r>
            <w:r>
              <w:rPr>
                <w:rFonts w:ascii="Times New Roman;sans-serif" w:hAnsi="Times New Roman;sans-serif"/>
                <w:b w:val="false"/>
                <w:color w:val="000000"/>
                <w:sz w:val="14"/>
              </w:rPr>
              <w:t>(2)</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leased assets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379" w:type="dxa"/>
            <w:gridSpan w:val="3"/>
            <w:tcBorders/>
            <w:shd w:fill="auto" w:val="clear"/>
            <w:vAlign w:val="center"/>
          </w:tcPr>
          <w:p>
            <w:pPr>
              <w:pStyle w:val="TableContents"/>
              <w:spacing w:before="0" w:after="283"/>
              <w:rPr>
                <w:sz w:val="4"/>
                <w:szCs w:val="4"/>
              </w:rPr>
            </w:pPr>
            <w:r>
              <w:rPr>
                <w:sz w:val="4"/>
                <w:szCs w:val="4"/>
              </w:rPr>
            </w:r>
          </w:p>
        </w:tc>
        <w:tc>
          <w:tcPr>
            <w:tcW w:w="11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Current operating lease liability </w:t>
            </w:r>
            <w:r>
              <w:rPr>
                <w:rFonts w:ascii="Times New Roman;sans-serif" w:hAnsi="Times New Roman;sans-serif"/>
                <w:b w:val="false"/>
                <w:color w:val="000000"/>
                <w:sz w:val="14"/>
              </w:rPr>
              <w:t>(3)</w:t>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Non-current operating lease liability </w:t>
            </w:r>
            <w:r>
              <w:rPr>
                <w:rFonts w:ascii="Times New Roman;sans-serif" w:hAnsi="Times New Roman;sans-serif"/>
                <w:b w:val="false"/>
                <w:color w:val="000000"/>
                <w:sz w:val="14"/>
              </w:rPr>
              <w:t>(4)</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Total leased liabilities</w:t>
            </w:r>
            <w:r>
              <w:rPr>
                <w:color w:val="000000"/>
              </w:rPr>
              <w:t xml:space="preserve"> </w:t>
            </w:r>
            <w:r>
              <w:rPr>
                <w:rFonts w:ascii="Times New Roman;sans-serif" w:hAnsi="Times New Roman;sans-serif"/>
                <w:b w:val="false"/>
                <w:color w:val="000000"/>
                <w:sz w:val="14"/>
              </w:rPr>
              <w:t>(5)</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hanging="180"/>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(in years) - operating leases</w:t>
            </w:r>
          </w:p>
        </w:tc>
        <w:tc>
          <w:tcPr>
            <w:tcW w:w="11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hanging="180"/>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 - operating leases</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hanging="180"/>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(in years) - finance leases</w:t>
            </w:r>
          </w:p>
        </w:tc>
        <w:tc>
          <w:tcPr>
            <w:tcW w:w="11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hanging="180"/>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 - finance leases</w:t>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(1)Reported within Other assets in the Registrants’ respective Condensed Consolidated Balance Sheets.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(2)Reported within Property, Plant and Equipment in the Registrants’ respective Condensed Consolidated Balance Sheets. Finance lease assets are recorded net of accumulated amortization.</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(3)Reported within Current other liabilities in the Registrants’ respective Condensed Consolidated Balance Sheets.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(4)Reported within Other liabilities in the Registrants’ respective Condensed Consolidated Balance Sheets.</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(5)Finance lease liabilities were not significant as of March 31, 2023 or December 31, 2022 and are reported within Other long-term debt in the Registrants’ respective Condensed Consolidated Balance Sheets when applicable.</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finance lease liabilities were not significant to the Registrants. As of March 31, 2023, maturities of operating lease liabilities were as follows:</w:t>
      </w:r>
    </w:p>
    <w:tbl>
      <w:tblPr>
        <w:tblW w:w="5672" w:type="dxa"/>
        <w:jc w:val="center"/>
        <w:tblInd w:w="0" w:type="dxa"/>
        <w:tblCellMar>
          <w:top w:w="28" w:type="dxa"/>
          <w:left w:w="28" w:type="dxa"/>
          <w:bottom w:w="28" w:type="dxa"/>
          <w:right w:w="28" w:type="dxa"/>
        </w:tblCellMar>
      </w:tblPr>
      <w:tblGrid>
        <w:gridCol w:w="972"/>
        <w:gridCol w:w="853"/>
        <w:gridCol w:w="860"/>
        <w:gridCol w:w="307"/>
        <w:gridCol w:w="525"/>
        <w:gridCol w:w="159"/>
        <w:gridCol w:w="109"/>
        <w:gridCol w:w="109"/>
        <w:gridCol w:w="109"/>
        <w:gridCol w:w="264"/>
        <w:gridCol w:w="320"/>
        <w:gridCol w:w="137"/>
        <w:gridCol w:w="109"/>
        <w:gridCol w:w="109"/>
        <w:gridCol w:w="109"/>
        <w:gridCol w:w="211"/>
        <w:gridCol w:w="256"/>
        <w:gridCol w:w="154"/>
      </w:tblGrid>
      <w:tr>
        <w:trPr/>
        <w:tc>
          <w:tcPr>
            <w:tcW w:w="972"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w:t>
              <w:br/>
              <w:t> Energy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w:t>
              <w:br/>
              <w:t> Electric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beyond</w:t>
            </w:r>
          </w:p>
        </w:tc>
        <w:tc>
          <w:tcPr>
            <w:tcW w:w="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8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future minimum finance lease payments were not significant to the Registrants. As of March 31, 2023, maturities of undiscounted operating lease payments to be received are as follows:</w:t>
      </w:r>
    </w:p>
    <w:p>
      <w:pPr>
        <w:pStyle w:val="TextBody"/>
        <w:spacing w:before="0" w:after="0"/>
        <w:ind w:left="0" w:right="0" w:firstLine="360"/>
        <w:jc w:val="both"/>
        <w:rPr/>
      </w:pPr>
      <w:r>
        <w:rPr/>
      </w:r>
    </w:p>
    <w:tbl>
      <w:tblPr>
        <w:tblW w:w="6216" w:type="dxa"/>
        <w:jc w:val="center"/>
        <w:tblInd w:w="0" w:type="dxa"/>
        <w:tblCellMar>
          <w:top w:w="28" w:type="dxa"/>
          <w:left w:w="28" w:type="dxa"/>
          <w:bottom w:w="28" w:type="dxa"/>
          <w:right w:w="28" w:type="dxa"/>
        </w:tblCellMar>
      </w:tblPr>
      <w:tblGrid>
        <w:gridCol w:w="1091"/>
        <w:gridCol w:w="958"/>
        <w:gridCol w:w="965"/>
        <w:gridCol w:w="266"/>
        <w:gridCol w:w="587"/>
        <w:gridCol w:w="138"/>
        <w:gridCol w:w="109"/>
        <w:gridCol w:w="109"/>
        <w:gridCol w:w="109"/>
        <w:gridCol w:w="211"/>
        <w:gridCol w:w="406"/>
        <w:gridCol w:w="109"/>
        <w:gridCol w:w="109"/>
        <w:gridCol w:w="109"/>
        <w:gridCol w:w="109"/>
        <w:gridCol w:w="211"/>
        <w:gridCol w:w="466"/>
        <w:gridCol w:w="154"/>
      </w:tblGrid>
      <w:tr>
        <w:trPr/>
        <w:tc>
          <w:tcPr>
            <w:tcW w:w="1091"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w:t>
              <w:br/>
              <w:t> Energy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w:t>
              <w:br/>
              <w:t> Electric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beyond</w:t>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 to be received</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is as follows:</w:t>
      </w:r>
    </w:p>
    <w:tbl>
      <w:tblPr>
        <w:tblW w:w="10205" w:type="dxa"/>
        <w:jc w:val="center"/>
        <w:tblInd w:w="0" w:type="dxa"/>
        <w:tblCellMar>
          <w:top w:w="28" w:type="dxa"/>
          <w:left w:w="28" w:type="dxa"/>
          <w:bottom w:w="28" w:type="dxa"/>
          <w:right w:w="28" w:type="dxa"/>
        </w:tblCellMar>
      </w:tblPr>
      <w:tblGrid>
        <w:gridCol w:w="1317"/>
        <w:gridCol w:w="1159"/>
        <w:gridCol w:w="1163"/>
        <w:gridCol w:w="355"/>
        <w:gridCol w:w="437"/>
        <w:gridCol w:w="199"/>
        <w:gridCol w:w="112"/>
        <w:gridCol w:w="112"/>
        <w:gridCol w:w="112"/>
        <w:gridCol w:w="207"/>
        <w:gridCol w:w="421"/>
        <w:gridCol w:w="112"/>
        <w:gridCol w:w="112"/>
        <w:gridCol w:w="112"/>
        <w:gridCol w:w="112"/>
        <w:gridCol w:w="202"/>
        <w:gridCol w:w="419"/>
        <w:gridCol w:w="112"/>
        <w:gridCol w:w="109"/>
        <w:gridCol w:w="109"/>
        <w:gridCol w:w="109"/>
        <w:gridCol w:w="355"/>
        <w:gridCol w:w="437"/>
        <w:gridCol w:w="199"/>
        <w:gridCol w:w="116"/>
        <w:gridCol w:w="116"/>
        <w:gridCol w:w="116"/>
        <w:gridCol w:w="214"/>
        <w:gridCol w:w="433"/>
        <w:gridCol w:w="116"/>
        <w:gridCol w:w="116"/>
        <w:gridCol w:w="116"/>
        <w:gridCol w:w="116"/>
        <w:gridCol w:w="221"/>
        <w:gridCol w:w="257"/>
        <w:gridCol w:w="175"/>
      </w:tblGrid>
      <w:tr>
        <w:trPr/>
        <w:tc>
          <w:tcPr>
            <w:tcW w:w="1317"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3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3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w:t>
              <w:br/>
              <w:t> Energy</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w:t>
              <w:br/>
              <w:t> Energy</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Houston </w:t>
              <w:br/>
              <w:t>Electric</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3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6"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cash flows from operating leases included in the measurement of lease liabilities</w:t>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7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cash flows from finance leases included in the measurement of lease liabilities</w:t>
            </w:r>
          </w:p>
        </w:tc>
        <w:tc>
          <w:tcPr>
            <w:tcW w:w="7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171 </w:t>
            </w:r>
          </w:p>
        </w:tc>
        <w:tc>
          <w:tcPr>
            <w:tcW w:w="1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9"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40"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763"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653" w:type="dxa"/>
            <w:gridSpan w:val="3"/>
            <w:tcBorders/>
            <w:shd w:fill="auto" w:val="clear"/>
            <w:vAlign w:val="center"/>
          </w:tcPr>
          <w:p>
            <w:pPr>
              <w:pStyle w:val="TableContents"/>
              <w:spacing w:before="0" w:after="283"/>
              <w:rPr>
                <w:sz w:val="4"/>
                <w:szCs w:val="4"/>
              </w:rPr>
            </w:pPr>
            <w:r>
              <w:rPr>
                <w:sz w:val="4"/>
                <w:szCs w:val="4"/>
              </w:rPr>
            </w:r>
          </w:p>
        </w:tc>
      </w:tr>
      <w:tr>
        <w:trPr/>
        <w:tc>
          <w:tcPr>
            <w:tcW w:w="3639"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40" w:type="dxa"/>
            <w:gridSpan w:val="3"/>
            <w:tcBorders/>
            <w:shd w:fill="auto" w:val="clear"/>
            <w:vAlign w:val="center"/>
          </w:tcPr>
          <w:p>
            <w:pPr>
              <w:pStyle w:val="TableContents"/>
              <w:spacing w:before="0" w:after="283"/>
              <w:rPr>
                <w:sz w:val="4"/>
                <w:szCs w:val="4"/>
              </w:rPr>
            </w:pPr>
            <w:r>
              <w:rPr>
                <w:sz w:val="4"/>
                <w:szCs w:val="4"/>
              </w:rPr>
            </w:r>
          </w:p>
        </w:tc>
        <w:tc>
          <w:tcPr>
            <w:tcW w:w="4499" w:type="dxa"/>
            <w:gridSpan w:val="24"/>
            <w:tcBorders/>
            <w:shd w:fill="auto" w:val="clear"/>
          </w:tcPr>
          <w:p>
            <w:pPr>
              <w:pStyle w:val="TableContents"/>
              <w:spacing w:before="0" w:after="283"/>
              <w:rPr>
                <w:sz w:val="4"/>
                <w:szCs w:val="4"/>
              </w:rPr>
            </w:pPr>
            <w:r>
              <w:rPr>
                <w:sz w:val="4"/>
                <w:szCs w:val="4"/>
              </w:rPr>
            </w:r>
          </w:p>
        </w:tc>
      </w:tr>
      <w:tr>
        <w:trPr/>
        <w:tc>
          <w:tcPr>
            <w:tcW w:w="3639"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40"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763"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653" w:type="dxa"/>
            <w:gridSpan w:val="3"/>
            <w:tcBorders/>
            <w:shd w:fill="auto" w:val="clear"/>
            <w:vAlign w:val="center"/>
          </w:tcPr>
          <w:p>
            <w:pPr>
              <w:pStyle w:val="TableContents"/>
              <w:spacing w:before="0" w:after="283"/>
              <w:rPr>
                <w:sz w:val="4"/>
                <w:szCs w:val="4"/>
              </w:rPr>
            </w:pPr>
            <w:r>
              <w:rPr>
                <w:sz w:val="4"/>
                <w:szCs w:val="4"/>
              </w:rPr>
            </w:r>
          </w:p>
        </w:tc>
      </w:tr>
      <w:tr>
        <w:trPr/>
        <w:tc>
          <w:tcPr>
            <w:tcW w:w="3639"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5575" w:type="dxa"/>
            <w:gridSpan w:val="30"/>
            <w:tcBorders/>
            <w:shd w:fill="auto" w:val="clear"/>
          </w:tcPr>
          <w:p>
            <w:pPr>
              <w:pStyle w:val="TableContents"/>
              <w:spacing w:before="0" w:after="283"/>
              <w:rPr>
                <w:sz w:val="4"/>
                <w:szCs w:val="4"/>
              </w:rPr>
            </w:pPr>
            <w:r>
              <w:rPr>
                <w:sz w:val="4"/>
                <w:szCs w:val="4"/>
              </w:rPr>
            </w:r>
          </w:p>
        </w:tc>
      </w:tr>
      <w:tr>
        <w:trPr/>
        <w:tc>
          <w:tcPr>
            <w:tcW w:w="3639"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40"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763"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653" w:type="dxa"/>
            <w:gridSpan w:val="3"/>
            <w:tcBorders/>
            <w:shd w:fill="auto" w:val="clear"/>
            <w:vAlign w:val="center"/>
          </w:tcPr>
          <w:p>
            <w:pPr>
              <w:pStyle w:val="TableContents"/>
              <w:spacing w:before="0" w:after="283"/>
              <w:rPr>
                <w:sz w:val="4"/>
                <w:szCs w:val="4"/>
              </w:rPr>
            </w:pPr>
            <w:r>
              <w:rPr>
                <w:sz w:val="4"/>
                <w:szCs w:val="4"/>
              </w:rPr>
            </w:r>
          </w:p>
        </w:tc>
      </w:tr>
      <w:tr>
        <w:trPr/>
        <w:tc>
          <w:tcPr>
            <w:tcW w:w="3639"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40"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763"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653" w:type="dxa"/>
            <w:gridSpan w:val="3"/>
            <w:tcBorders/>
            <w:shd w:fill="auto" w:val="clear"/>
            <w:vAlign w:val="center"/>
          </w:tcPr>
          <w:p>
            <w:pPr>
              <w:pStyle w:val="TableContents"/>
              <w:spacing w:before="0" w:after="283"/>
              <w:rPr>
                <w:sz w:val="4"/>
                <w:szCs w:val="4"/>
              </w:rPr>
            </w:pPr>
            <w:r>
              <w:rPr>
                <w:sz w:val="4"/>
                <w:szCs w:val="4"/>
              </w:rPr>
            </w:r>
          </w:p>
        </w:tc>
      </w:tr>
      <w:tr>
        <w:trPr/>
        <w:tc>
          <w:tcPr>
            <w:tcW w:w="3639"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40"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763"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653" w:type="dxa"/>
            <w:gridSpan w:val="3"/>
            <w:tcBorders/>
            <w:shd w:fill="auto" w:val="clear"/>
            <w:vAlign w:val="center"/>
          </w:tcPr>
          <w:p>
            <w:pPr>
              <w:pStyle w:val="TableContents"/>
              <w:spacing w:before="0" w:after="283"/>
              <w:rPr>
                <w:sz w:val="4"/>
                <w:szCs w:val="4"/>
              </w:rPr>
            </w:pPr>
            <w:r>
              <w:rPr>
                <w:sz w:val="4"/>
                <w:szCs w:val="4"/>
              </w:rPr>
            </w:r>
          </w:p>
        </w:tc>
      </w:tr>
      <w:tr>
        <w:trPr/>
        <w:tc>
          <w:tcPr>
            <w:tcW w:w="3639"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40"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763"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65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16 for information on ROU assets obtained in exchange for operating lease liabilities. </w:t>
      </w:r>
    </w:p>
    <w:p>
      <w:pPr>
        <w:pStyle w:val="TextBody"/>
        <w:spacing w:before="1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(20) Subsequent Events (CenterPoint Energy) </w:t>
      </w:r>
    </w:p>
    <w:p>
      <w:pPr>
        <w:pStyle w:val="TextBody"/>
        <w:spacing w:before="0" w:after="0"/>
        <w:rPr/>
      </w:pPr>
      <w:r>
        <w:rPr/>
      </w:r>
    </w:p>
    <w:p>
      <w:pPr>
        <w:pStyle w:val="TextBody"/>
        <w:spacing w:lineRule="auto" w:line="288" w:before="100" w:after="283"/>
        <w:ind w:left="0" w:right="0" w:hanging="540"/>
        <w:rPr/>
      </w:pPr>
      <w:r>
        <w:rPr>
          <w:rFonts w:ascii="Times New Roman;sans-serif" w:hAnsi="Times New Roman;sans-serif"/>
          <w:b/>
          <w:i/>
          <w:color w:val="000000"/>
          <w:sz w:val="20"/>
        </w:rPr>
        <w:t>CenterPoint Energy Dividend Declarations</w:t>
      </w:r>
      <w:r>
        <w:rPr>
          <w:color w:val="000000"/>
        </w:rPr>
        <w:t xml:space="preserve"> </w:t>
      </w:r>
    </w:p>
    <w:p>
      <w:pPr>
        <w:pStyle w:val="TextBody"/>
        <w:spacing w:before="100" w:after="283"/>
        <w:ind w:left="0" w:right="0" w:hanging="540"/>
        <w:rPr/>
      </w:pPr>
      <w:r>
        <w:rPr/>
      </w:r>
    </w:p>
    <w:tbl>
      <w:tblPr>
        <w:tblW w:w="7340" w:type="dxa"/>
        <w:jc w:val="left"/>
        <w:tblInd w:w="0" w:type="dxa"/>
        <w:tblCellMar>
          <w:top w:w="28" w:type="dxa"/>
          <w:left w:w="28" w:type="dxa"/>
          <w:bottom w:w="28" w:type="dxa"/>
          <w:right w:w="28" w:type="dxa"/>
        </w:tblCellMar>
      </w:tblPr>
      <w:tblGrid>
        <w:gridCol w:w="522"/>
        <w:gridCol w:w="457"/>
        <w:gridCol w:w="460"/>
        <w:gridCol w:w="109"/>
        <w:gridCol w:w="109"/>
        <w:gridCol w:w="109"/>
        <w:gridCol w:w="449"/>
        <w:gridCol w:w="449"/>
        <w:gridCol w:w="451"/>
        <w:gridCol w:w="109"/>
        <w:gridCol w:w="109"/>
        <w:gridCol w:w="109"/>
        <w:gridCol w:w="369"/>
        <w:gridCol w:w="369"/>
        <w:gridCol w:w="371"/>
        <w:gridCol w:w="109"/>
        <w:gridCol w:w="109"/>
        <w:gridCol w:w="109"/>
        <w:gridCol w:w="379"/>
        <w:gridCol w:w="379"/>
        <w:gridCol w:w="381"/>
        <w:gridCol w:w="109"/>
        <w:gridCol w:w="109"/>
        <w:gridCol w:w="109"/>
        <w:gridCol w:w="196"/>
        <w:gridCol w:w="646"/>
        <w:gridCol w:w="154"/>
      </w:tblGrid>
      <w:tr>
        <w:trPr/>
        <w:tc>
          <w:tcPr>
            <w:tcW w:w="522"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Instrument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Record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r>
      <w:tr>
        <w:trPr/>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20,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18,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8,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2.MANAGEMENT’S DISCUSSION AND ANALYSIS OF FINANCIAL CONDITION AND RESULTS OF OPERATIONS OF CENTERPOINT ENERGY, INC. AND SUBSIDIARIES</w:t>
      </w:r>
    </w:p>
    <w:p>
      <w:pPr>
        <w:pStyle w:val="TextBody"/>
        <w:spacing w:before="0" w:after="0"/>
        <w:ind w:left="0" w:right="0" w:hanging="900"/>
        <w:jc w:val="both"/>
        <w:rPr/>
      </w:pPr>
      <w:r>
        <w:rPr/>
      </w: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combined discussion and analysis should be read in combination with the Interim Condensed Financial Statements contained in this combined Form 10-Q and the Registrants’ combined 2022 Form 10-K. When discussing CenterPoint Energy’s consolidated financial information, it includes the results of Houston Electric and CERC, which, along with CenterPoint Energy, are collectively referred to as the Registrants. Where appropriate, information relating to a specific Registrant has been segregated and labeled as such. In this combined Form 10-Q, the terms “our,” “we” and “us” are used as abbreviated references to CenterPoint Energy, Inc. together with its consolidated subsidiaries. No Registrant makes any representations as to the information related solely to CenterPoint Energy or the subsidiaries of CenterPoint Energy other than itself. </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RECENT EVENTS</w:t>
      </w:r>
    </w:p>
    <w:p>
      <w:pPr>
        <w:pStyle w:val="TextBody"/>
        <w:spacing w:before="0" w:after="0"/>
        <w:ind w:left="0" w:right="0" w:firstLine="360"/>
        <w:jc w:val="center"/>
        <w:rPr/>
      </w:pPr>
      <w:r>
        <w:rPr/>
      </w:r>
    </w:p>
    <w:p>
      <w:pPr>
        <w:pStyle w:val="TextBody"/>
        <w:spacing w:lineRule="auto" w:line="268" w:before="0" w:after="0"/>
        <w:ind w:left="0" w:right="0" w:firstLine="360"/>
        <w:jc w:val="both"/>
        <w:rPr/>
      </w:pPr>
      <w:r>
        <w:rPr>
          <w:rFonts w:ascii="Times New Roman;sans-serif" w:hAnsi="Times New Roman;sans-serif"/>
          <w:b/>
          <w:i/>
          <w:color w:val="000000"/>
          <w:sz w:val="20"/>
        </w:rPr>
        <w:t>Regulatory Proceedings. </w:t>
      </w:r>
      <w:r>
        <w:rPr>
          <w:rFonts w:ascii="Times New Roman;sans-serif" w:hAnsi="Times New Roman;sans-serif"/>
          <w:b w:val="false"/>
          <w:color w:val="000000"/>
          <w:sz w:val="20"/>
        </w:rPr>
        <w:t>On January 4, 2023, the IURC issued an order authorizing the issuance of up to $350 million in bonds to securitize qualified costs associated with CenterPoint Energy’s planned retirements of coal generation facilities. CenterPoint Energy determined that the retirement of property, plant and equipment became probable upon the issuance of the order and reclassified property, plant and equipment of $257 million to be recovered through securitization to a regulatory asset during the three months ended March 31, 2023. Such amounts will continue to earn a full return until recovered through securitization. On March 24, 2023, SIGECO and the Securitization Subsidiary filed a registration statement on Form SF-1 under the Securities Act of 1933, as amended, with the SEC registering the public offering and sale of up to $350 million aggregate principal amount of the Securitization Subsidiary Securitization Bonds. The registration statement has not yet become effective, and the securities may not be sold nor may offers to buy be accepted prior to the time the registration statement becomes effective. On March 23, 2023, CenterPoint Energy and CERC, collectively, received approximately $1.1 billion in proceeds from the customer rate relief bonds issued by the Texas Public Financing Authority related to the February 2021 Winter Storm Event. On April 5, 2023 a final order was issued approving the $39 million revenue requirement from Houston Electric’s 2021 investment in TEEEF. On April 5, 2023, Houston Electric filed its second TEEEF filing requesting recovery of $188 million of TEEEF related costs incurred through December 31, 2022. For further information, see Note 6 to the Interim Condensed Financial Statements. For information related to our pending and completed regulatory proceedings to date in 2023, see “—Liquidity and Capital Resources —Regulatory Matters” below.</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i/>
          <w:color w:val="000000"/>
          <w:sz w:val="20"/>
        </w:rPr>
        <w:t xml:space="preserve">Debt Transactions. </w:t>
      </w:r>
      <w:r>
        <w:rPr>
          <w:rFonts w:ascii="Times New Roman;sans-serif" w:hAnsi="Times New Roman;sans-serif"/>
          <w:b w:val="false"/>
          <w:color w:val="000000"/>
          <w:sz w:val="20"/>
        </w:rPr>
        <w:t xml:space="preserve">During the three months ended March 31, 2023, CenterPoint Energy issued or borrowed a combined $3.03 billion in new debt, including Houston Electric’s issuance of $900 million aggregate principal amount of general mortgage bonds, CERC’s issuance of $1.2 billion aggregate principal amount of senior notes, CERC’s $500 million term loan, SIGECO’s issuance of $180 million aggregate principal amount of first mortgage bonds and CenterPoint Energy’s $250 million term loan. CenterPoint Energy repaid or redeemed a combined $2.04 billion of debt, including CERC’s repayment of its $500 million term loan and $1,275 million of senior notes maturing in 2023, CenterPoint Energy’s repayment of its $250 million term loan and SIGECO’s early redemption of $11 million of first mortgage bonds maturing in 2044, excluding scheduled principal payments on Securitization Bonds. For information about debt transactions to date in 2023, see Note 11 to the Interim Condensed Financial Statements.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i/>
          <w:color w:val="000000"/>
          <w:sz w:val="20"/>
        </w:rPr>
        <w:t>CenterPoint Energy Leadership Transition.</w:t>
      </w:r>
      <w:r>
        <w:rPr>
          <w:color w:val="000000"/>
        </w:rPr>
        <w:t xml:space="preserve"> </w:t>
      </w:r>
      <w:r>
        <w:rPr>
          <w:rFonts w:ascii="Times New Roman;sans-serif" w:hAnsi="Times New Roman;sans-serif"/>
          <w:b w:val="false"/>
          <w:color w:val="000000"/>
          <w:sz w:val="20"/>
        </w:rPr>
        <w:t>On March 15, 2023, CenterPoint Energy announced the appointment of Christopher Foster to the position of Executive Vice President and Chief Financial Officer, effective May 5, 2023.</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 CONSOLIDATED RESULTS OF OPERATIONS</w:t>
      </w:r>
    </w:p>
    <w:p>
      <w:pPr>
        <w:pStyle w:val="TextBody"/>
        <w:spacing w:before="0" w:after="0"/>
        <w:jc w:val="center"/>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factors that may affect the future results of our consolidated operations, please read “Risk Factors” in Item 1A of Part I of the Registrants’ combined 2022 Form 10-K and in Item 1A of Part II of this combined Form 10-Q.</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available to common shareholders for the three months ended March 31, 2023 and 2022 was as follows:</w:t>
      </w:r>
    </w:p>
    <w:p>
      <w:pPr>
        <w:pStyle w:val="TextBody"/>
        <w:spacing w:before="0" w:after="0"/>
        <w:ind w:left="0" w:right="0" w:firstLine="360"/>
        <w:jc w:val="both"/>
        <w:rPr/>
      </w:pPr>
      <w:r>
        <w:rPr/>
      </w:r>
    </w:p>
    <w:tbl>
      <w:tblPr>
        <w:tblW w:w="8682" w:type="dxa"/>
        <w:jc w:val="left"/>
        <w:tblInd w:w="0" w:type="dxa"/>
        <w:tblCellMar>
          <w:top w:w="28" w:type="dxa"/>
          <w:left w:w="28" w:type="dxa"/>
          <w:bottom w:w="28" w:type="dxa"/>
          <w:right w:w="28" w:type="dxa"/>
        </w:tblCellMar>
      </w:tblPr>
      <w:tblGrid>
        <w:gridCol w:w="842"/>
        <w:gridCol w:w="740"/>
        <w:gridCol w:w="742"/>
        <w:gridCol w:w="109"/>
        <w:gridCol w:w="109"/>
        <w:gridCol w:w="109"/>
        <w:gridCol w:w="109"/>
        <w:gridCol w:w="109"/>
        <w:gridCol w:w="181"/>
        <w:gridCol w:w="181"/>
        <w:gridCol w:w="181"/>
        <w:gridCol w:w="181"/>
        <w:gridCol w:w="181"/>
        <w:gridCol w:w="181"/>
        <w:gridCol w:w="351"/>
        <w:gridCol w:w="776"/>
        <w:gridCol w:w="181"/>
        <w:gridCol w:w="109"/>
        <w:gridCol w:w="109"/>
        <w:gridCol w:w="109"/>
        <w:gridCol w:w="211"/>
        <w:gridCol w:w="466"/>
        <w:gridCol w:w="109"/>
        <w:gridCol w:w="109"/>
        <w:gridCol w:w="109"/>
        <w:gridCol w:w="109"/>
        <w:gridCol w:w="492"/>
        <w:gridCol w:w="1125"/>
        <w:gridCol w:w="362"/>
      </w:tblGrid>
      <w:tr>
        <w:trPr/>
        <w:tc>
          <w:tcPr>
            <w:tcW w:w="842"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419" w:type="dxa"/>
            <w:gridSpan w:val="12"/>
            <w:tcBorders/>
            <w:shd w:fill="auto" w:val="clea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7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Favorable (Unfavorable)</w:t>
            </w:r>
          </w:p>
        </w:tc>
      </w:tr>
      <w:tr>
        <w:trPr/>
        <w:tc>
          <w:tcPr>
            <w:tcW w:w="2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270"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3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Utility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Corporate &amp; Other </w:t>
            </w:r>
            <w:r>
              <w:rPr>
                <w:rFonts w:ascii="Times New Roman;sans-serif" w:hAnsi="Times New Roman;sans-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79" w:type="dxa"/>
            <w:gridSpan w:val="3"/>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CenterPoint Energy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 xml:space="preserve">(1)Includes energy performance contracting and sustainable infrastructure services through </w:t>
      </w:r>
      <w:r>
        <w:rPr>
          <w:rFonts w:ascii="Times New Roman;sans-serif" w:hAnsi="Times New Roman;sans-serif"/>
          <w:b w:val="false"/>
          <w:color w:val="221F1F"/>
          <w:sz w:val="20"/>
        </w:rPr>
        <w:t>Energy Systems Group</w:t>
      </w:r>
      <w:r>
        <w:rPr>
          <w:rFonts w:ascii="Times New Roman;sans-serif" w:hAnsi="Times New Roman;sans-serif"/>
          <w:b w:val="false"/>
          <w:color w:val="000000"/>
          <w:sz w:val="20"/>
        </w:rPr>
        <w:t>, unallocated corporate costs, interest income and interest expense, intercompany eliminations and the reduction of income allocated to preferred shareholders.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Three months ended March 31, 2023 compared to three months ended March 31, 2022</w:t>
      </w:r>
    </w:p>
    <w:p>
      <w:pPr>
        <w:pStyle w:val="TextBody"/>
        <w:spacing w:before="0" w:after="0"/>
        <w:ind w:left="0" w:right="0" w:hanging="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available to common shareholders decreased $205 million primarily due to the following items: </w:t>
      </w:r>
    </w:p>
    <w:p>
      <w:pPr>
        <w:pStyle w:val="TextBody"/>
        <w:spacing w:before="0" w:after="0"/>
        <w:ind w:left="0" w:right="0" w:firstLine="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 increase in income available to common shareholders of $41 million for the Electric reportable segment, as further discussed below;</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 decrease in income available to common shareholders of $164 million for the Natural Gas reportable segment, as further discussed below;</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 decrease in income available to common shareholders of $82 million for Corporate and Other, primarily due to the pre-tax net gain of $86 million on the sale of Energy Transfer equity securities in 2022 further discussed in Note 10 to the Interim Condensed Financial Statements, partially offset by $45 million of costs associated with early redemption of long-term debt in first quarter 2022. The remaining variance is due largely to an approximately $25 million increase in borrowing costs due to higher interest rates, partially offset by income tax expense discussed below.</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 xml:space="preserve">Income Tax Expense. </w:t>
      </w:r>
      <w:r>
        <w:rPr>
          <w:rFonts w:ascii="Times New Roman;sans-serif" w:hAnsi="Times New Roman;sans-serif"/>
          <w:b w:val="false"/>
          <w:color w:val="000000"/>
          <w:sz w:val="20"/>
        </w:rPr>
        <w:t>For a discussion of effective tax rate per period, see Note 12 to the Interim Condensed Financial Statements.</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CENTERPOINT ENERGY’S RESULTS OF OPERATIONS BY REPORTABLE SEGMENT</w:t>
      </w:r>
    </w:p>
    <w:p>
      <w:pPr>
        <w:pStyle w:val="TextBody"/>
        <w:spacing w:before="0" w:after="0"/>
        <w:jc w:val="center"/>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Energy’s CODM views net income as the measure of profit or loss for the reportable segments. Segment results include inter-segment interest income and expense, which may result in inter-segment profit and loss.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of CenterPoint Energy’s results of operations is separated into two reportable segments, Electric and Natural Gas.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Electric (CenterPoint Energy)</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factors that may affect the future results of operations of CenterPoint Energy’s Electric reportable segment, please read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Item 1A of Part I of the Registrants’ combined 2022 Form 10-K.</w:t>
      </w:r>
    </w:p>
    <w:p>
      <w:pPr>
        <w:pStyle w:val="TextBody"/>
        <w:spacing w:before="0" w:after="0"/>
        <w:ind w:left="0" w:right="0" w:firstLine="360"/>
        <w:rPr/>
      </w:pPr>
      <w:r>
        <w:rPr/>
      </w:r>
    </w:p>
    <w:p>
      <w:pPr>
        <w:pStyle w:val="TextBody"/>
        <w:spacing w:lineRule="auto" w:line="288"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summary data of the Electric reportable segment:</w:t>
      </w:r>
    </w:p>
    <w:tbl>
      <w:tblPr>
        <w:tblW w:w="10205" w:type="dxa"/>
        <w:jc w:val="left"/>
        <w:tblInd w:w="0" w:type="dxa"/>
        <w:tblCellMar>
          <w:top w:w="28" w:type="dxa"/>
          <w:left w:w="28" w:type="dxa"/>
          <w:bottom w:w="28" w:type="dxa"/>
          <w:right w:w="28" w:type="dxa"/>
        </w:tblCellMar>
      </w:tblPr>
      <w:tblGrid>
        <w:gridCol w:w="1487"/>
        <w:gridCol w:w="1302"/>
        <w:gridCol w:w="1316"/>
        <w:gridCol w:w="109"/>
        <w:gridCol w:w="109"/>
        <w:gridCol w:w="172"/>
        <w:gridCol w:w="172"/>
        <w:gridCol w:w="172"/>
        <w:gridCol w:w="172"/>
        <w:gridCol w:w="172"/>
        <w:gridCol w:w="172"/>
        <w:gridCol w:w="310"/>
        <w:gridCol w:w="666"/>
        <w:gridCol w:w="381"/>
        <w:gridCol w:w="109"/>
        <w:gridCol w:w="109"/>
        <w:gridCol w:w="109"/>
        <w:gridCol w:w="196"/>
        <w:gridCol w:w="421"/>
        <w:gridCol w:w="241"/>
        <w:gridCol w:w="109"/>
        <w:gridCol w:w="109"/>
        <w:gridCol w:w="109"/>
        <w:gridCol w:w="474"/>
        <w:gridCol w:w="803"/>
        <w:gridCol w:w="704"/>
      </w:tblGrid>
      <w:tr>
        <w:trPr/>
        <w:tc>
          <w:tcPr>
            <w:tcW w:w="1487" w:type="dxa"/>
            <w:tcBorders/>
            <w:shd w:fill="auto" w:val="clear"/>
            <w:vAlign w:val="center"/>
          </w:tcPr>
          <w:p>
            <w:pPr>
              <w:pStyle w:val="TableContents"/>
              <w:spacing w:before="0" w:after="283"/>
              <w:rPr>
                <w:sz w:val="4"/>
                <w:szCs w:val="4"/>
              </w:rPr>
            </w:pPr>
            <w:r>
              <w:rPr>
                <w:sz w:val="4"/>
                <w:szCs w:val="4"/>
              </w:rPr>
            </w:r>
          </w:p>
        </w:tc>
        <w:tc>
          <w:tcPr>
            <w:tcW w:w="1302"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493" w:type="dxa"/>
            <w:gridSpan w:val="12"/>
            <w:tcBorders/>
            <w:shd w:fill="auto" w:val="clear"/>
          </w:tcPr>
          <w:p>
            <w:pPr>
              <w:pStyle w:val="TableContents"/>
              <w:spacing w:before="0" w:after="283"/>
              <w:rPr>
                <w:sz w:val="4"/>
                <w:szCs w:val="4"/>
              </w:rPr>
            </w:pPr>
            <w:r>
              <w:rPr>
                <w:sz w:val="4"/>
                <w:szCs w:val="4"/>
              </w:rPr>
            </w:r>
          </w:p>
        </w:tc>
      </w:tr>
      <w:tr>
        <w:trPr/>
        <w:tc>
          <w:tcPr>
            <w:tcW w:w="4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Favorable (Unfavorable)</w:t>
            </w:r>
          </w:p>
        </w:tc>
      </w:tr>
      <w:tr>
        <w:trPr/>
        <w:tc>
          <w:tcPr>
            <w:tcW w:w="4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366"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operating statistics)</w:t>
            </w:r>
          </w:p>
        </w:tc>
      </w:tr>
      <w:tr>
        <w:trPr/>
        <w:tc>
          <w:tcPr>
            <w:tcW w:w="4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7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Utility natural gas, fuel and purchased power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7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Operation and maintenance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7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7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other than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7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3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1" w:type="dxa"/>
            <w:gridSpan w:val="3"/>
            <w:tcBorders/>
            <w:shd w:fill="auto" w:val="clear"/>
            <w:vAlign w:val="center"/>
          </w:tcPr>
          <w:p>
            <w:pPr>
              <w:pStyle w:val="TableContents"/>
              <w:spacing w:before="0" w:after="283"/>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and other finance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3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7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3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81" w:type="dxa"/>
            <w:gridSpan w:val="3"/>
            <w:tcBorders/>
            <w:shd w:fill="auto" w:val="clear"/>
            <w:vAlign w:val="center"/>
          </w:tcPr>
          <w:p>
            <w:pPr>
              <w:pStyle w:val="TableContents"/>
              <w:spacing w:before="0" w:after="283"/>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70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7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Throughput (in GWh):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Weather (percentage of 10-year average for service area):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Cooling degree days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3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Heating degree days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3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Number of metered customers at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2,547,297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2,502,253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7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2,871,667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2,824,100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7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before="0" w:after="0"/>
        <w:ind w:left="0" w:right="0" w:firstLine="360"/>
        <w:jc w:val="both"/>
        <w:rPr/>
      </w:pPr>
      <w:r>
        <w:rPr/>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variance explanations for the three months ended March 31, 2023 compared to three months ended March 31, 2022 by major income statement caption for the Electric reportable segment:</w:t>
      </w:r>
    </w:p>
    <w:p>
      <w:pPr>
        <w:pStyle w:val="TextBody"/>
        <w:spacing w:before="0" w:after="0"/>
        <w:ind w:left="0" w:right="0" w:firstLine="360"/>
        <w:jc w:val="both"/>
        <w:rPr/>
      </w:pPr>
      <w:r>
        <w:rPr/>
      </w:r>
    </w:p>
    <w:tbl>
      <w:tblPr>
        <w:tblW w:w="10205" w:type="dxa"/>
        <w:jc w:val="left"/>
        <w:tblInd w:w="0" w:type="dxa"/>
        <w:tblCellMar>
          <w:top w:w="28" w:type="dxa"/>
          <w:left w:w="28" w:type="dxa"/>
          <w:bottom w:w="28" w:type="dxa"/>
          <w:right w:w="28" w:type="dxa"/>
        </w:tblCellMar>
      </w:tblPr>
      <w:tblGrid>
        <w:gridCol w:w="2906"/>
        <w:gridCol w:w="2510"/>
        <w:gridCol w:w="2540"/>
        <w:gridCol w:w="109"/>
        <w:gridCol w:w="109"/>
        <w:gridCol w:w="109"/>
        <w:gridCol w:w="498"/>
        <w:gridCol w:w="879"/>
        <w:gridCol w:w="278"/>
        <w:gridCol w:w="109"/>
        <w:gridCol w:w="158"/>
      </w:tblGrid>
      <w:tr>
        <w:trPr/>
        <w:tc>
          <w:tcPr>
            <w:tcW w:w="2906" w:type="dxa"/>
            <w:tcBorders/>
            <w:shd w:fill="auto" w:val="clear"/>
            <w:vAlign w:val="center"/>
          </w:tcPr>
          <w:p>
            <w:pPr>
              <w:pStyle w:val="TableContents"/>
              <w:spacing w:before="0" w:after="283"/>
              <w:rPr>
                <w:sz w:val="4"/>
                <w:szCs w:val="4"/>
              </w:rPr>
            </w:pPr>
            <w:r>
              <w:rPr>
                <w:sz w:val="4"/>
                <w:szCs w:val="4"/>
              </w:rPr>
            </w:r>
          </w:p>
        </w:tc>
        <w:tc>
          <w:tcPr>
            <w:tcW w:w="2510" w:type="dxa"/>
            <w:tcBorders/>
            <w:shd w:fill="auto" w:val="clear"/>
            <w:vAlign w:val="center"/>
          </w:tcPr>
          <w:p>
            <w:pPr>
              <w:pStyle w:val="TableContents"/>
              <w:spacing w:before="0" w:after="283"/>
              <w:rPr>
                <w:sz w:val="4"/>
                <w:szCs w:val="4"/>
              </w:rPr>
            </w:pPr>
            <w:r>
              <w:rPr>
                <w:sz w:val="4"/>
                <w:szCs w:val="4"/>
              </w:rPr>
            </w:r>
          </w:p>
        </w:tc>
        <w:tc>
          <w:tcPr>
            <w:tcW w:w="25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Favorable (Unfavorable)</w:t>
            </w:r>
          </w:p>
        </w:tc>
        <w:tc>
          <w:tcPr>
            <w:tcW w:w="267" w:type="dxa"/>
            <w:gridSpan w:val="2"/>
            <w:tcBorders/>
            <w:shd w:fill="auto" w:val="clear"/>
          </w:tcPr>
          <w:p>
            <w:pPr>
              <w:pStyle w:val="TableContents"/>
              <w:spacing w:before="0" w:after="283"/>
              <w:rPr>
                <w:sz w:val="4"/>
                <w:szCs w:val="4"/>
              </w:rPr>
            </w:pPr>
            <w:r>
              <w:rPr>
                <w:sz w:val="4"/>
                <w:szCs w:val="4"/>
              </w:rPr>
            </w:r>
          </w:p>
        </w:tc>
      </w:tr>
      <w:tr>
        <w:trPr/>
        <w:tc>
          <w:tcPr>
            <w:tcW w:w="79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267" w:type="dxa"/>
            <w:gridSpan w:val="2"/>
            <w:tcBorders/>
            <w:shd w:fill="auto" w:val="clear"/>
          </w:tcPr>
          <w:p>
            <w:pPr>
              <w:pStyle w:val="TableContents"/>
              <w:spacing w:before="0" w:after="283"/>
              <w:rPr>
                <w:sz w:val="4"/>
                <w:szCs w:val="4"/>
              </w:rPr>
            </w:pPr>
            <w:r>
              <w:rPr>
                <w:sz w:val="4"/>
                <w:szCs w:val="4"/>
              </w:rPr>
            </w:r>
          </w:p>
        </w:tc>
      </w:tr>
      <w:tr>
        <w:trPr/>
        <w:tc>
          <w:tcPr>
            <w:tcW w:w="79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hanging="180"/>
              <w:rPr>
                <w:sz w:val="4"/>
                <w:szCs w:val="4"/>
              </w:rPr>
            </w:pPr>
            <w:r>
              <w:rPr>
                <w:sz w:val="4"/>
                <w:szCs w:val="4"/>
              </w:rPr>
            </w:r>
          </w:p>
        </w:tc>
      </w:tr>
      <w:tr>
        <w:trPr/>
        <w:tc>
          <w:tcPr>
            <w:tcW w:w="79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 Revenues, including TCOS and TCRF, inclusive of costs billed by transmission providers, partially offset in operation and maintenance below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hanging="180"/>
              <w:rPr>
                <w:sz w:val="4"/>
                <w:szCs w:val="4"/>
              </w:rPr>
            </w:pPr>
            <w:r>
              <w:rPr>
                <w:sz w:val="4"/>
                <w:szCs w:val="4"/>
              </w:rPr>
            </w:r>
          </w:p>
        </w:tc>
      </w:tr>
      <w:tr>
        <w:trPr/>
        <w:tc>
          <w:tcPr>
            <w:tcW w:w="7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fuel and purchased power, offset in utility natural gas, fuel and purchased power below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growth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Miscellaneous revenues, including service connections and off-system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hanging="180"/>
              <w:rPr>
                <w:sz w:val="4"/>
                <w:szCs w:val="4"/>
              </w:rPr>
            </w:pPr>
            <w:r>
              <w:rPr>
                <w:sz w:val="4"/>
                <w:szCs w:val="4"/>
              </w:rPr>
            </w:r>
          </w:p>
        </w:tc>
      </w:tr>
      <w:tr>
        <w:trPr/>
        <w:tc>
          <w:tcPr>
            <w:tcW w:w="7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Bond Companies equity return, related to the annual true-up of transition charges for amounts over or under collected in prior periods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Weather, efficiency improvements and other usage impacts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Bond Companies, offset in other line items below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Utility natural gas, fuel and purchased power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purchased power, offset in revenues above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fuel, including coal, natural gas, and fuel oil, offset in revenues above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Operation and maintenance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other operation and maintenance expense, including materials and supplies and 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benefits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Support services, primarily information technology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 costs billed by transmission providers, offset in revenues above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Bond Companies, offset in other line items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Ongoing additions to plant-in-service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Taxes other than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fees and other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expense and other finance charges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outstanding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Bond Companies, offset in other line items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hanging="180"/>
              <w:rPr>
                <w:sz w:val="4"/>
                <w:szCs w:val="4"/>
              </w:rPr>
            </w:pPr>
            <w:r>
              <w:rPr>
                <w:sz w:val="4"/>
                <w:szCs w:val="4"/>
              </w:rPr>
            </w:r>
          </w:p>
        </w:tc>
      </w:tr>
      <w:tr>
        <w:trPr/>
        <w:tc>
          <w:tcPr>
            <w:tcW w:w="7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primarily AFUDC and impacts of regulatory deferrals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including AFUDC -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9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center"/>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 xml:space="preserve">Income Tax Expense. </w:t>
      </w:r>
      <w:r>
        <w:rPr>
          <w:rFonts w:ascii="Times New Roman;sans-serif" w:hAnsi="Times New Roman;sans-serif"/>
          <w:b w:val="false"/>
          <w:color w:val="000000"/>
          <w:sz w:val="20"/>
        </w:rPr>
        <w:t>For a discussion of effective tax rate per period by Registrant, see Note 12 to the Interim Condensed Financial Statements.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Natural Gas (CenterPoint Energy) </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factors that may affect the future results of operations of CenterPoint Energy’s Natural Gas reportable segment, please read “Risk Factors — Risk Factors Affecting Operations - Natural Gas,” “— Risk Factors Affecting Regulatory, Environmental and Legal Risks,” “— Risk Factors Affecting Financial, Economic and Market Risks,” “— Risk Factors Affecting Safety and Security Risks” and “— General and Other Risks” in Item 1A of Part I of the Registrants’ combined 2022 Form 10-K.</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summary data of CenterPoint Energy’s Natural Gas reportable segment:</w:t>
      </w:r>
    </w:p>
    <w:p>
      <w:pPr>
        <w:pStyle w:val="TextBody"/>
        <w:spacing w:before="0" w:after="0"/>
        <w:ind w:left="0" w:right="0" w:firstLine="360"/>
        <w:jc w:val="both"/>
        <w:rPr/>
      </w:pPr>
      <w:r>
        <w:rPr/>
      </w:r>
    </w:p>
    <w:tbl>
      <w:tblPr>
        <w:tblW w:w="10205" w:type="dxa"/>
        <w:jc w:val="left"/>
        <w:tblInd w:w="0" w:type="dxa"/>
        <w:tblCellMar>
          <w:top w:w="28" w:type="dxa"/>
          <w:left w:w="28" w:type="dxa"/>
          <w:bottom w:w="28" w:type="dxa"/>
          <w:right w:w="28" w:type="dxa"/>
        </w:tblCellMar>
      </w:tblPr>
      <w:tblGrid>
        <w:gridCol w:w="1459"/>
        <w:gridCol w:w="1273"/>
        <w:gridCol w:w="1286"/>
        <w:gridCol w:w="109"/>
        <w:gridCol w:w="109"/>
        <w:gridCol w:w="156"/>
        <w:gridCol w:w="156"/>
        <w:gridCol w:w="156"/>
        <w:gridCol w:w="156"/>
        <w:gridCol w:w="156"/>
        <w:gridCol w:w="156"/>
        <w:gridCol w:w="282"/>
        <w:gridCol w:w="801"/>
        <w:gridCol w:w="347"/>
        <w:gridCol w:w="109"/>
        <w:gridCol w:w="109"/>
        <w:gridCol w:w="109"/>
        <w:gridCol w:w="196"/>
        <w:gridCol w:w="556"/>
        <w:gridCol w:w="241"/>
        <w:gridCol w:w="109"/>
        <w:gridCol w:w="109"/>
        <w:gridCol w:w="109"/>
        <w:gridCol w:w="415"/>
        <w:gridCol w:w="925"/>
        <w:gridCol w:w="616"/>
      </w:tblGrid>
      <w:tr>
        <w:trPr/>
        <w:tc>
          <w:tcPr>
            <w:tcW w:w="1459"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4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603" w:type="dxa"/>
            <w:gridSpan w:val="12"/>
            <w:tcBorders/>
            <w:shd w:fill="auto" w:val="clear"/>
          </w:tcPr>
          <w:p>
            <w:pPr>
              <w:pStyle w:val="TableContents"/>
              <w:spacing w:before="0" w:after="283"/>
              <w:rPr>
                <w:sz w:val="4"/>
                <w:szCs w:val="4"/>
              </w:rPr>
            </w:pPr>
            <w:r>
              <w:rPr>
                <w:sz w:val="4"/>
                <w:szCs w:val="4"/>
              </w:rPr>
            </w:r>
          </w:p>
        </w:tc>
      </w:tr>
      <w:tr>
        <w:trPr/>
        <w:tc>
          <w:tcPr>
            <w:tcW w:w="4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Favorable (Unfavorable)</w:t>
            </w:r>
          </w:p>
        </w:tc>
      </w:tr>
      <w:tr>
        <w:trPr/>
        <w:tc>
          <w:tcPr>
            <w:tcW w:w="4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5501"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operating statistics)</w:t>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1,775 </w:t>
            </w:r>
          </w:p>
        </w:tc>
        <w:tc>
          <w:tcPr>
            <w:tcW w:w="3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Utility natural gas, fuel and purchased power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1,018 </w:t>
            </w:r>
          </w:p>
        </w:tc>
        <w:tc>
          <w:tcPr>
            <w:tcW w:w="3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Non-utility cost of revenues, including natural gas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3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Operation and maintenance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228 </w:t>
            </w:r>
          </w:p>
        </w:tc>
        <w:tc>
          <w:tcPr>
            <w:tcW w:w="3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3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6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other than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3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1,439 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and other finance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3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6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6" w:type="dxa"/>
            <w:gridSpan w:val="3"/>
            <w:tcBorders/>
            <w:shd w:fill="auto" w:val="clear"/>
            <w:vAlign w:val="center"/>
          </w:tcPr>
          <w:p>
            <w:pPr>
              <w:pStyle w:val="TableContents"/>
              <w:spacing w:before="0" w:after="283"/>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3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61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3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6" w:type="dxa"/>
            <w:gridSpan w:val="3"/>
            <w:tcBorders/>
            <w:shd w:fill="auto" w:val="clear"/>
            <w:vAlign w:val="center"/>
          </w:tcPr>
          <w:p>
            <w:pPr>
              <w:pStyle w:val="TableContents"/>
              <w:spacing w:before="0" w:after="283"/>
              <w:rPr>
                <w:sz w:val="4"/>
                <w:szCs w:val="4"/>
              </w:rPr>
            </w:pPr>
            <w:r>
              <w:rPr>
                <w:sz w:val="4"/>
                <w:szCs w:val="4"/>
              </w:rPr>
            </w:r>
          </w:p>
        </w:tc>
      </w:tr>
      <w:tr>
        <w:trPr/>
        <w:tc>
          <w:tcPr>
            <w:tcW w:w="40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6" w:type="dxa"/>
            <w:gridSpan w:val="3"/>
            <w:tcBorders/>
            <w:shd w:fill="auto" w:val="clear"/>
            <w:vAlign w:val="center"/>
          </w:tcPr>
          <w:p>
            <w:pPr>
              <w:pStyle w:val="TableContents"/>
              <w:spacing w:before="0" w:after="283"/>
              <w:rPr>
                <w:sz w:val="4"/>
                <w:szCs w:val="4"/>
              </w:rPr>
            </w:pPr>
            <w:r>
              <w:rPr>
                <w:sz w:val="4"/>
                <w:szCs w:val="4"/>
              </w:rPr>
            </w:r>
          </w:p>
        </w:tc>
      </w:tr>
      <w:tr>
        <w:trPr/>
        <w:tc>
          <w:tcPr>
            <w:tcW w:w="40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6" w:type="dxa"/>
            <w:gridSpan w:val="3"/>
            <w:tcBorders/>
            <w:shd w:fill="auto" w:val="clear"/>
            <w:vAlign w:val="center"/>
          </w:tcPr>
          <w:p>
            <w:pPr>
              <w:pStyle w:val="TableContents"/>
              <w:spacing w:before="0" w:after="283"/>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Throughput (in Bcf):</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and Industrial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Weather (percentage of 10-year average for service area):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Heating degree days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3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Number of metered customers at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3,973,454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3,926,192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and Industrial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302,634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297,270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4,276,088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4,223,462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before="0" w:after="0"/>
        <w:ind w:left="0" w:right="0" w:firstLine="360"/>
        <w:jc w:val="center"/>
        <w:rPr/>
      </w:pPr>
      <w:r>
        <w:rPr/>
      </w:r>
    </w:p>
    <w:p>
      <w:pPr>
        <w:pStyle w:val="TextBody"/>
        <w:spacing w:before="0" w:after="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variance explanations for the three months ended March 31, 2023 compared to three months ended March 31, 2022 by major income statement caption for the Natural Gas reportable segment:</w:t>
      </w:r>
    </w:p>
    <w:tbl>
      <w:tblPr>
        <w:tblW w:w="9109" w:type="dxa"/>
        <w:jc w:val="left"/>
        <w:tblInd w:w="0" w:type="dxa"/>
        <w:tblCellMar>
          <w:top w:w="28" w:type="dxa"/>
          <w:left w:w="28" w:type="dxa"/>
          <w:bottom w:w="28" w:type="dxa"/>
          <w:right w:w="28" w:type="dxa"/>
        </w:tblCellMar>
      </w:tblPr>
      <w:tblGrid>
        <w:gridCol w:w="2378"/>
        <w:gridCol w:w="2088"/>
        <w:gridCol w:w="2118"/>
        <w:gridCol w:w="109"/>
        <w:gridCol w:w="109"/>
        <w:gridCol w:w="109"/>
        <w:gridCol w:w="510"/>
        <w:gridCol w:w="1139"/>
        <w:gridCol w:w="286"/>
        <w:gridCol w:w="109"/>
        <w:gridCol w:w="154"/>
      </w:tblGrid>
      <w:tr>
        <w:trPr/>
        <w:tc>
          <w:tcPr>
            <w:tcW w:w="2378" w:type="dxa"/>
            <w:tcBorders/>
            <w:shd w:fill="auto" w:val="clear"/>
            <w:vAlign w:val="center"/>
          </w:tcPr>
          <w:p>
            <w:pPr>
              <w:pStyle w:val="TableContents"/>
              <w:spacing w:before="0" w:after="283"/>
              <w:rPr>
                <w:sz w:val="4"/>
                <w:szCs w:val="4"/>
              </w:rPr>
            </w:pPr>
            <w:r>
              <w:rPr>
                <w:sz w:val="4"/>
                <w:szCs w:val="4"/>
              </w:rPr>
            </w:r>
          </w:p>
        </w:tc>
        <w:tc>
          <w:tcPr>
            <w:tcW w:w="2088" w:type="dxa"/>
            <w:tcBorders/>
            <w:shd w:fill="auto" w:val="clear"/>
            <w:vAlign w:val="center"/>
          </w:tcPr>
          <w:p>
            <w:pPr>
              <w:pStyle w:val="TableContents"/>
              <w:spacing w:before="0" w:after="283"/>
              <w:rPr>
                <w:sz w:val="4"/>
                <w:szCs w:val="4"/>
              </w:rPr>
            </w:pPr>
            <w:r>
              <w:rPr>
                <w:sz w:val="4"/>
                <w:szCs w:val="4"/>
              </w:rPr>
            </w:r>
          </w:p>
        </w:tc>
        <w:tc>
          <w:tcPr>
            <w:tcW w:w="2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Favorable (Unfavorable)</w:t>
            </w:r>
          </w:p>
        </w:tc>
        <w:tc>
          <w:tcPr>
            <w:tcW w:w="263" w:type="dxa"/>
            <w:gridSpan w:val="2"/>
            <w:tcBorders/>
            <w:shd w:fill="auto" w:val="clea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263" w:type="dxa"/>
            <w:gridSpan w:val="2"/>
            <w:tcBorders/>
            <w:shd w:fill="auto" w:val="clear"/>
          </w:tcPr>
          <w:p>
            <w:pPr>
              <w:pStyle w:val="TableContents"/>
              <w:spacing w:before="0" w:after="283"/>
              <w:rPr>
                <w:sz w:val="4"/>
                <w:szCs w:val="4"/>
              </w:rPr>
            </w:pPr>
            <w:r>
              <w:rPr>
                <w:sz w:val="4"/>
                <w:szCs w:val="4"/>
              </w:rPr>
            </w:r>
          </w:p>
        </w:tc>
      </w:tr>
      <w:tr>
        <w:trPr/>
        <w:tc>
          <w:tcPr>
            <w:tcW w:w="65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5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Nine days in January 2022 for Arkansas and Oklahoma Natural Gas businesses due to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Weather and usage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natural gas, offset in utility natural gas, fuel and purchased power below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receipts tax, offset in taxes other than income taxes below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offset in operation and maintenance below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Non-volumetric and miscellaneous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non-utility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growth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Pass-through revenues, offset in operation and maintenance below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rates and impact of the change in rate design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Utility natural gas, fuel and purchased power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Nine days in January 2022 for Arkansas and Oklahoma Natural Gas businesses due to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natural gas, offset in revenues above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Operation and maintenance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support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benefits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offset in revenues above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Miscellaneous operations and maintenance expense, including bad debt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Nine days in January 2022 for Arkansas and Oklahoma Natural Gas businesses due to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Pass-through expense, offset in revenues above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Incremental capital projects placed in service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Nine days in January 2022 for Arkansas and Oklahoma Natural Gas businesses due to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Taxes other than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receipts tax, offset in revenues above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Nine days in January 2022 for Arkansas and Oklahoma Natural Gas businesses due to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 on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gain on sale of Arkansas and Oklahoma Natural Gas businesses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outstanding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primarily AFUDC and impacts of regulatory deferrals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AFUDC - Equity, primarily from increased capital spend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 xml:space="preserve">Income Tax Expense. </w:t>
      </w:r>
      <w:r>
        <w:rPr>
          <w:rFonts w:ascii="Times New Roman;sans-serif" w:hAnsi="Times New Roman;sans-serif"/>
          <w:b w:val="false"/>
          <w:color w:val="000000"/>
          <w:sz w:val="20"/>
        </w:rPr>
        <w:t>For a discussion of effective tax rate per period by Registrant, see Note 12 to the Interim Condensed Financial Statements.</w:t>
      </w:r>
    </w:p>
    <w:p>
      <w:pPr>
        <w:pStyle w:val="TextBody"/>
        <w:spacing w:before="0" w:after="0"/>
        <w:ind w:left="0" w:right="0" w:firstLine="360"/>
        <w:jc w:val="both"/>
        <w:rPr/>
      </w:pPr>
      <w:r>
        <w:rPr/>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HOUSTON ELECTRIC’S MANAGEMENT’S NARRATIVE ANALYSIS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CONSOLIDATED RESULTS OF OPERATIONS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Houston Electric’s CODM views net income as the measure of profit or loss for its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please read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Item 1A of Part I of the Registrants’ combined 2022 Form 10-K.</w:t>
      </w:r>
    </w:p>
    <w:p>
      <w:pPr>
        <w:pStyle w:val="TextBody"/>
        <w:spacing w:before="0" w:after="0"/>
        <w:ind w:left="0" w:right="0" w:firstLine="360"/>
        <w:jc w:val="both"/>
        <w:rPr/>
      </w:pPr>
      <w:r>
        <w:rPr/>
      </w:r>
    </w:p>
    <w:tbl>
      <w:tblPr>
        <w:tblW w:w="10205" w:type="dxa"/>
        <w:jc w:val="left"/>
        <w:tblInd w:w="0" w:type="dxa"/>
        <w:tblCellMar>
          <w:top w:w="28" w:type="dxa"/>
          <w:left w:w="28" w:type="dxa"/>
          <w:bottom w:w="28" w:type="dxa"/>
          <w:right w:w="28" w:type="dxa"/>
        </w:tblCellMar>
      </w:tblPr>
      <w:tblGrid>
        <w:gridCol w:w="1505"/>
        <w:gridCol w:w="1313"/>
        <w:gridCol w:w="1325"/>
        <w:gridCol w:w="109"/>
        <w:gridCol w:w="109"/>
        <w:gridCol w:w="171"/>
        <w:gridCol w:w="171"/>
        <w:gridCol w:w="171"/>
        <w:gridCol w:w="171"/>
        <w:gridCol w:w="171"/>
        <w:gridCol w:w="171"/>
        <w:gridCol w:w="307"/>
        <w:gridCol w:w="661"/>
        <w:gridCol w:w="378"/>
        <w:gridCol w:w="109"/>
        <w:gridCol w:w="109"/>
        <w:gridCol w:w="109"/>
        <w:gridCol w:w="196"/>
        <w:gridCol w:w="421"/>
        <w:gridCol w:w="241"/>
        <w:gridCol w:w="109"/>
        <w:gridCol w:w="109"/>
        <w:gridCol w:w="109"/>
        <w:gridCol w:w="470"/>
        <w:gridCol w:w="795"/>
        <w:gridCol w:w="695"/>
      </w:tblGrid>
      <w:tr>
        <w:trPr/>
        <w:tc>
          <w:tcPr>
            <w:tcW w:w="1505"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r>
      <w:tr>
        <w:trPr/>
        <w:tc>
          <w:tcPr>
            <w:tcW w:w="4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472" w:type="dxa"/>
            <w:gridSpan w:val="12"/>
            <w:tcBorders/>
            <w:shd w:fill="auto" w:val="clear"/>
          </w:tcPr>
          <w:p>
            <w:pPr>
              <w:pStyle w:val="TableContents"/>
              <w:spacing w:before="0" w:after="283"/>
              <w:rPr>
                <w:sz w:val="4"/>
                <w:szCs w:val="4"/>
              </w:rPr>
            </w:pPr>
            <w:r>
              <w:rPr>
                <w:sz w:val="4"/>
                <w:szCs w:val="4"/>
              </w:rPr>
            </w:r>
          </w:p>
        </w:tc>
      </w:tr>
      <w:tr>
        <w:trPr/>
        <w:tc>
          <w:tcPr>
            <w:tcW w:w="4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Favorable (Unfavorable)</w:t>
            </w:r>
          </w:p>
        </w:tc>
      </w:tr>
      <w:tr>
        <w:trPr/>
        <w:tc>
          <w:tcPr>
            <w:tcW w:w="4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331"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operating statistics)</w:t>
            </w:r>
          </w:p>
        </w:tc>
      </w:tr>
      <w:tr>
        <w:trPr/>
        <w:tc>
          <w:tcPr>
            <w:tcW w:w="41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TDU</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760 </w:t>
            </w:r>
          </w:p>
        </w:tc>
        <w:tc>
          <w:tcPr>
            <w:tcW w:w="3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6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Bond Companies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3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6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Operation and maintenance, excluding Bond Companies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380 </w:t>
            </w:r>
          </w:p>
        </w:tc>
        <w:tc>
          <w:tcPr>
            <w:tcW w:w="3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69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excluding Bond Companies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3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6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other than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3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6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Bond Companies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3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6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and other finance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3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6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on Securitization Bonds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6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0" w:type="dxa"/>
            <w:gridSpan w:val="3"/>
            <w:tcBorders/>
            <w:shd w:fill="auto" w:val="clear"/>
            <w:vAlign w:val="center"/>
          </w:tcPr>
          <w:p>
            <w:pPr>
              <w:pStyle w:val="TableContents"/>
              <w:spacing w:before="0" w:after="283"/>
              <w:rPr>
                <w:sz w:val="4"/>
                <w:szCs w:val="4"/>
              </w:rPr>
            </w:pPr>
            <w:r>
              <w:rPr>
                <w:sz w:val="4"/>
                <w:szCs w:val="4"/>
              </w:rPr>
            </w:r>
          </w:p>
        </w:tc>
      </w:tr>
      <w:tr>
        <w:trPr/>
        <w:tc>
          <w:tcPr>
            <w:tcW w:w="41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0" w:type="dxa"/>
            <w:gridSpan w:val="3"/>
            <w:tcBorders/>
            <w:shd w:fill="auto" w:val="clear"/>
            <w:vAlign w:val="center"/>
          </w:tcPr>
          <w:p>
            <w:pPr>
              <w:pStyle w:val="TableContents"/>
              <w:spacing w:before="0" w:after="283"/>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3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69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3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6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Throughput (in GWh):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6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1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695"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1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Weather (percentage of 10-year average for service area):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Cooling degree days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3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6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1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Heating degree days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3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6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1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Number of metered customers at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2,414,905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2,370,818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6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1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2,720,041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2,673,393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6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variance explanations for the three months ended March 31, 2023 compared to three months ended March 31, 2022 by major income statement caption for Houston Electric:</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2808"/>
        <w:gridCol w:w="2454"/>
        <w:gridCol w:w="2483"/>
        <w:gridCol w:w="109"/>
        <w:gridCol w:w="109"/>
        <w:gridCol w:w="109"/>
        <w:gridCol w:w="562"/>
        <w:gridCol w:w="991"/>
        <w:gridCol w:w="313"/>
        <w:gridCol w:w="109"/>
        <w:gridCol w:w="158"/>
      </w:tblGrid>
      <w:tr>
        <w:trPr/>
        <w:tc>
          <w:tcPr>
            <w:tcW w:w="2808"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2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Favorable (Unfavorable)</w:t>
            </w:r>
          </w:p>
        </w:tc>
        <w:tc>
          <w:tcPr>
            <w:tcW w:w="267" w:type="dxa"/>
            <w:gridSpan w:val="2"/>
            <w:tcBorders/>
            <w:shd w:fill="auto" w:val="clea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267" w:type="dxa"/>
            <w:gridSpan w:val="2"/>
            <w:tcBorders/>
            <w:shd w:fill="auto" w:val="clear"/>
          </w:tcPr>
          <w:p>
            <w:pPr>
              <w:pStyle w:val="TableContents"/>
              <w:spacing w:before="0" w:after="283"/>
              <w:rPr>
                <w:sz w:val="4"/>
                <w:szCs w:val="4"/>
              </w:rPr>
            </w:pPr>
            <w:r>
              <w:rPr>
                <w:sz w:val="4"/>
                <w:szCs w:val="4"/>
              </w:rPr>
            </w:r>
          </w:p>
        </w:tc>
      </w:tr>
      <w:tr>
        <w:trPr/>
        <w:tc>
          <w:tcPr>
            <w:tcW w:w="77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hanging="180"/>
              <w:rPr>
                <w:sz w:val="4"/>
                <w:szCs w:val="4"/>
              </w:rPr>
            </w:pPr>
            <w:r>
              <w:rPr>
                <w:sz w:val="4"/>
                <w:szCs w:val="4"/>
              </w:rPr>
            </w:r>
          </w:p>
        </w:tc>
      </w:tr>
      <w:tr>
        <w:trPr/>
        <w:tc>
          <w:tcPr>
            <w:tcW w:w="77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 Revenues, including TCOS and TCRF, inclusive of costs billed by transmission providers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growth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hanging="180"/>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return, related to the annual true-up of transition charges for amounts over or under collected in prior periods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Weather impacts and other usage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Bond Companies, offset in other line items below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Operation and maintenance, excluding Bond Companies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other operation and maintenance expense, including materials and supplies and insurance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benefits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Support services, primarily information technology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 costs billed by transmission providers, offset in revenues above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 and amortization, excluding Bond Companies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Ongoing additions to plant-in-service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Taxes other than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fees and other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Bond Companies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Operations and maintenance and depreciation expense, offset in revenues above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outstanding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hanging="180"/>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primarily AFUDC, impacts of regulatory deferrals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expense on Securitization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Lower outstanding principal balance, offset in revenues above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including AFUDC -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 xml:space="preserve">Income Tax Expense. </w:t>
      </w:r>
      <w:r>
        <w:rPr>
          <w:rFonts w:ascii="Times New Roman;sans-serif" w:hAnsi="Times New Roman;sans-serif"/>
          <w:b w:val="false"/>
          <w:color w:val="000000"/>
          <w:sz w:val="20"/>
        </w:rPr>
        <w:t>For a discussion of effective tax rate per period, see Note 12 to the Interim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CERC’S MANAGEMENT’S NARRATIVE ANALYSIS OF CONSOLIDATED RESULTS OF OPERATIONS</w:t>
      </w:r>
    </w:p>
    <w:p>
      <w:pPr>
        <w:pStyle w:val="TextBody"/>
        <w:spacing w:before="0" w:after="0"/>
        <w:jc w:val="center"/>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CERC’s CODM views net income as the measure of profit or loss for its single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As a result of the Restructuring further discussed in Note 1 to the Interim Condensed Financial Statements, prior year amounts have been recast. For more information regarding factors that may affect the future results of operations for CERC’s business, please read “Risk Factors — Risk Factors Affecting Operations - Natural Gas,” “— Risk Factors Affecting Regulatory, Environmental and Legal Risks,” “— Risk Factors Affecting Financial, Economic and Market Risks,” “— Risk Factors Affecting Safety and Security Risks” and “— General and Other Risks” in Item 1A of Part I of the Registrants’ combined 2022 Form 10-K.</w:t>
      </w:r>
    </w:p>
    <w:p>
      <w:pPr>
        <w:pStyle w:val="TextBody"/>
        <w:spacing w:before="0" w:after="0"/>
        <w:ind w:left="0" w:right="0" w:firstLine="360"/>
        <w:jc w:val="both"/>
        <w:rPr/>
      </w:pPr>
      <w:r>
        <w:rPr/>
      </w:r>
    </w:p>
    <w:tbl>
      <w:tblPr>
        <w:tblW w:w="10205" w:type="dxa"/>
        <w:jc w:val="left"/>
        <w:tblInd w:w="0" w:type="dxa"/>
        <w:tblCellMar>
          <w:top w:w="28" w:type="dxa"/>
          <w:left w:w="28" w:type="dxa"/>
          <w:bottom w:w="28" w:type="dxa"/>
          <w:right w:w="28" w:type="dxa"/>
        </w:tblCellMar>
      </w:tblPr>
      <w:tblGrid>
        <w:gridCol w:w="1459"/>
        <w:gridCol w:w="1273"/>
        <w:gridCol w:w="1286"/>
        <w:gridCol w:w="109"/>
        <w:gridCol w:w="109"/>
        <w:gridCol w:w="156"/>
        <w:gridCol w:w="156"/>
        <w:gridCol w:w="156"/>
        <w:gridCol w:w="156"/>
        <w:gridCol w:w="156"/>
        <w:gridCol w:w="156"/>
        <w:gridCol w:w="282"/>
        <w:gridCol w:w="801"/>
        <w:gridCol w:w="347"/>
        <w:gridCol w:w="109"/>
        <w:gridCol w:w="109"/>
        <w:gridCol w:w="109"/>
        <w:gridCol w:w="196"/>
        <w:gridCol w:w="556"/>
        <w:gridCol w:w="241"/>
        <w:gridCol w:w="109"/>
        <w:gridCol w:w="109"/>
        <w:gridCol w:w="109"/>
        <w:gridCol w:w="415"/>
        <w:gridCol w:w="925"/>
        <w:gridCol w:w="616"/>
      </w:tblGrid>
      <w:tr>
        <w:trPr/>
        <w:tc>
          <w:tcPr>
            <w:tcW w:w="1459"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4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603" w:type="dxa"/>
            <w:gridSpan w:val="12"/>
            <w:tcBorders/>
            <w:shd w:fill="auto" w:val="clear"/>
          </w:tcPr>
          <w:p>
            <w:pPr>
              <w:pStyle w:val="TableContents"/>
              <w:spacing w:before="0" w:after="283"/>
              <w:rPr>
                <w:sz w:val="4"/>
                <w:szCs w:val="4"/>
              </w:rPr>
            </w:pPr>
            <w:r>
              <w:rPr>
                <w:sz w:val="4"/>
                <w:szCs w:val="4"/>
              </w:rPr>
            </w:r>
          </w:p>
        </w:tc>
      </w:tr>
      <w:tr>
        <w:trPr/>
        <w:tc>
          <w:tcPr>
            <w:tcW w:w="4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Favorable (Unfavorable)</w:t>
            </w:r>
          </w:p>
        </w:tc>
      </w:tr>
      <w:tr>
        <w:trPr/>
        <w:tc>
          <w:tcPr>
            <w:tcW w:w="4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5501"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operating statistics)</w:t>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1,717 </w:t>
            </w:r>
          </w:p>
        </w:tc>
        <w:tc>
          <w:tcPr>
            <w:tcW w:w="3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Utility natural gas, fuel and purchased power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998 </w:t>
            </w:r>
          </w:p>
        </w:tc>
        <w:tc>
          <w:tcPr>
            <w:tcW w:w="3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Non-utility cost of revenues, including natural gas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3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Operation and maintenance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3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3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6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other than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3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1,404 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and other finance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6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6" w:type="dxa"/>
            <w:gridSpan w:val="3"/>
            <w:tcBorders/>
            <w:shd w:fill="auto" w:val="clear"/>
            <w:vAlign w:val="center"/>
          </w:tcPr>
          <w:p>
            <w:pPr>
              <w:pStyle w:val="TableContents"/>
              <w:spacing w:before="0" w:after="283"/>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3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61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 expense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3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6" w:type="dxa"/>
            <w:gridSpan w:val="3"/>
            <w:tcBorders/>
            <w:shd w:fill="auto" w:val="clear"/>
            <w:vAlign w:val="center"/>
          </w:tcPr>
          <w:p>
            <w:pPr>
              <w:pStyle w:val="TableContents"/>
              <w:spacing w:before="0" w:after="283"/>
              <w:rPr>
                <w:sz w:val="4"/>
                <w:szCs w:val="4"/>
              </w:rPr>
            </w:pPr>
            <w:r>
              <w:rPr>
                <w:sz w:val="4"/>
                <w:szCs w:val="4"/>
              </w:rPr>
            </w:r>
          </w:p>
        </w:tc>
      </w:tr>
      <w:tr>
        <w:trPr/>
        <w:tc>
          <w:tcPr>
            <w:tcW w:w="40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4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6" w:type="dxa"/>
            <w:gridSpan w:val="3"/>
            <w:tcBorders/>
            <w:shd w:fill="auto" w:val="clear"/>
            <w:vAlign w:val="center"/>
          </w:tcPr>
          <w:p>
            <w:pPr>
              <w:pStyle w:val="TableContents"/>
              <w:spacing w:before="0" w:after="283"/>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Throughput (in Bcf):</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and Industrial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Weather (percentage of 10-year average for service area):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Heating degree days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3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Number of metered customers at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3,869,044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3,822,000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0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and Industrial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292,014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286,626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40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4,161,058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4,108,626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before="0" w:after="0"/>
        <w:ind w:left="0" w:right="0" w:firstLine="360"/>
        <w:jc w:val="both"/>
        <w:rPr/>
      </w:pPr>
      <w:r>
        <w:rPr/>
      </w:r>
    </w:p>
    <w:p>
      <w:pPr>
        <w:pStyle w:val="TextBody"/>
        <w:spacing w:before="0" w:after="0"/>
        <w:jc w:val="both"/>
        <w:rPr/>
      </w:pPr>
      <w:r>
        <w:rPr/>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variance explanations for the three months ended March 31, 2023 compared to three months ended March 31, 2022 by major income statement caption for CERC:</w:t>
      </w:r>
    </w:p>
    <w:tbl>
      <w:tblPr>
        <w:tblW w:w="9109" w:type="dxa"/>
        <w:jc w:val="left"/>
        <w:tblInd w:w="0" w:type="dxa"/>
        <w:tblCellMar>
          <w:top w:w="28" w:type="dxa"/>
          <w:left w:w="28" w:type="dxa"/>
          <w:bottom w:w="28" w:type="dxa"/>
          <w:right w:w="28" w:type="dxa"/>
        </w:tblCellMar>
      </w:tblPr>
      <w:tblGrid>
        <w:gridCol w:w="2378"/>
        <w:gridCol w:w="2088"/>
        <w:gridCol w:w="2118"/>
        <w:gridCol w:w="109"/>
        <w:gridCol w:w="109"/>
        <w:gridCol w:w="109"/>
        <w:gridCol w:w="510"/>
        <w:gridCol w:w="1139"/>
        <w:gridCol w:w="286"/>
        <w:gridCol w:w="109"/>
        <w:gridCol w:w="154"/>
      </w:tblGrid>
      <w:tr>
        <w:trPr/>
        <w:tc>
          <w:tcPr>
            <w:tcW w:w="2378" w:type="dxa"/>
            <w:tcBorders/>
            <w:shd w:fill="auto" w:val="clear"/>
            <w:vAlign w:val="center"/>
          </w:tcPr>
          <w:p>
            <w:pPr>
              <w:pStyle w:val="TableContents"/>
              <w:spacing w:before="0" w:after="283"/>
              <w:rPr>
                <w:sz w:val="4"/>
                <w:szCs w:val="4"/>
              </w:rPr>
            </w:pPr>
            <w:r>
              <w:rPr>
                <w:sz w:val="4"/>
                <w:szCs w:val="4"/>
              </w:rPr>
            </w:r>
          </w:p>
        </w:tc>
        <w:tc>
          <w:tcPr>
            <w:tcW w:w="2088" w:type="dxa"/>
            <w:tcBorders/>
            <w:shd w:fill="auto" w:val="clear"/>
            <w:vAlign w:val="center"/>
          </w:tcPr>
          <w:p>
            <w:pPr>
              <w:pStyle w:val="TableContents"/>
              <w:spacing w:before="0" w:after="283"/>
              <w:rPr>
                <w:sz w:val="4"/>
                <w:szCs w:val="4"/>
              </w:rPr>
            </w:pPr>
            <w:r>
              <w:rPr>
                <w:sz w:val="4"/>
                <w:szCs w:val="4"/>
              </w:rPr>
            </w:r>
          </w:p>
        </w:tc>
        <w:tc>
          <w:tcPr>
            <w:tcW w:w="2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Favorable (Unfavorable)</w:t>
            </w:r>
          </w:p>
        </w:tc>
        <w:tc>
          <w:tcPr>
            <w:tcW w:w="263" w:type="dxa"/>
            <w:gridSpan w:val="2"/>
            <w:tcBorders/>
            <w:shd w:fill="auto" w:val="clea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263" w:type="dxa"/>
            <w:gridSpan w:val="2"/>
            <w:tcBorders/>
            <w:shd w:fill="auto" w:val="clear"/>
          </w:tcPr>
          <w:p>
            <w:pPr>
              <w:pStyle w:val="TableContents"/>
              <w:spacing w:before="0" w:after="283"/>
              <w:rPr>
                <w:sz w:val="4"/>
                <w:szCs w:val="4"/>
              </w:rPr>
            </w:pPr>
            <w:r>
              <w:rPr>
                <w:sz w:val="4"/>
                <w:szCs w:val="4"/>
              </w:rPr>
            </w:r>
          </w:p>
        </w:tc>
      </w:tr>
      <w:tr>
        <w:trPr/>
        <w:tc>
          <w:tcPr>
            <w:tcW w:w="65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5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Nine days in January 2022 for Arkansas and Oklahoma Natural Gas businesses due to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Weather and usage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natural gas, offset in utility natural gas, fuel and purchased power below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receipts tax, offset in taxes other than income taxes below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offset in operation and maintenance below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Non-volumetric and miscellaneous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non-utility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Pass-through revenues, offset in operation and maintenance below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growth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rates and impact of the change in rate design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Utility natural gas, fuel and purchased power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Nine days in January 2022 for Arkansas and Oklahoma Natural Gas businesses due to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natural gas, offset in revenues above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Operation and maintenance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support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benefits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Energy efficiency, offset in revenues above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Nine days in January 2022 for Arkansas and Oklahoma Natural Gas businesses due to sale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Miscellaneous operations and maintenance expense, including bad debt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Pass-through expense, offset in revenues above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Incremental capital projects placed in service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Nine days in January 2022 for Arkansas and Oklahoma Natural Gas businesses due to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Taxes other than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receipts tax, offset in revenues above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Nine days in January 2022 for Arkansas and Oklahoma Natural Gas businesses due to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 on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gain on sale of Arkansas and Oklahoma Natural Gas businesses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outstanding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primarily AFUDC and impacts of regulatory deferrals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AFUDC - Equity, primarily from increased capital spend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i/>
          <w:color w:val="000000"/>
          <w:sz w:val="20"/>
        </w:rPr>
        <w:t xml:space="preserve">Income Tax Expense. </w:t>
      </w:r>
      <w:r>
        <w:rPr>
          <w:rFonts w:ascii="Times New Roman;sans-serif" w:hAnsi="Times New Roman;sans-serif"/>
          <w:b w:val="false"/>
          <w:color w:val="000000"/>
          <w:sz w:val="20"/>
        </w:rPr>
        <w:t>For a discussion of effective tax rate per period, see Note 12 to the Interim Condensed Financial Statements.</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CERTAIN FACTORS AFFECTING FUTURE EARNINGS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on other developments, factors and trends that may have an impact on the Registrants’ future earnings, please read “Management’s Discussion and Analysis of Financial Condition and Results of Operations — Certain Factors Affecting Future Earnings” in Item 7 of Part II and “Risk Factors” in Item 1A of Part I of the Registrants’ combined 2022 Form 10-K, in Item 1A of Part II of this combined Form 10-Q and “Cautionary Statement Regarding Forward-Looking Information” in this combined Form 10-Q.</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Historical Cash Flows </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Restructuring further discussed in Note 1 to the Interim Condensed Financial Statements, prior year amounts for CERC have been recast. The following table summarizes the net cash provided by (used in) operating, investing and financing activities during the three months ended March 31, 2023 and 2022: </w:t>
      </w:r>
    </w:p>
    <w:tbl>
      <w:tblPr>
        <w:tblW w:w="10205" w:type="dxa"/>
        <w:jc w:val="left"/>
        <w:tblInd w:w="0" w:type="dxa"/>
        <w:tblCellMar>
          <w:top w:w="28" w:type="dxa"/>
          <w:left w:w="28" w:type="dxa"/>
          <w:bottom w:w="28" w:type="dxa"/>
          <w:right w:w="28" w:type="dxa"/>
        </w:tblCellMar>
      </w:tblPr>
      <w:tblGrid>
        <w:gridCol w:w="695"/>
        <w:gridCol w:w="582"/>
        <w:gridCol w:w="586"/>
        <w:gridCol w:w="305"/>
        <w:gridCol w:w="894"/>
        <w:gridCol w:w="158"/>
        <w:gridCol w:w="109"/>
        <w:gridCol w:w="109"/>
        <w:gridCol w:w="109"/>
        <w:gridCol w:w="342"/>
        <w:gridCol w:w="586"/>
        <w:gridCol w:w="177"/>
        <w:gridCol w:w="109"/>
        <w:gridCol w:w="109"/>
        <w:gridCol w:w="109"/>
        <w:gridCol w:w="211"/>
        <w:gridCol w:w="616"/>
        <w:gridCol w:w="109"/>
        <w:gridCol w:w="109"/>
        <w:gridCol w:w="109"/>
        <w:gridCol w:w="109"/>
        <w:gridCol w:w="364"/>
        <w:gridCol w:w="804"/>
        <w:gridCol w:w="188"/>
        <w:gridCol w:w="109"/>
        <w:gridCol w:w="109"/>
        <w:gridCol w:w="109"/>
        <w:gridCol w:w="342"/>
        <w:gridCol w:w="586"/>
        <w:gridCol w:w="177"/>
        <w:gridCol w:w="109"/>
        <w:gridCol w:w="109"/>
        <w:gridCol w:w="109"/>
        <w:gridCol w:w="213"/>
        <w:gridCol w:w="471"/>
        <w:gridCol w:w="164"/>
      </w:tblGrid>
      <w:tr>
        <w:trPr/>
        <w:tc>
          <w:tcPr>
            <w:tcW w:w="695"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342"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5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6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1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2"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w:t>
            </w:r>
          </w:p>
        </w:tc>
        <w:tc>
          <w:tcPr>
            <w:tcW w:w="1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color w:val="000000"/>
          <w:sz w:val="20"/>
        </w:rPr>
        <w:t xml:space="preserve">Operating Activities. </w:t>
      </w:r>
      <w:r>
        <w:rPr>
          <w:rFonts w:ascii="Times New Roman;sans-serif" w:hAnsi="Times New Roman;sans-serif"/>
          <w:b w:val="false"/>
          <w:color w:val="000000"/>
          <w:sz w:val="20"/>
        </w:rPr>
        <w:t xml:space="preserve">The following items contributed to increased (decreased) net cash provided by operating activities for the three months ended March 31, 2023 compared to the three months ended March 31, 2022: </w:t>
      </w:r>
    </w:p>
    <w:tbl>
      <w:tblPr>
        <w:tblW w:w="8641" w:type="dxa"/>
        <w:jc w:val="left"/>
        <w:tblInd w:w="0" w:type="dxa"/>
        <w:tblCellMar>
          <w:top w:w="28" w:type="dxa"/>
          <w:left w:w="28" w:type="dxa"/>
          <w:bottom w:w="28" w:type="dxa"/>
          <w:right w:w="28" w:type="dxa"/>
        </w:tblCellMar>
      </w:tblPr>
      <w:tblGrid>
        <w:gridCol w:w="1712"/>
        <w:gridCol w:w="1504"/>
        <w:gridCol w:w="1509"/>
        <w:gridCol w:w="351"/>
        <w:gridCol w:w="1027"/>
        <w:gridCol w:w="182"/>
        <w:gridCol w:w="109"/>
        <w:gridCol w:w="109"/>
        <w:gridCol w:w="109"/>
        <w:gridCol w:w="223"/>
        <w:gridCol w:w="382"/>
        <w:gridCol w:w="116"/>
        <w:gridCol w:w="109"/>
        <w:gridCol w:w="109"/>
        <w:gridCol w:w="109"/>
        <w:gridCol w:w="211"/>
        <w:gridCol w:w="616"/>
        <w:gridCol w:w="154"/>
      </w:tblGrid>
      <w:tr>
        <w:trPr/>
        <w:tc>
          <w:tcPr>
            <w:tcW w:w="1712" w:type="dxa"/>
            <w:tcBorders/>
            <w:shd w:fill="auto" w:val="clear"/>
            <w:vAlign w:val="center"/>
          </w:tcPr>
          <w:p>
            <w:pPr>
              <w:pStyle w:val="TableContents"/>
              <w:spacing w:before="0" w:after="283"/>
              <w:rPr>
                <w:sz w:val="4"/>
                <w:szCs w:val="4"/>
              </w:rPr>
            </w:pPr>
            <w:r>
              <w:rPr>
                <w:sz w:val="4"/>
                <w:szCs w:val="4"/>
              </w:rPr>
            </w:r>
          </w:p>
        </w:tc>
        <w:tc>
          <w:tcPr>
            <w:tcW w:w="1504"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w:t>
              <w:br/>
              <w:t> Electric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4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income after adjusting for non-cash items</w:t>
            </w:r>
          </w:p>
        </w:tc>
        <w:tc>
          <w:tcPr>
            <w:tcW w:w="3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w:t>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Change in net regulatory assets and liabilities </w:t>
            </w:r>
            <w:r>
              <w:rPr>
                <w:rFonts w:ascii="Times New Roman;sans-serif" w:hAnsi="Times New Roman;sans-serif"/>
                <w:b w:val="false"/>
                <w:color w:val="000000"/>
                <w:sz w:val="16"/>
              </w:rPr>
              <w:t>(1)</w:t>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725"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(1)This change is primarily related to the receipt of the Texas securitization proceeds at CenterPoint Energy and CERC. For further details, see Note 6 to the Interim Condensed Financial Statements.</w:t>
      </w:r>
    </w:p>
    <w:p>
      <w:pPr>
        <w:pStyle w:val="TextBody"/>
        <w:spacing w:before="0" w:after="0"/>
        <w:ind w:left="0" w:right="0" w:firstLine="720"/>
        <w:jc w:val="both"/>
        <w:rPr/>
      </w:pPr>
      <w:r>
        <w:rPr/>
      </w:r>
    </w:p>
    <w:p>
      <w:pPr>
        <w:pStyle w:val="TextBody"/>
        <w:spacing w:lineRule="auto" w:line="288" w:before="0" w:after="0"/>
        <w:ind w:left="0" w:right="0" w:firstLine="360"/>
        <w:jc w:val="both"/>
        <w:rPr/>
      </w:pPr>
      <w:r>
        <w:rPr>
          <w:rFonts w:ascii="Times New Roman;sans-serif" w:hAnsi="Times New Roman;sans-serif"/>
          <w:b/>
          <w:color w:val="000000"/>
          <w:sz w:val="20"/>
        </w:rPr>
        <w:t>Investing Activities.</w:t>
      </w:r>
      <w:r>
        <w:rPr>
          <w:color w:val="000000"/>
        </w:rPr>
        <w:t xml:space="preserve"> </w:t>
      </w:r>
      <w:r>
        <w:rPr>
          <w:rFonts w:ascii="Times New Roman;sans-serif" w:hAnsi="Times New Roman;sans-serif"/>
          <w:b w:val="false"/>
          <w:color w:val="000000"/>
          <w:sz w:val="20"/>
        </w:rPr>
        <w:t xml:space="preserve">The following items contributed to (increased) decreased net cash used in investing activities for the three months ended March 31, 2023 compared to the three months ended March 31, 2022: </w:t>
      </w:r>
    </w:p>
    <w:tbl>
      <w:tblPr>
        <w:tblW w:w="8749" w:type="dxa"/>
        <w:jc w:val="center"/>
        <w:tblInd w:w="0" w:type="dxa"/>
        <w:tblCellMar>
          <w:top w:w="28" w:type="dxa"/>
          <w:left w:w="28" w:type="dxa"/>
          <w:bottom w:w="28" w:type="dxa"/>
          <w:right w:w="28" w:type="dxa"/>
        </w:tblCellMar>
      </w:tblPr>
      <w:tblGrid>
        <w:gridCol w:w="1712"/>
        <w:gridCol w:w="1503"/>
        <w:gridCol w:w="1509"/>
        <w:gridCol w:w="325"/>
        <w:gridCol w:w="1066"/>
        <w:gridCol w:w="168"/>
        <w:gridCol w:w="109"/>
        <w:gridCol w:w="109"/>
        <w:gridCol w:w="109"/>
        <w:gridCol w:w="211"/>
        <w:gridCol w:w="436"/>
        <w:gridCol w:w="109"/>
        <w:gridCol w:w="109"/>
        <w:gridCol w:w="109"/>
        <w:gridCol w:w="109"/>
        <w:gridCol w:w="211"/>
        <w:gridCol w:w="691"/>
        <w:gridCol w:w="154"/>
      </w:tblGrid>
      <w:tr>
        <w:trPr/>
        <w:tc>
          <w:tcPr>
            <w:tcW w:w="1712"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w:t>
              <w:br/>
              <w:t> Electric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4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5"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equity securities</w:t>
            </w:r>
          </w:p>
        </w:tc>
        <w:tc>
          <w:tcPr>
            <w:tcW w:w="3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notes receivable from affiliated companies</w:t>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4724"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divestitures</w:t>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4724" w:type="dxa"/>
            <w:gridSpan w:val="3"/>
            <w:tcBorders/>
            <w:shd w:fill="auto" w:val="clear"/>
            <w:vAlign w:val="center"/>
          </w:tcPr>
          <w:p>
            <w:pPr>
              <w:pStyle w:val="TableContents"/>
              <w:spacing w:before="0" w:after="283"/>
              <w:rPr>
                <w:sz w:val="4"/>
                <w:szCs w:val="4"/>
              </w:rPr>
            </w:pPr>
            <w:r>
              <w:rPr>
                <w:sz w:val="4"/>
                <w:szCs w:val="4"/>
              </w:rPr>
            </w:r>
          </w:p>
        </w:tc>
        <w:tc>
          <w:tcPr>
            <w:tcW w:w="15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360"/>
        <w:jc w:val="both"/>
        <w:rPr/>
      </w:pPr>
      <w:r>
        <w:rPr>
          <w:rFonts w:ascii="Times New Roman;sans-serif" w:hAnsi="Times New Roman;sans-serif"/>
          <w:b/>
          <w:color w:val="000000"/>
          <w:sz w:val="20"/>
        </w:rPr>
        <w:t>Financing</w:t>
      </w:r>
      <w:r>
        <w:rPr>
          <w:color w:val="000000"/>
        </w:rPr>
        <w:t xml:space="preserve"> </w:t>
      </w:r>
      <w:r>
        <w:rPr>
          <w:rFonts w:ascii="Times New Roman;sans-serif" w:hAnsi="Times New Roman;sans-serif"/>
          <w:b/>
          <w:color w:val="000000"/>
          <w:sz w:val="20"/>
        </w:rPr>
        <w:t xml:space="preserve">Activities. </w:t>
      </w:r>
      <w:r>
        <w:rPr>
          <w:rFonts w:ascii="Times New Roman;sans-serif" w:hAnsi="Times New Roman;sans-serif"/>
          <w:b w:val="false"/>
          <w:color w:val="000000"/>
          <w:sz w:val="20"/>
        </w:rPr>
        <w:t xml:space="preserve">The following items contributed to (increased) decreased net cash used in financing activities for the three months ended March 31, 2023 compared to the three months ended March 31, 2022: </w:t>
      </w:r>
    </w:p>
    <w:tbl>
      <w:tblPr>
        <w:tblW w:w="10205" w:type="dxa"/>
        <w:jc w:val="center"/>
        <w:tblInd w:w="0" w:type="dxa"/>
        <w:tblCellMar>
          <w:top w:w="28" w:type="dxa"/>
          <w:left w:w="28" w:type="dxa"/>
          <w:bottom w:w="28" w:type="dxa"/>
          <w:right w:w="28" w:type="dxa"/>
        </w:tblCellMar>
      </w:tblPr>
      <w:tblGrid>
        <w:gridCol w:w="2293"/>
        <w:gridCol w:w="2005"/>
        <w:gridCol w:w="2010"/>
        <w:gridCol w:w="331"/>
        <w:gridCol w:w="970"/>
        <w:gridCol w:w="172"/>
        <w:gridCol w:w="109"/>
        <w:gridCol w:w="109"/>
        <w:gridCol w:w="109"/>
        <w:gridCol w:w="211"/>
        <w:gridCol w:w="466"/>
        <w:gridCol w:w="109"/>
        <w:gridCol w:w="109"/>
        <w:gridCol w:w="109"/>
        <w:gridCol w:w="109"/>
        <w:gridCol w:w="211"/>
        <w:gridCol w:w="616"/>
        <w:gridCol w:w="157"/>
      </w:tblGrid>
      <w:tr>
        <w:trPr/>
        <w:tc>
          <w:tcPr>
            <w:tcW w:w="2293" w:type="dxa"/>
            <w:tcBorders/>
            <w:shd w:fill="auto" w:val="clear"/>
            <w:vAlign w:val="center"/>
          </w:tcPr>
          <w:p>
            <w:pPr>
              <w:pStyle w:val="TableContents"/>
              <w:spacing w:before="0" w:after="283"/>
              <w:rPr>
                <w:sz w:val="4"/>
                <w:szCs w:val="4"/>
              </w:rPr>
            </w:pPr>
            <w:r>
              <w:rPr>
                <w:sz w:val="4"/>
                <w:szCs w:val="4"/>
              </w:rPr>
            </w:r>
          </w:p>
        </w:tc>
        <w:tc>
          <w:tcPr>
            <w:tcW w:w="2005" w:type="dxa"/>
            <w:tcBorders/>
            <w:shd w:fill="auto" w:val="clear"/>
            <w:vAlign w:val="center"/>
          </w:tcPr>
          <w:p>
            <w:pPr>
              <w:pStyle w:val="TableContents"/>
              <w:spacing w:before="0" w:after="283"/>
              <w:rPr>
                <w:sz w:val="4"/>
                <w:szCs w:val="4"/>
              </w:rPr>
            </w:pPr>
            <w:r>
              <w:rPr>
                <w:sz w:val="4"/>
                <w:szCs w:val="4"/>
              </w:rPr>
            </w:r>
          </w:p>
        </w:tc>
        <w:tc>
          <w:tcPr>
            <w:tcW w:w="201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w:t>
              <w:br/>
              <w:t> Electric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6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commercial paper outstanding</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8"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6308"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6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long-term debt and term loans outstanding, excluding commercial paper</w:t>
            </w:r>
          </w:p>
        </w:tc>
        <w:tc>
          <w:tcPr>
            <w:tcW w:w="13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8"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6308"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6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debt issuance costs</w:t>
            </w:r>
          </w:p>
        </w:tc>
        <w:tc>
          <w:tcPr>
            <w:tcW w:w="13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short-term borrowings</w:t>
            </w:r>
          </w:p>
        </w:tc>
        <w:tc>
          <w:tcPr>
            <w:tcW w:w="13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government grants</w:t>
            </w:r>
          </w:p>
        </w:tc>
        <w:tc>
          <w:tcPr>
            <w:tcW w:w="13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obligation for finance lease</w:t>
            </w:r>
          </w:p>
        </w:tc>
        <w:tc>
          <w:tcPr>
            <w:tcW w:w="13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 payment of common stock dividends</w:t>
            </w:r>
          </w:p>
        </w:tc>
        <w:tc>
          <w:tcPr>
            <w:tcW w:w="13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8"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6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notes payable from affiliated companies</w:t>
            </w:r>
          </w:p>
        </w:tc>
        <w:tc>
          <w:tcPr>
            <w:tcW w:w="13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from parent</w:t>
            </w:r>
          </w:p>
        </w:tc>
        <w:tc>
          <w:tcPr>
            <w:tcW w:w="13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to parent</w:t>
            </w:r>
          </w:p>
        </w:tc>
        <w:tc>
          <w:tcPr>
            <w:tcW w:w="13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8"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6308"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4" w:type="dxa"/>
            <w:gridSpan w:val="3"/>
            <w:tcBorders/>
            <w:shd w:fill="auto" w:val="clear"/>
            <w:vAlign w:val="center"/>
          </w:tcPr>
          <w:p>
            <w:pPr>
              <w:pStyle w:val="TableContents"/>
              <w:spacing w:before="0" w:after="283"/>
              <w:rPr>
                <w:sz w:val="4"/>
                <w:szCs w:val="4"/>
              </w:rPr>
            </w:pPr>
            <w:r>
              <w:rPr>
                <w:sz w:val="4"/>
                <w:szCs w:val="4"/>
              </w:rPr>
            </w:r>
          </w:p>
        </w:tc>
      </w:tr>
      <w:tr>
        <w:trPr/>
        <w:tc>
          <w:tcPr>
            <w:tcW w:w="6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3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Future Sources and Uses of Cash </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liquidity and capital requirements of the Registrants are affected primarily by results of operations, capital expenditures, debt service requirements, tax payments, working capital needs and various regulatory actions. Capital expenditures are expected to be used for investment in infrastructure. These capital expenditures are anticipated to maintain reliability and safety, increase resiliency and expand our systems through value-added projects. In addition to dividend payments on CenterPoint Energy’s Series A Preferred Stock and Common Stock and interest payments on debt, the Registrants’ principal anticipated cash requirements for the remaining nine months of 2023 include the following: </w:t>
      </w:r>
    </w:p>
    <w:tbl>
      <w:tblPr>
        <w:tblW w:w="10002" w:type="dxa"/>
        <w:jc w:val="left"/>
        <w:tblInd w:w="0" w:type="dxa"/>
        <w:tblCellMar>
          <w:top w:w="28" w:type="dxa"/>
          <w:left w:w="28" w:type="dxa"/>
          <w:bottom w:w="28" w:type="dxa"/>
          <w:right w:w="28" w:type="dxa"/>
        </w:tblCellMar>
      </w:tblPr>
      <w:tblGrid>
        <w:gridCol w:w="1898"/>
        <w:gridCol w:w="1666"/>
        <w:gridCol w:w="1671"/>
        <w:gridCol w:w="109"/>
        <w:gridCol w:w="109"/>
        <w:gridCol w:w="109"/>
        <w:gridCol w:w="354"/>
        <w:gridCol w:w="1006"/>
        <w:gridCol w:w="200"/>
        <w:gridCol w:w="109"/>
        <w:gridCol w:w="109"/>
        <w:gridCol w:w="109"/>
        <w:gridCol w:w="300"/>
        <w:gridCol w:w="853"/>
        <w:gridCol w:w="167"/>
        <w:gridCol w:w="109"/>
        <w:gridCol w:w="109"/>
        <w:gridCol w:w="109"/>
        <w:gridCol w:w="196"/>
        <w:gridCol w:w="556"/>
        <w:gridCol w:w="154"/>
      </w:tblGrid>
      <w:tr>
        <w:trPr/>
        <w:tc>
          <w:tcPr>
            <w:tcW w:w="1898" w:type="dxa"/>
            <w:tcBorders/>
            <w:shd w:fill="auto" w:val="clear"/>
            <w:vAlign w:val="center"/>
          </w:tcPr>
          <w:p>
            <w:pPr>
              <w:pStyle w:val="TableContents"/>
              <w:spacing w:before="0" w:after="283"/>
              <w:rPr>
                <w:sz w:val="4"/>
                <w:szCs w:val="4"/>
              </w:rPr>
            </w:pPr>
            <w:r>
              <w:rPr>
                <w:sz w:val="4"/>
                <w:szCs w:val="4"/>
              </w:rPr>
            </w:r>
          </w:p>
        </w:tc>
        <w:tc>
          <w:tcPr>
            <w:tcW w:w="1666" w:type="dxa"/>
            <w:tcBorders/>
            <w:shd w:fill="auto" w:val="clear"/>
            <w:vAlign w:val="center"/>
          </w:tcPr>
          <w:p>
            <w:pPr>
              <w:pStyle w:val="TableContents"/>
              <w:spacing w:before="0" w:after="283"/>
              <w:rPr>
                <w:sz w:val="4"/>
                <w:szCs w:val="4"/>
              </w:rPr>
            </w:pPr>
            <w:r>
              <w:rPr>
                <w:sz w:val="4"/>
                <w:szCs w:val="4"/>
              </w:rPr>
            </w:r>
          </w:p>
        </w:tc>
        <w:tc>
          <w:tcPr>
            <w:tcW w:w="16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5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0"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Estimated capital expenditures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Scheduled principal payments on Securitization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Maturing senior notes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Minimum contributions to pension plans and other post-retirement plans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52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Registrants expect that anticipated cash needs for the remaining nine months of 2023 will be met with borrowings under their credit facilities, proceeds from the issuance of long-term debt, term loans, anticipated cash flows from operations, and, with respect to CenterPoint Energy and CERC, proceeds from commercial paper. Discretionary financing or refinancing may result in the issuance of debt securities of the Registrants in the capital markets or the arrangement of additional credit facilities or term bank loans. Issuances of debt in the capital markets, funds raised in the commercial paper markets and additional credit facilities may not, however, be available on acceptable terms. </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Off-Balance Sheet Arrangements </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Houston Electric’s general mortgage bonds issued as collateral for tax-exempt long-term debt of CenterPoint Energy as discussed in Note 11 and guarantees as discussed in Note 13(b) to the Interim Condensed Financial Statements, we have no off-balance sheet arrangements.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Regulatory Matters </w:t>
      </w:r>
    </w:p>
    <w:p>
      <w:pPr>
        <w:pStyle w:val="TextBody"/>
        <w:spacing w:before="0" w:after="0"/>
        <w:ind w:left="0" w:right="0" w:firstLine="180"/>
        <w:jc w:val="center"/>
        <w:rPr/>
      </w:pPr>
      <w:r>
        <w:rPr/>
      </w:r>
    </w:p>
    <w:p>
      <w:pPr>
        <w:pStyle w:val="TextBody"/>
        <w:spacing w:lineRule="auto" w:line="288" w:before="0" w:after="0"/>
        <w:ind w:left="0" w:right="0" w:firstLine="180"/>
        <w:rPr>
          <w:rFonts w:ascii="Times New Roman;sans-serif" w:hAnsi="Times New Roman;sans-serif"/>
          <w:b/>
          <w:i/>
          <w:color w:val="000000"/>
          <w:sz w:val="20"/>
        </w:rPr>
      </w:pPr>
      <w:r>
        <w:rPr>
          <w:rFonts w:ascii="Times New Roman;sans-serif" w:hAnsi="Times New Roman;sans-serif"/>
          <w:b/>
          <w:i/>
          <w:color w:val="000000"/>
          <w:sz w:val="20"/>
        </w:rPr>
        <w:t>February 2021 Winter Storm Event</w:t>
      </w:r>
    </w:p>
    <w:p>
      <w:pPr>
        <w:pStyle w:val="TextBody"/>
        <w:spacing w:before="0" w:after="0"/>
        <w:ind w:left="0" w:right="0" w:firstLine="18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further information about the February 2021 Winter Storm Event, see Note 6 to the Interim Condensed Financial Statements.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before="0" w:after="0"/>
        <w:ind w:left="0" w:right="0" w:firstLine="360"/>
        <w:jc w:val="both"/>
        <w:rPr/>
      </w:pPr>
      <w:r>
        <w:rPr/>
      </w:r>
    </w:p>
    <w:p>
      <w:pPr>
        <w:pStyle w:val="TextBody"/>
        <w:spacing w:lineRule="auto" w:line="288" w:before="0" w:after="0"/>
        <w:ind w:left="0" w:right="0" w:firstLine="180"/>
        <w:rPr>
          <w:rFonts w:ascii="Times New Roman;sans-serif" w:hAnsi="Times New Roman;sans-serif"/>
          <w:b/>
          <w:i/>
          <w:color w:val="000000"/>
          <w:sz w:val="20"/>
        </w:rPr>
      </w:pPr>
      <w:r>
        <w:rPr>
          <w:rFonts w:ascii="Times New Roman;sans-serif" w:hAnsi="Times New Roman;sans-serif"/>
          <w:b/>
          <w:i/>
          <w:color w:val="000000"/>
          <w:sz w:val="20"/>
        </w:rPr>
        <w:t>Indiana Electric Securitization of Planned Generation Retirements (CenterPoint Energy)</w:t>
      </w:r>
    </w:p>
    <w:p>
      <w:pPr>
        <w:pStyle w:val="TextBody"/>
        <w:spacing w:before="0" w:after="0"/>
        <w:ind w:left="0" w:right="0" w:firstLine="18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further information about the Indiana Electric Securitization, see Note 6 to the Interim Condensed Financial Statements. </w:t>
      </w:r>
    </w:p>
    <w:p>
      <w:pPr>
        <w:pStyle w:val="TextBody"/>
        <w:spacing w:before="0" w:after="0"/>
        <w:ind w:left="0" w:right="0" w:firstLine="360"/>
        <w:jc w:val="both"/>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Indiana Electric CPCN (CenterPoint Energy)</w:t>
      </w:r>
    </w:p>
    <w:p>
      <w:pPr>
        <w:pStyle w:val="TextBody"/>
        <w:spacing w:before="0" w:after="0"/>
        <w:ind w:left="0" w:right="0" w:firstLine="18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BTAs</w:t>
      </w:r>
    </w:p>
    <w:p>
      <w:pPr>
        <w:pStyle w:val="TextBody"/>
        <w:spacing w:before="0" w:after="0"/>
        <w:ind w:left="0" w:right="0" w:firstLine="18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2021, Indiana Electric filed a CPCN with the IURC seeking approval to purchase the Posey Solar project. On October 27, 2021, the IURC issued an order approving the CPCN, authorizing Indiana Electric to purchase the Posey Solar project through a BTA to acquire its solar array assets for a fixed purchase price and approved recovery of costs via a levelized rate over the anticipated 35-year life. Due to community feedback and rising project costs caused by inflation and supply chain issues affecting the energy industry, Indiana Electric, along with Arevon, the developer, announced plans in January 2022 to downsize the Posey Solar project to 191 MW. Indiana Electric collaboratively agreed to the scope change, and on February 1, 2023, Indiana Electric entered into an amended and restated BTA that is contingent on further IURC review and approval. On February 7, 2023, Indiana Electric filed a CPCN with the IURC to approve the amended BTA. With the passage of the IRA, Indiana Electric can now pursue PTCs for solar projects. Indiana Electric will request that project costs, net of PTCs, be recovered in rate base rather than a levelized rate, through base rates or the CECA mechanism, depending on which provides more timely recovery. The Posey Solar project is expected to be placed in service in 2025.</w:t>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5, 2022, Indiana Electric entered into a BTA to acquire a 130 MW solar array in Pike County, Indiana through a special purpose entity for a capped purchase price. A CPCN for the project was filed with the IURC on July 29, 2022. On September 21, 2022, an agreement in principle was reached resolving all the issues between Indiana Electric and OUCC. The Stipulation and Settlement agreement was filed on October 6, 2022 and a settlement hearing was held on November 1, 2022. On January 11, 2023, the IURC issued an order approving the settlement agreement granting Indiana Electric to purchase and acquire the Pike County solar project through a BTA and approved the estimated cost. The IURC also designated the project as a clean energy project under Ind. Code Ch. 8-1-8.8, approved the proposed levelized rate and associated ratemaking and accounting treatment. The project is expected to be placed in service by the first quarter of 2025.</w:t>
      </w:r>
    </w:p>
    <w:p>
      <w:pPr>
        <w:pStyle w:val="TextBody"/>
        <w:spacing w:before="0" w:after="0"/>
        <w:ind w:left="0" w:right="0" w:firstLine="36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10, 2023, Indiana Electric filed a CPCN with the IURC to acquire a wind energy generating facility through a BTA, consistent with its 2019/2020 IRP that calls for up to 300 MWs of wind generation. The wind project is located in MISO’s Central Region. Commercial operation is expected in 2025. Indiana Electric has requested recovery via the CECA mechanism or through base rates in the next general rate case, depending on which provides more timely recovery. As of the date of the filing of this Form 10-Q, Indiana Electric has not entered into any definitive agreement relating to this wind energy generating facility, and it is not certain that a definitive agreement will be entered into at all. </w:t>
      </w:r>
    </w:p>
    <w:p>
      <w:pPr>
        <w:pStyle w:val="TextBody"/>
        <w:spacing w:before="0" w:after="0"/>
        <w:jc w:val="both"/>
        <w:rPr/>
      </w:pPr>
      <w:r>
        <w:rPr/>
      </w:r>
    </w:p>
    <w:p>
      <w:pPr>
        <w:pStyle w:val="TextBody"/>
        <w:spacing w:lineRule="auto" w:line="288" w:before="0" w:after="0"/>
        <w:ind w:left="0" w:right="0" w:firstLine="360"/>
        <w:rPr>
          <w:rFonts w:ascii="Times New Roman;sans-serif" w:hAnsi="Times New Roman;sans-serif"/>
          <w:b/>
          <w:i/>
          <w:color w:val="000000"/>
          <w:sz w:val="20"/>
        </w:rPr>
      </w:pPr>
      <w:r>
        <w:rPr>
          <w:rFonts w:ascii="Times New Roman;sans-serif" w:hAnsi="Times New Roman;sans-serif"/>
          <w:b/>
          <w:i/>
          <w:color w:val="000000"/>
          <w:sz w:val="20"/>
        </w:rPr>
        <w:t>PPAs</w:t>
      </w:r>
    </w:p>
    <w:p>
      <w:pPr>
        <w:pStyle w:val="TextBody"/>
        <w:spacing w:before="0" w:after="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Indiana Electric also sought approval in February 2021 for a 100 MW solar PPA with Clenera LLC in Warrick County, Indiana. The request accounted for increased cost of debt related to this PPA, which provides equivalent equity return to offset imputed debt during the 25 year life of the PPA. In October 2021, the IURC approved the Warrick County solar PPA but denied the request to preemptively offset imputed debt in the PPA cost. Due to rising project costs caused by inflation and supply chain issues affecting the energy industry, Clenera and Indiana Electric were compelled to renegotiate terms of the agreement to increase the PPA price.</w:t>
      </w:r>
      <w:r>
        <w:rPr>
          <w:color w:val="000000"/>
        </w:rPr>
        <w:t xml:space="preserve"> </w:t>
      </w:r>
      <w:r>
        <w:rPr>
          <w:rFonts w:ascii="Times New Roman;sans-serif" w:hAnsi="Times New Roman;sans-serif"/>
          <w:b w:val="false"/>
          <w:color w:val="000000"/>
          <w:sz w:val="20"/>
        </w:rPr>
        <w:t>On January 17, 2023, Indiana Electric filed a request with the IURC to amend the previously approved PPA with certain modifications. Revised purchase power costs are requested to be recovered through the fuel adjustment clause proceedings over the term of the amended PPA. The amended PPA will be brought before the IURC in a fully docketed proceeding in the second quarter of 2023. The Clenera solar array is expected to be placed in service in the second quarter of 2025.</w:t>
      </w:r>
    </w:p>
    <w:p>
      <w:pPr>
        <w:pStyle w:val="TextBody"/>
        <w:spacing w:before="0" w:after="0"/>
        <w:jc w:val="both"/>
        <w:rPr/>
      </w:pPr>
      <w:r>
        <w:rPr/>
      </w:r>
    </w:p>
    <w:p>
      <w:pPr>
        <w:pStyle w:val="TextBody"/>
        <w:spacing w:lineRule="auto" w:line="276" w:before="0" w:after="0"/>
        <w:ind w:left="0" w:right="0" w:firstLine="360"/>
        <w:jc w:val="both"/>
        <w:rPr/>
      </w:pPr>
      <w:r>
        <w:rPr>
          <w:rFonts w:ascii="Times New Roman;sans-serif" w:hAnsi="Times New Roman;sans-serif"/>
          <w:b w:val="false"/>
          <w:color w:val="000000"/>
          <w:sz w:val="20"/>
        </w:rPr>
        <w:t xml:space="preserve">On August 25, 2021, Indiana Electric filed with the IURC seeking approval to purchase 185 MW of solar power, under a 15-year PPA, from </w:t>
      </w:r>
      <w:r>
        <w:rPr>
          <w:rFonts w:ascii="Times New Roman;sans-serif" w:hAnsi="Times New Roman;sans-serif"/>
          <w:b w:val="false"/>
          <w:color w:val="000000"/>
          <w:sz w:val="20"/>
          <w:highlight w:val="white"/>
        </w:rPr>
        <w:t>Oriden</w:t>
      </w:r>
      <w:r>
        <w:rPr>
          <w:rFonts w:ascii="Times New Roman;sans-serif" w:hAnsi="Times New Roman;sans-serif"/>
          <w:b w:val="false"/>
          <w:color w:val="000000"/>
          <w:sz w:val="20"/>
        </w:rPr>
        <w:t xml:space="preserve">, which is developing a solar project in Vermillion County, Indiana, and 150 MW of solar power, under a 20-year PPA, from Origis, which is developing a solar project in Knox County, Indiana. On May 4, 2022, the IURC issued an order approving Indiana Electric to enter into both PPAs. In March 2022, when the results of the MISO interconnection study were completed, Origis advised Indiana Electric that the costs to construct the solar project in Knox County, Indiana had increased. The increase was largely driven by escalating commodity and supply chain costs impacting manufacturers worldwide. In August 2022, Indiana Electric and Origis entered into an amended PPA, which reiterated the terms contained in the 2021 PPA with certain modifications. On October 19, 2022, Indiana Electric filed with the IURC seeking approval of the amended PPA with Origis and a hearing was held on January 4, 2023. On February 22, 2023, the IURC issued an order authorizing CEI South to (i) enter into the amended PPA with Origis; (ii) recover the cost of the amended PPA over its full term as proposed; and (iii) use the proposed ratemaking treatment. On January 17, 2023, Indiana Electric filed a request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the IURC to amend the previously approved PPA with Oriden with certain modifications. Revised purchase power costs are requested to be recovered through the fuel adjustment clause proceedings over the term of the amended PPA with Oriden. The amended PPA with Oriden will be brought before the IURC in a fully docketed proceeding in the second quarter of 2023 and an order is anticipated to be issued by the third quarter of 2023. The Oriden solar array is expected to be placed in service in the second quarter of 2025 and the Origis solar array is expected to be placed in service by the third quarter of 2024.</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Natural Gas Combustion Turbines</w:t>
      </w:r>
    </w:p>
    <w:p>
      <w:pPr>
        <w:pStyle w:val="TextBody"/>
        <w:spacing w:before="0" w:after="0"/>
        <w:ind w:left="0" w:right="0" w:firstLine="360"/>
        <w:jc w:val="both"/>
        <w:rPr/>
      </w:pPr>
      <w:r>
        <w:rPr/>
      </w:r>
    </w:p>
    <w:p>
      <w:pPr>
        <w:pStyle w:val="TextBody"/>
        <w:spacing w:lineRule="auto" w:line="276" w:before="0" w:after="0"/>
        <w:ind w:left="0" w:right="0" w:firstLine="360"/>
        <w:jc w:val="both"/>
        <w:rPr/>
      </w:pPr>
      <w:r>
        <w:rPr>
          <w:rFonts w:ascii="Times New Roman;sans-serif" w:hAnsi="Times New Roman;sans-serif"/>
          <w:b w:val="false"/>
          <w:color w:val="000000"/>
          <w:sz w:val="20"/>
        </w:rPr>
        <w:t>On June 17, 2021, Indiana Electric filed a CPCN with the IURC seeking approval to construct two natural gas combustion turbines to replace portions of its existing coal-fired generation fleet. On June 28, 2022, the IURC approved the CPCN. The estimated $334 million turbine facility is planned to be constructed at the current site of the A.B. Brown power plant in Posey County, Indiana and would provide a combined output of 460 MW. Indiana Electric received approval for depreciation expense and post in-service carrying costs to be deferred in a regulatory asset until the date Indiana South’s base rates include a return on and recovery of depreciation expense on the facility. A new approximately 23.5 mile pipeline will be constructed and operated by Texas Gas Transmission, LLC to supply natural gas to the turbine facility. FERC granted a certificate to construct the pipeline on October 20, 2022. A party to the proceeding filed a petition for review of FERC’s order with the United States Court of Appeals for the District of Columbia on February 21, 2023</w:t>
      </w:r>
      <w:r>
        <w:rPr>
          <w:rFonts w:ascii="Times New Roman;sans-serif" w:hAnsi="Times New Roman;sans-serif"/>
          <w:b w:val="false"/>
          <w:color w:val="000000"/>
          <w:sz w:val="22"/>
        </w:rPr>
        <w:t xml:space="preserve">. </w:t>
      </w:r>
      <w:r>
        <w:rPr>
          <w:rFonts w:ascii="Times New Roman;sans-serif" w:hAnsi="Times New Roman;sans-serif"/>
          <w:b w:val="false"/>
          <w:color w:val="000000"/>
          <w:sz w:val="20"/>
        </w:rPr>
        <w:t>Indiana Electric granted its contractor a full notice to proceed to construct the turbines on December 9, 2022. The facility is targeted to be operational by year end 2025. Recovery of the proposed natural gas combustion turbines and regulatory asset will be requested in the next Indiana Electric rate case expected in 2023.</w:t>
      </w:r>
    </w:p>
    <w:p>
      <w:pPr>
        <w:pStyle w:val="TextBody"/>
        <w:spacing w:before="0" w:after="0"/>
        <w:ind w:left="0" w:right="0" w:firstLine="360"/>
        <w:jc w:val="both"/>
        <w:rPr/>
      </w:pPr>
      <w:r>
        <w:rPr/>
      </w:r>
    </w:p>
    <w:p>
      <w:pPr>
        <w:pStyle w:val="TextBody"/>
        <w:spacing w:lineRule="auto" w:line="268" w:before="0" w:after="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Culley Unit 3 Operations </w:t>
      </w:r>
    </w:p>
    <w:p>
      <w:pPr>
        <w:pStyle w:val="TextBody"/>
        <w:spacing w:before="0" w:after="0"/>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F.B. Culley Unit 3, an Indiana Electric coal-fired electric generation unit with an installed generating capacity of 270 MW, experienced an operating issue relating to its boiler feed pump turbine. The unit returned to service in March 2023.</w:t>
      </w:r>
    </w:p>
    <w:p>
      <w:pPr>
        <w:pStyle w:val="TextBody"/>
        <w:spacing w:before="0" w:after="0"/>
        <w:ind w:left="0" w:right="0" w:firstLine="180"/>
        <w:jc w:val="both"/>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Space City Solar Transmission Interconnection Project (CenterPoint Energy and Houston Electric)</w:t>
      </w:r>
    </w:p>
    <w:p>
      <w:pPr>
        <w:pStyle w:val="TextBody"/>
        <w:spacing w:before="0" w:after="0"/>
        <w:ind w:left="0" w:right="0" w:firstLine="18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17, 2020, Houston Electric filed a certificate of convenience and necessity application with the PUCT for approval to build a 345 kV transmission line in Wharton County, Texas connecting the Hillje substation on Houston Electric’s transmission system to the planned 610 MW Space City Solar Generation facility being developed by third-party developer EDF Renewables. The actual capital costs of the project will depend on actual land acquisition costs, construction costs, and other factors. In November 2021, the PUCT approved a route that was estimated to cost $25 million and issued a final order on January 12, 2022. There have been project delays due to supply chain constraints in the developer acquiring solar panels. Houston Electric expects to complete construction and the transmission line will be ready to be energized by the end of 2023.</w:t>
      </w:r>
    </w:p>
    <w:p>
      <w:pPr>
        <w:pStyle w:val="TextBody"/>
        <w:spacing w:before="0" w:after="0"/>
        <w:ind w:left="0" w:right="0" w:firstLine="360"/>
        <w:jc w:val="both"/>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Texas Legislation (CenterPoint Energy and Houston Electric)</w:t>
      </w:r>
    </w:p>
    <w:p>
      <w:pPr>
        <w:pStyle w:val="TextBody"/>
        <w:spacing w:before="0" w:after="0"/>
        <w:ind w:left="0" w:right="0" w:firstLine="180"/>
        <w:jc w:val="both"/>
        <w:rPr/>
      </w:pPr>
      <w:r>
        <w:rPr/>
      </w:r>
    </w:p>
    <w:p>
      <w:pPr>
        <w:pStyle w:val="TextBody"/>
        <w:spacing w:lineRule="auto" w:line="268" w:before="0" w:after="0"/>
        <w:ind w:left="0" w:right="0" w:firstLine="360"/>
        <w:jc w:val="both"/>
        <w:rPr/>
      </w:pPr>
      <w:r>
        <w:rPr>
          <w:rFonts w:ascii="Times New Roman;sans-serif" w:hAnsi="Times New Roman;sans-serif"/>
          <w:b w:val="false"/>
          <w:color w:val="000000"/>
          <w:sz w:val="20"/>
        </w:rPr>
        <w:t>Houston Electric continues to review the effects of legislation passed in 2021 and will be reviewing proposed bills that have been submitted during the current 2023 legislative session as applicable. For example, pursuant to legislation passed in 2021, Houston Electric entered into two leases for TEEEF (mobile generation). Additionally, the 2021 legislation allows Houston Electric to seek recovery of transmission and distribution facilities that have a lead time of at least six months and would aid in restoring power to Houston Electric’s distribution customers following certain widespread power outages.</w:t>
      </w:r>
      <w:r>
        <w:rPr>
          <w:color w:val="000000"/>
        </w:rPr>
        <w:t xml:space="preserve"> </w:t>
      </w:r>
      <w:r>
        <w:rPr>
          <w:rFonts w:ascii="Times New Roman;sans-serif" w:hAnsi="Times New Roman;sans-serif"/>
          <w:b w:val="false"/>
          <w:color w:val="000000"/>
          <w:sz w:val="20"/>
        </w:rPr>
        <w:t xml:space="preserve">Houston Electric plans to seek recovery of costs associated with long-lead time facilities in a future DCRF or ratemaking proceeding. For additional information, see Note 6 to the Interim Condensed Financial Statements. </w:t>
      </w:r>
    </w:p>
    <w:p>
      <w:pPr>
        <w:pStyle w:val="TextBody"/>
        <w:spacing w:before="0" w:after="0"/>
        <w:ind w:left="0" w:right="0" w:firstLine="360"/>
        <w:jc w:val="both"/>
        <w:rPr/>
      </w:pPr>
      <w:r>
        <w:rPr/>
      </w:r>
    </w:p>
    <w:p>
      <w:pPr>
        <w:pStyle w:val="TextBody"/>
        <w:spacing w:lineRule="auto" w:line="26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Minnesota Legislation (CenterPoint Energy and CERC)</w:t>
      </w:r>
    </w:p>
    <w:p>
      <w:pPr>
        <w:pStyle w:val="TextBody"/>
        <w:spacing w:before="0" w:after="0"/>
        <w:ind w:left="0" w:right="0" w:firstLine="18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Natural Gas Innovation Act was passed by the Minnesota legislature in June 2021 with bipartisan support. This law establishes a regulatory framework to enable the state’s investor-owned natural gas utilities to provide customers with access to renewable energy resources and innovative technologies, with the goal of reducing greenhouse gas emissions and advancing the state’s clean energy future. Specifically, the Natural Gas Innovation Act allows a natural gas utility to submit an innovation plan for approval by the MPUC which could propose the use of renewable energy resources and innovative technologies such as:</w:t>
      </w:r>
    </w:p>
    <w:p>
      <w:pPr>
        <w:pStyle w:val="TextBody"/>
        <w:spacing w:before="0" w:after="0"/>
        <w:ind w:left="0" w:right="0" w:firstLine="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renewable natural gas (produces energy from organic materials such as wastewater, agricultural manure, food waste, agricultural or forest waste);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renewable hydrogen gas (produces energy from water through electrolysis with renewable electricity such as solar);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energy efficiency measures (avoids energy consumption in excess of the utility’s existing conservation programs); and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innovative technologies (reduces or avoids greenhouse gas emissions using technologies such as carbon capture).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CERC expects to submit its first innovation plan to the MPUC in 2023. The maximum allowable cost for an innovation plan will start at 1.75% of the utility's revenue in the state and could increase to 4% by 2033, subject to review and approval by the MPUC. </w:t>
      </w:r>
    </w:p>
    <w:p>
      <w:pPr>
        <w:pStyle w:val="TextBody"/>
        <w:spacing w:before="0" w:after="0"/>
        <w:ind w:left="0" w:right="0" w:firstLine="360"/>
        <w:jc w:val="both"/>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Solar Panel Issues (CenterPoint Energy)</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Energy’s current and future solar projects have been impacted by delays and/or increased costs. The delays and inflationary cost pressures communicated from the developers of our solar projects are primarily due to (i) unavailability of solar panels and other uncertainties related to the pending DOC investigation on anti-dumping and countervailing duties petition filed by a domestic solar manufacturer, (ii) the December 2021 Uyghur Forced Labor Prevention Act on solar modules and other products manufactured in China's Xinjiang Uyghur Autonomous Region and (iii) persistent general global supply chain and labor availability issues. On December 2, 2022, the DOC issued its preliminary determination, finding four of the eight companies being investigated are attempting to bypass U.S. duties; however, the investigation continues with the DOC’s final determination expected in May 2023. In June 2022, President Biden authorized an executive order which would suspend anti-circumvention tariffs on solar panels for two years; however, the executive order could be subject to legal and legislative challenges and its effects remain uncertain. The resolution of these issues will determine what additional costs or delays our solar projects will be subject to. These impacts have resulted in cost increases for certain projects, and may result in cost increases in other projects, and such impacts have resulted in, or are expected to result in, the need for us to seek additional regulatory review and approvals. Additionally, significant changes to project costs and schedules as a result of these factors could impact the viability of the projects. For more information regarding potential delays, cancellations and supply chain disruptions, see “Item 1A. Risk Factors” in the Registrants’ 2022 Form 10-K.</w:t>
      </w:r>
    </w:p>
    <w:p>
      <w:pPr>
        <w:pStyle w:val="TextBody"/>
        <w:spacing w:before="0" w:after="0"/>
        <w:ind w:left="0" w:right="0" w:firstLine="360"/>
        <w:jc w:val="both"/>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Rate Change Applications </w:t>
      </w:r>
    </w:p>
    <w:p>
      <w:pPr>
        <w:pStyle w:val="TextBody"/>
        <w:spacing w:before="0" w:after="0"/>
        <w:ind w:left="0" w:right="0" w:firstLine="180"/>
        <w:jc w:val="both"/>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Registrants are routinely involved in rate change applications before state regulatory authorities. Those applications include general rate cases, where the entire cost of service of the utility is assessed and reset. In addition, Registrants are periodically involved in proceedings to adjust its capital tracking mechanisms (e.g., CSIA, DCRF, DRR, GRIP, TCOS and TDSIC), its cost of service adjustments (e.g., RSP and RRA), its decoupling mechanism (e.g., Decoupling and SRC), and its energy efficiency cost trackers (e.g., CIP, DSMA, EECR, EECRF, EEFC and EEFR). The table below reflects significant applications pending or completed since the Registrants’ combined 2022 Form 10-K was filed with the SEC through the date of the filing of this Form 10-Q. </w:t>
      </w:r>
    </w:p>
    <w:tbl>
      <w:tblPr>
        <w:tblW w:w="10205" w:type="dxa"/>
        <w:jc w:val="left"/>
        <w:tblInd w:w="0" w:type="dxa"/>
        <w:tblCellMar>
          <w:top w:w="28" w:type="dxa"/>
          <w:left w:w="28" w:type="dxa"/>
          <w:bottom w:w="28" w:type="dxa"/>
          <w:right w:w="28" w:type="dxa"/>
        </w:tblCellMar>
      </w:tblPr>
      <w:tblGrid>
        <w:gridCol w:w="337"/>
        <w:gridCol w:w="296"/>
        <w:gridCol w:w="298"/>
        <w:gridCol w:w="109"/>
        <w:gridCol w:w="109"/>
        <w:gridCol w:w="109"/>
        <w:gridCol w:w="306"/>
        <w:gridCol w:w="306"/>
        <w:gridCol w:w="307"/>
        <w:gridCol w:w="109"/>
        <w:gridCol w:w="109"/>
        <w:gridCol w:w="109"/>
        <w:gridCol w:w="188"/>
        <w:gridCol w:w="188"/>
        <w:gridCol w:w="192"/>
        <w:gridCol w:w="109"/>
        <w:gridCol w:w="109"/>
        <w:gridCol w:w="109"/>
        <w:gridCol w:w="254"/>
        <w:gridCol w:w="254"/>
        <w:gridCol w:w="255"/>
        <w:gridCol w:w="109"/>
        <w:gridCol w:w="109"/>
        <w:gridCol w:w="109"/>
        <w:gridCol w:w="269"/>
        <w:gridCol w:w="269"/>
        <w:gridCol w:w="270"/>
        <w:gridCol w:w="109"/>
        <w:gridCol w:w="109"/>
        <w:gridCol w:w="109"/>
        <w:gridCol w:w="1450"/>
        <w:gridCol w:w="1290"/>
        <w:gridCol w:w="1841"/>
      </w:tblGrid>
      <w:tr>
        <w:trPr/>
        <w:tc>
          <w:tcPr>
            <w:tcW w:w="33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1841" w:type="dxa"/>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Mechanism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Annual Increase (Decrease) </w:t>
            </w:r>
            <w:r>
              <w:rPr>
                <w:rFonts w:ascii="Times New Roman;sans-serif" w:hAnsi="Times New Roman;sans-serif"/>
                <w:b/>
                <w:color w:val="000000"/>
                <w:sz w:val="12"/>
              </w:rPr>
              <w:t>(1)</w:t>
            </w:r>
          </w:p>
          <w:p>
            <w:pPr>
              <w:pStyle w:val="TableContents"/>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w:t>
              <w:br/>
              <w: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Approval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Information</w:t>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274" w:type="dxa"/>
            <w:gridSpan w:val="30"/>
            <w:tcBorders/>
            <w:shd w:fill="auto" w:val="clea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81"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274" w:type="dxa"/>
            <w:gridSpan w:val="30"/>
            <w:tcBorders/>
            <w:shd w:fill="auto" w:val="clea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81"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274" w:type="dxa"/>
            <w:gridSpan w:val="30"/>
            <w:tcBorders/>
            <w:shd w:fill="auto" w:val="clea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81"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274" w:type="dxa"/>
            <w:gridSpan w:val="30"/>
            <w:tcBorders/>
            <w:shd w:fill="auto" w:val="clea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81"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274" w:type="dxa"/>
            <w:gridSpan w:val="30"/>
            <w:tcBorders/>
            <w:shd w:fill="auto" w:val="clea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81"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 and Houston Electric (PUCT)</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6"/>
              </w:rPr>
              <w:t>DCRF</w:t>
            </w:r>
            <w:r>
              <w:rPr>
                <w:color w:val="000000"/>
              </w:rPr>
              <w:t xml:space="preserve"> </w:t>
            </w:r>
            <w:r>
              <w:rPr>
                <w:rFonts w:ascii="Times New Roman;sans-serif" w:hAnsi="Times New Roman;sans-serif"/>
                <w:b w:val="false"/>
                <w:color w:val="000000"/>
                <w:sz w:val="10"/>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April </w:t>
              <w:b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5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net change in distribution invested capital since its last base rate proceeding of approximately $1.9 billion for the period January 1, 2019 through December 31, 2022 for a revenue increase of $85 million, adjusted for load growth.</w:t>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6"/>
              </w:rPr>
              <w:t>TEEEF</w:t>
            </w:r>
            <w:r>
              <w:rPr>
                <w:color w:val="000000"/>
              </w:rPr>
              <w:t xml:space="preserve">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April </w:t>
              <w:b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total Rider TEEEF revenue requirement of $188 million for cost incurred through December 31, 2022. The revenue change between the rates resulting from the 2022 TEEEF and this application is $149 million.</w:t>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6"/>
              </w:rPr>
              <w:t>TCOS</w:t>
            </w:r>
            <w:r>
              <w:rPr>
                <w:color w:val="000000"/>
              </w:rPr>
              <w:t xml:space="preserve">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Based on net change in invested capital of $367 million for the period August 1, 2022 through January 31, 2023.</w:t>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DCRF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April</w:t>
              <w:br/>
              <w:t>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April </w:t>
              <w:b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April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As amended on July 1, 2022, the net change in distribution invested capital since its last base rate proceeding of over $1 billion for the period January 1, 2019 through December 31, 2021 for a revenue increase of $86 million, adjusted for load growth. In addition, the request includes approximately $200 million in TEEEF during the calendar year ended December 31, 2021 representing a revenue increase of $57 million. The requested overall revenue increase is $142 million with a proposed effective date of September 1, 2022. On July 11, 2022, a partial settlement was filed resolving the non-TEEEF issues. The settlement provides for a black box reduction to the revenue requirement of $7.8 million for a revenue increase of $78 million and a September 1, 2022 effective date for rates. A hearing on TEEEF issues was held on October 18 through 20, 2022. Briefs were filed on November 16, 2022 and reply briefs were filed on December 2, 2022. On January 27, 2023, the administrative law judges issued a PFD recommending that the leasing of the TEEEF was not prudent or reasonable and necessary and that the PUCT deny recovery of all of the TEEEF costs. On March 9, 2023, the PUCT verbally reversed the PFD in part and approved recovery of TEEEF. A final order was issued on</w:t>
            </w:r>
            <w:r>
              <w:rPr>
                <w:color w:val="000000"/>
              </w:rPr>
              <w:t xml:space="preserve"> </w:t>
            </w:r>
            <w:r>
              <w:rPr>
                <w:rFonts w:ascii="Times New Roman;sans-serif" w:hAnsi="Times New Roman;sans-serif"/>
                <w:b w:val="false"/>
                <w:color w:val="000000"/>
                <w:sz w:val="16"/>
              </w:rPr>
              <w:t>April 5, 2023 approving a TEEEF revenue requirement of $39 million with rates effective April 15, 2023.</w:t>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81"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81"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81"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274" w:type="dxa"/>
            <w:gridSpan w:val="30"/>
            <w:tcBorders/>
            <w:shd w:fill="auto" w:val="clea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81"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274" w:type="dxa"/>
            <w:gridSpan w:val="30"/>
            <w:tcBorders/>
            <w:shd w:fill="auto" w:val="clea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81"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274" w:type="dxa"/>
            <w:gridSpan w:val="30"/>
            <w:tcBorders/>
            <w:shd w:fill="auto" w:val="clea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81"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274" w:type="dxa"/>
            <w:gridSpan w:val="30"/>
            <w:tcBorders/>
            <w:shd w:fill="auto" w:val="clea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81"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 and CERC - Beaumont/East Texas, South Texas, Houston and Texas Coast (Railroad Commission)</w:t>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6"/>
              </w:rPr>
              <w:t>GRIP</w:t>
            </w:r>
            <w:r>
              <w:rPr>
                <w:color w:val="000000"/>
              </w:rPr>
              <w:t xml:space="preserve"> </w:t>
            </w:r>
            <w:r>
              <w:rPr>
                <w:rFonts w:ascii="Times New Roman;sans-serif" w:hAnsi="Times New Roman;sans-serif"/>
                <w:b w:val="false"/>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6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5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Based on net change in invested capital for calendar year 2022 of $390 million.</w:t>
            </w:r>
          </w:p>
        </w:tc>
      </w:tr>
    </w:tbl>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337"/>
        <w:gridCol w:w="296"/>
        <w:gridCol w:w="298"/>
        <w:gridCol w:w="109"/>
        <w:gridCol w:w="109"/>
        <w:gridCol w:w="109"/>
        <w:gridCol w:w="311"/>
        <w:gridCol w:w="311"/>
        <w:gridCol w:w="312"/>
        <w:gridCol w:w="109"/>
        <w:gridCol w:w="109"/>
        <w:gridCol w:w="109"/>
        <w:gridCol w:w="285"/>
        <w:gridCol w:w="285"/>
        <w:gridCol w:w="289"/>
        <w:gridCol w:w="109"/>
        <w:gridCol w:w="109"/>
        <w:gridCol w:w="109"/>
        <w:gridCol w:w="255"/>
        <w:gridCol w:w="255"/>
        <w:gridCol w:w="256"/>
        <w:gridCol w:w="109"/>
        <w:gridCol w:w="109"/>
        <w:gridCol w:w="109"/>
        <w:gridCol w:w="270"/>
        <w:gridCol w:w="270"/>
        <w:gridCol w:w="271"/>
        <w:gridCol w:w="109"/>
        <w:gridCol w:w="109"/>
        <w:gridCol w:w="109"/>
        <w:gridCol w:w="1408"/>
        <w:gridCol w:w="1179"/>
        <w:gridCol w:w="1682"/>
      </w:tblGrid>
      <w:tr>
        <w:trPr/>
        <w:tc>
          <w:tcPr>
            <w:tcW w:w="33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682" w:type="dxa"/>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Mechanism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Annual Increase (Decrease) </w:t>
            </w:r>
            <w:r>
              <w:rPr>
                <w:rFonts w:ascii="Times New Roman;sans-serif" w:hAnsi="Times New Roman;sans-serif"/>
                <w:b/>
                <w:color w:val="000000"/>
                <w:sz w:val="12"/>
              </w:rPr>
              <w:t>(1)</w:t>
            </w:r>
          </w:p>
          <w:p>
            <w:pPr>
              <w:pStyle w:val="TableContents"/>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w:t>
              <w:br/>
              <w: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Approval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Information</w:t>
            </w:r>
          </w:p>
        </w:tc>
      </w:tr>
      <w:tr>
        <w:trPr/>
        <w:tc>
          <w:tcPr>
            <w:tcW w:w="10205" w:type="dxa"/>
            <w:gridSpan w:val="3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 and CERC - Louisiana (LPSC)</w:t>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RSP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September 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April </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April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2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Based on ROE of 9.95% with 50 basis point (+/-) earnings band. The North Louisiana increase, net of TCJA effects considered outside of the earnings band, is $3 million based on a test year ended June 2022 and adjusted ROE of 7.05%. The South Louisiana increase, net of TCJA effects considered outside of the earnings band, is $5 million based on a test year ended June 2022 and adjusted ROE of 4.19%. The TCJA refund impact to North Louisiana and South Louisiana was $1 million and $1 million, respectively. North Louisiana and South Louisiana also seek to recover regulatory assets due to COVID-19 bad debt expenses in the amounts of $0.7 million and $0.3 million, respectively. Interim rates implemented on December 28, 2022, subject to refund. On April 5, 2023 the LPSC issued an order approving a joint settlement for $2.7 million in North Louisiana and $4.6 million in South Louisiana in addition to the full impacts of TCJA and COVID-19 recoveries.</w:t>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274" w:type="dxa"/>
            <w:gridSpan w:val="30"/>
            <w:tcBorders/>
            <w:shd w:fill="auto" w:val="clea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9"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9"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9"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9"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274" w:type="dxa"/>
            <w:gridSpan w:val="30"/>
            <w:tcBorders/>
            <w:shd w:fill="auto" w:val="clea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9"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274" w:type="dxa"/>
            <w:gridSpan w:val="30"/>
            <w:tcBorders/>
            <w:shd w:fill="auto" w:val="clea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9"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274" w:type="dxa"/>
            <w:gridSpan w:val="30"/>
            <w:tcBorders/>
            <w:shd w:fill="auto" w:val="clea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9"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274" w:type="dxa"/>
            <w:gridSpan w:val="30"/>
            <w:tcBorders/>
            <w:shd w:fill="auto" w:val="clea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9"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274" w:type="dxa"/>
            <w:gridSpan w:val="30"/>
            <w:tcBorders/>
            <w:shd w:fill="auto" w:val="clea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9"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9"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274" w:type="dxa"/>
            <w:gridSpan w:val="30"/>
            <w:tcBorders/>
            <w:shd w:fill="auto" w:val="clea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9"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9"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274" w:type="dxa"/>
            <w:gridSpan w:val="30"/>
            <w:tcBorders/>
            <w:shd w:fill="auto" w:val="clea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274" w:type="dxa"/>
            <w:gridSpan w:val="30"/>
            <w:tcBorders/>
            <w:shd w:fill="auto" w:val="clea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274" w:type="dxa"/>
            <w:gridSpan w:val="30"/>
            <w:tcBorders/>
            <w:shd w:fill="auto" w:val="clea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9"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 and CERC - Indiana South - Gas (IURC)</w:t>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6"/>
              </w:rPr>
              <w:t>CSIA</w:t>
            </w:r>
            <w:r>
              <w:rPr>
                <w:color w:val="000000"/>
              </w:rPr>
              <w:t xml:space="preserve"> </w:t>
            </w:r>
            <w:r>
              <w:rPr>
                <w:rFonts w:ascii="Times New Roman;sans-serif" w:hAnsi="Times New Roman;sans-serif"/>
                <w:b w:val="false"/>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April </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2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Requested an increase of $33 million to rate base, which reflects approximately $3 million annual increase in current revenues. 80% of revenue requirement is included in requested rate increase and 20% is deferred until the next rate case. The mechanism also includes a change in (over)/under-recovery variance of $1 million annually. Also included are unrecovered deferred O&amp;M expenses of $9 million. OUCC to file on June 2, 2023. Rebuttal testimony to be filed June 16, 2023. A hearing will be scheduled during June 2023.</w:t>
            </w:r>
          </w:p>
        </w:tc>
      </w:tr>
      <w:tr>
        <w:trPr/>
        <w:tc>
          <w:tcPr>
            <w:tcW w:w="10205" w:type="dxa"/>
            <w:gridSpan w:val="3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 and CERC - Indiana North - Gas (IURC)</w:t>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6"/>
              </w:rPr>
              <w:t>CSIA</w:t>
            </w:r>
            <w:r>
              <w:rPr>
                <w:color w:val="000000"/>
              </w:rPr>
              <w:t xml:space="preserve"> </w:t>
            </w:r>
            <w:r>
              <w:rPr>
                <w:rFonts w:ascii="Times New Roman;sans-serif" w:hAnsi="Times New Roman;sans-serif"/>
                <w:b w:val="false"/>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April </w:t>
              <w:b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2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Requested an increase of $95 million to rate base, which reflects approximately $9 million annual increase in current revenues. 80% of revenue requirement is included in requested rate increase and 20% is deferred until the next rate case. The mechanism also includes a change in (over)/under-recovery variance of $5 million annually. Also included are unrecovered deferred O&amp;M expenses of $20 million. OUCC to file on June 2, 2023. Rebuttal testimony to be filed June 16, 2023. A hearing will be scheduled during June 2023.</w:t>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9274" w:type="dxa"/>
            <w:gridSpan w:val="30"/>
            <w:tcBorders/>
            <w:shd w:fill="auto" w:val="clear"/>
          </w:tcPr>
          <w:p>
            <w:pPr>
              <w:pStyle w:val="TableContents"/>
              <w:spacing w:before="0" w:after="283"/>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 - Indiana Electric (IURC)</w:t>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6"/>
              </w:rPr>
              <w:t>TDSIC</w:t>
            </w:r>
            <w:r>
              <w:rPr>
                <w:color w:val="000000"/>
              </w:rPr>
              <w:t xml:space="preserve"> </w:t>
            </w:r>
            <w:r>
              <w:rPr>
                <w:rFonts w:ascii="Times New Roman;sans-serif" w:hAnsi="Times New Roman;sans-serif"/>
                <w:b w:val="false"/>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2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Requested an increase of $31 million to rate base, which reflects a $5 million annual increase in current revenues. 80% of the revenue requirement is included in requested rate increase and 20% is deferred until next rate case. The mechanism also includes a change in (over)/under-recovery variance and a tax reform credit for a total of ($1 million).</w:t>
            </w:r>
          </w:p>
        </w:tc>
      </w:tr>
      <w:tr>
        <w:trPr/>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6"/>
              </w:rPr>
              <w:t>CECA</w:t>
            </w:r>
            <w:r>
              <w:rPr>
                <w:color w:val="000000"/>
              </w:rPr>
              <w:t xml:space="preserve">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TBD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9" w:type="dxa"/>
            <w:gridSpan w:val="3"/>
            <w:tcBorders/>
            <w:shd w:fill="CCEEFF"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Requested an increase of less than $1 million to rate base, which reflects an annual increase of less than $1 million in current revenues. The mechanism also includes a change in (over)/under-recovery variance of less than ($1 million).</w:t>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9" w:type="dxa"/>
            <w:gridSpan w:val="3"/>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6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(1)Represents proposed increases (decreases) when effective date and/or approval date is not yet determined. Approved rates could differ materially from proposed rates.</w:t>
      </w:r>
    </w:p>
    <w:p>
      <w:pPr>
        <w:pStyle w:val="TextBody"/>
        <w:spacing w:before="0" w:after="0"/>
        <w:jc w:val="both"/>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Inflation Reduction Act (IRA)</w:t>
      </w:r>
    </w:p>
    <w:p>
      <w:pPr>
        <w:pStyle w:val="TextBody"/>
        <w:spacing w:before="0" w:after="0"/>
        <w:ind w:left="0" w:right="0" w:firstLine="18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On August 16, 2022, the IRA was signed into law. The new law extends or creates tax-related energy incentives for solar, wind and alternative clean energy sources, implements, subject to certain exceptions, a 1% tax on share repurchases after December 31, 2022, and implements a 15% corporate alternative minimum tax based on the AFSI of those corporations with an average AFSI of $1 billion over the most recent three-year period (i.e., the CAMT). The IRA did not have a material impact on the Registrants’ 2022 financial results and no material impact is expected for 2023 financial results. The Registrants may be currently subject to the CAMT, pending future guidance relating to comments requested in response to Notice 2023-7. If the Registrants are subject to the CAMT for 2023, the calculation of regular tax will exceed minimum tax for 2023; therefore, no minimum tax is expected to be paid</w:t>
      </w:r>
      <w:r>
        <w:rPr>
          <w:rFonts w:ascii="Calibri;sans-serif" w:hAnsi="Calibri;sans-serif"/>
          <w:b w:val="false"/>
          <w:color w:val="000000"/>
          <w:sz w:val="22"/>
        </w:rPr>
        <w:t>.</w:t>
      </w:r>
      <w:r>
        <w:rPr>
          <w:color w:val="000000"/>
        </w:rPr>
        <w:t xml:space="preserve"> </w:t>
      </w:r>
      <w:r>
        <w:rPr>
          <w:rFonts w:ascii="Times New Roman;sans-serif" w:hAnsi="Times New Roman;sans-serif"/>
          <w:b w:val="false"/>
          <w:color w:val="000000"/>
          <w:sz w:val="20"/>
        </w:rPr>
        <w:t>Further guidance on the tax provisions of the IRA is expected and the Registrants continue to evaluate the IRA provisions for the effect on their future financial results.</w:t>
      </w:r>
    </w:p>
    <w:p>
      <w:pPr>
        <w:pStyle w:val="TextBody"/>
        <w:spacing w:before="0" w:after="0"/>
        <w:ind w:left="0" w:right="0" w:firstLine="180"/>
        <w:jc w:val="both"/>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Greenhouse Gas Regulation and Compliance (CenterPoint Energy)</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 2015, the EPA released its CPP rule, which required a 32% reduction in carbon emissions from 2005 levels. The final rule was published in the Federal Register on October 23, 2015, and that action was immediately followed by litigation ultimately resulting in the U.S. Supreme Court staying implementation of the rule. On July 8, 2019, the EPA published the ACE rule, which (i) repealed the CPP rule; (ii) replaced the CPP rule with a program that requires states to implement a program of energy efficiency improvement targets for individual coal-fired electric generating units; and (iii) amended the implementing regulations for Section 111(d) of the Clean Air Act. On January 19, 2021, the majority of the ACE </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rule — including the CPP repeal, CPP replacement, and the timing-related portions of the Section 111(d) implementing rule — was struck down by the U.S. Court of Appeals for the D.C. Circuit and on October 29, 2021, the U.S. Supreme Court agreed to consider four petitions filed by various coal interests and a coalition of 19 states. On June 30, 2022, the U.S. Supreme Court ruled that the EPA exceeded its authority in promulgating the CPP. The EPA has announced it plans on issuing new greenhouse gas rules in the future. </w:t>
      </w:r>
    </w:p>
    <w:p>
      <w:pPr>
        <w:pStyle w:val="TextBody"/>
        <w:spacing w:before="0" w:after="0"/>
        <w:ind w:left="0" w:right="0" w:firstLine="360"/>
        <w:jc w:val="both"/>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 xml:space="preserve">The Biden administration recommitted the United States to the Paris Agreement, which can be expected to drive a renewed regulatory push to require further GHG emission reductions from the energy sector and proceeded to lead negotiations at the global climate conference in Glasgow, Scotland. On April 22, 2021, President Biden announced new goals of 50% reduction of economy-wide GHG emissions, and 100% carbon-free electricity by 2035, which formed the basis of the U.S. commitments announced in Glasgow. In September 2021, CenterPoint Energy announced its net zero emissions goals for both Scope 1 and certain Scope 2 emissions by 2035 as well as a goal to reduce certain Scope 3 emissions by 20% to 30% by 2035. Because Texas is an unregulated market, CenterPoint Energy’s Scope 2 estimates do not take into account Texas electric transmission and distribution assets in the line loss calculation and, in addition, exclude emissions related to purchased power in Indiana between 2024 and 2026 as estimated. CenterPoint Energy’s Scope 3 estimates are based on the total natural gas supply delivered to residential and commercial customers as reported in the U.S. Energy Information Administration (EIA) Form EIA-176 reports and do not take into account the emissions of transport customers and emissions related to upstream extraction. These emission goals are expected to be used to position CenterPoint Energy to comply with anticipated future regulatory requirements from the current and future administrations to further reduce GHG emissions. CenterPoint Energy’s and CERC’s revenues, operating costs and capital requirements could be adversely affected as a result of any regulatory action that would require installation of new control technologies or a modification of their operations or would have the effect of reducing the consumption of natural gas. The IRA established the Methane Emissions Reduction Program, which imposes a charge on methane emissions from certain natural gas transmission facilities, and the EPA has proposed new regulations targeting reductions in methane emissions, which if implemented will increase costs related to production, transmission and storage of natural gas. Houston Electric, in contrast to some electric utilities including Indiana Electric, does not generate electricity, other than TEEEF, and thus is not directly exposed to the risk of high capital costs and regulatory uncertainties that face electric utilities that burn fossil fuels to generate electricity. CenterPoint Energy’s net zero emissions goals are aligned with Indiana Electric’s generation transition plan and are expected to position Indiana Electric to comply with anticipated future regulatory requirements related to GHG emissions reductions. Nevertheless, Houston Electric’s and Indiana Electric’s revenues could be adversely affected to the extent any resulting regulatory action has the effect of reducing consumption of electricity by ultimate consumers within their respective service territories. Likewise, incentives to conserve energy or to use energy sources other than natural gas could result in a decrease in demand for the Registrants’ services. For example, Minnesota has enacted the Natural Gas Innovation Act that seeks </w:t>
      </w:r>
      <w:r>
        <w:rPr>
          <w:rFonts w:ascii="Times New Roman;sans-serif" w:hAnsi="Times New Roman;sans-serif"/>
          <w:b w:val="false"/>
          <w:color w:val="000000"/>
          <w:sz w:val="20"/>
          <w:highlight w:val="white"/>
        </w:rPr>
        <w:t>to provide customers with access to renewable energy resources and innovative technologies, with the goal of reducing GHG emissions.</w:t>
      </w:r>
      <w:r>
        <w:rPr>
          <w:color w:val="000000"/>
        </w:rPr>
        <w:t xml:space="preserve"> </w:t>
      </w:r>
      <w:r>
        <w:rPr>
          <w:rFonts w:ascii="Times New Roman;sans-serif" w:hAnsi="Times New Roman;sans-serif"/>
          <w:b w:val="false"/>
          <w:color w:val="000000"/>
          <w:sz w:val="20"/>
          <w:highlight w:val="white"/>
        </w:rPr>
        <w:t xml:space="preserve">Further, certain local government bodies have introduced or are considering requirements and/or incentives to reduce energy consumption by certain specified dates. </w:t>
      </w:r>
      <w:r>
        <w:rPr>
          <w:rFonts w:ascii="Times New Roman;sans-serif" w:hAnsi="Times New Roman;sans-serif"/>
          <w:b w:val="false"/>
          <w:color w:val="000000"/>
          <w:sz w:val="20"/>
        </w:rPr>
        <w:t xml:space="preserve">For example, Minneapolis has adopted carbon emission reduction goals in an effort to decrease reliance on fossil gas. </w:t>
      </w:r>
      <w:r>
        <w:rPr>
          <w:rFonts w:ascii="Times New Roman;sans-serif" w:hAnsi="Times New Roman;sans-serif"/>
          <w:b w:val="false"/>
          <w:color w:val="000000"/>
          <w:sz w:val="20"/>
          <w:highlight w:val="white"/>
        </w:rPr>
        <w:t>Additionally,</w:t>
      </w:r>
      <w:r>
        <w:rPr>
          <w:color w:val="000000"/>
        </w:rPr>
        <w:t xml:space="preserve"> </w:t>
      </w:r>
      <w:r>
        <w:rPr>
          <w:rFonts w:ascii="Times New Roman;sans-serif" w:hAnsi="Times New Roman;sans-serif"/>
          <w:b w:val="false"/>
          <w:color w:val="000000"/>
          <w:sz w:val="20"/>
        </w:rPr>
        <w:t xml:space="preserve">cities in Minnesota within CenterPoint Energy’s Natural Gas operational footprint are considering initiatives to eliminate natural gas use in buildings and focus on electrification. Also, Minnesota cities may consider seeking legislative authority for the ability to enact voluntary enhanced energy standards for all development projects. These initiatives could have a significant impact on CenterPoint Energy and its operations, and this impact could increase if other cities and jurisdictions in its service area enact similar initiatives. Further, our third party suppliers, vendors and partners may also be impacted by climate change laws and regulations, which could impact CenterPoint Energy’s business by, among other things, causing permitting and construction delays, project cancellations or increased project costs passed on to CenterPoint Energy. Conversely, regulatory actions that effectively promote the consumption of natural gas because of its lower emissions characteristics would be expected to benefit CenterPoint Energy and CERC and their natural gas-related businesses. At this time, however, we cannot quantify the magnitude of the impacts from possible new regulatory actions related to GHG emissions, either positive or negative, on the Registrants’ businesses.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Compliance costs and other effects associated with climate change, reductions in GHG emissions and obtaining renewable energy sources remain uncertain. Although the amount of compliance costs remains uncertain, any new regulation or legislation relating to climate change will likely result in an increase in compliance costs. While the requirements of a federal or state rule remain uncertain, CenterPoint Energy will continue to monitor regulatory activity regarding GHG emission standards that may affect its business. Currently, CenterPoint Energy does not purchase carbon credits. In connection with its net zero emissions goals, CenterPoint Energy is expected to purchase carbon credits in the future; however, CenterPoint Energy does not currently expect the number of credits, or cost for those credits, to be material. </w:t>
      </w:r>
    </w:p>
    <w:p>
      <w:pPr>
        <w:pStyle w:val="TextBody"/>
        <w:spacing w:before="0" w:after="0"/>
        <w:ind w:left="0" w:right="0" w:firstLine="360"/>
        <w:jc w:val="both"/>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Climate Change Trends and Uncertainties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increased awareness regarding climate change, coupled with adverse economic conditions, availability of alternative energy sources, including private solar, microturbines, fuel cells, energy-efficient buildings and energy storage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devices, and new regulations restricting emissions, including potential regulations of methane emissions, some consumers and companies may use less energy, meet their own energy needs through alternative energy sources or avoid expansions of their facilities, including natural gas facilities, resulting in less demand for the Registrants’ services. As these technologies become a more cost-competitive option over time, whether through cost effectiveness or government incentives and subsidies, certain customers may choose to meet their own energy needs and subsequently decrease usage of the Registrants’ systems and services, which may result in, among other things, Indiana Electric’s generating facilities becoming less competitive and economical. Further, evolving investor sentiment related to the use of fossil fuels and initiatives to restrict continued production of fossil fuels have had significant impacts on CenterPoint Energy’s electric generation and natural gas businesses. For example, because Indiana Electric’s current generating facilities substantially rely on coal for their operations, certain financial institutions choose not to participate in CenterPoint Energy’s financing arrangements. Conversely, demand for the Registrants’ services may increase as a result of customer changes in response to climate change. For example, as the utilization of electric vehicles increases, demand for electricity may increase, resulting in increased usage of CenterPoint Energy’s systems and services. Any negative opinions with respect to CenterPoint Energy’s environmental practices or its ability to meet the challenges posed by climate change formed by regulators, customers, investors, legislators or other stakeholders could harm its reputation.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address these developments, CenterPoint Energy announced its net zero emissions goals for both Scope 1 and certain Scope 2 emissions by 2035. Indiana Electric’s 2019/2020 IRP identified a preferred portfolio that retires 730 MW of coal-fired generation facilities and replaces these resources with a mix of generating resources composed primarily of renewables, including solar, wind, and solar with storage, supported by dispatchable natural gas combustion turbines including a pipeline to serve such natural gas generation. Indiana Electric continues to execute on its 2019/2020 IRP and has received initial approvals for 756 MWs of the 700-1,000 MWs identified within Indiana Electric’s 2019/2020 IRP. Additionally, as reflected in its 10-year capital plan announced in September 2021, CenterPoint Energy anticipates spending over $3 billion in clean energy investments and enablement, which may be used to support, among other things, renewable energy generation and electric vehicle expansion. CenterPoint Energy believes its planned investments in renewable energy generation and corresponding planned reduction in its GHG emissions as part of its net zero emissions goals support global efforts to reduce the impacts of climate change.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climate changes result in warmer temperatures in the Registrants’ service territories, financial results from the Registrants’ businesses could be adversely impacted. For example, CenterPoint Energy’s and CERC’s Natural Gas could be adversely affected through lower natural gas sales. On the other hand, warmer temperatures in CenterPoint Energy’s and Houston Electric’s electric service territory may increase revenues from transmission and distribution and generation through increased demand for electricity used for cooling. Another possible result of climate change is more frequent and more severe weather events, such as hurricanes, tornadoes and flooding, including such storms as the February 2021 Winter Storm Event. Since many of the Registrants’ facilities are located along or near the Texas gulf coast, increased or more severe hurricanes or tornadoes could increase costs to repair damaged facilities and restore service to customers. CenterPoint Energy’s current 10-year capital plan includes capital expenditures to maintain reliability and safety and increase resiliency of its systems as climate change may result in more frequent significant weather events. Houston Electric does not own or operate any electric generation facilities other than, since September 2021, its operation of TEEEF. Houston Electric transmits and distributes to customers of REPs electric power that the REPs obtain from power generation facilities owned by third parties. To the extent adverse weather conditions affect the Registrants’ suppliers, results from their energy delivery businesses may suffer. For example, in Texas, the February 2021 Winter Storm Event caused an electricity generation shortage that was severely disruptive to Houston Electric’s service territory and the wholesale generation market and also caused a reduction in available natural gas capacity. When the Registrants cannot deliver electricity or natural gas to customers, or customers cannot receive services, the Registrants’ financial results can be impacted by lost revenues, and they generally must seek approval from regulators to recover restoration costs. To the extent the Registrants are unable to recover those costs, or if higher rates resulting from recovery of such costs result in reduced demand for services, the Registrants’ future financial results may be adversely impacted. Further, as the intensity and frequency of significant weather events continues, it may impact our ability to secure cost-efficient insurance. </w:t>
      </w:r>
    </w:p>
    <w:p>
      <w:pPr>
        <w:pStyle w:val="TextBody"/>
        <w:spacing w:before="0" w:after="0"/>
        <w:ind w:left="0" w:right="0" w:firstLine="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spacing w:before="0" w:after="0"/>
        <w:rPr/>
      </w:pPr>
      <w:r>
        <w:rPr/>
      </w:r>
    </w:p>
    <w:p>
      <w:pPr>
        <w:pStyle w:val="TextBody"/>
        <w:spacing w:lineRule="auto" w:line="288" w:before="0" w:after="0"/>
        <w:ind w:left="0" w:right="0" w:firstLine="180"/>
        <w:rPr>
          <w:rFonts w:ascii="Times New Roman;sans-serif" w:hAnsi="Times New Roman;sans-serif"/>
          <w:b/>
          <w:i/>
          <w:color w:val="000000"/>
          <w:sz w:val="20"/>
        </w:rPr>
      </w:pPr>
      <w:r>
        <w:rPr>
          <w:rFonts w:ascii="Times New Roman;sans-serif" w:hAnsi="Times New Roman;sans-serif"/>
          <w:b/>
          <w:i/>
          <w:color w:val="000000"/>
          <w:sz w:val="20"/>
        </w:rPr>
        <w:t xml:space="preserve">Credit Facilities </w:t>
      </w:r>
    </w:p>
    <w:p>
      <w:pPr>
        <w:pStyle w:val="TextBody"/>
        <w:spacing w:before="0" w:after="0"/>
        <w:ind w:left="0" w:right="0" w:firstLine="18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see Note 11 to the Interim Condensed Financial Statements.</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consolidated debt to capitalization covenant in the Registrants’ revolving credit facilities, the Registrants would have been permitted to utilize the full capacity of such revolving credit facilities, which aggregated approximately $4.0 billion as of March 31, 2023. As of April 19, 2023, the Registrants had the following revolving credit facilities and utilization of such facilities:</w:t>
      </w:r>
    </w:p>
    <w:tbl>
      <w:tblPr>
        <w:tblW w:w="10205" w:type="dxa"/>
        <w:jc w:val="left"/>
        <w:tblInd w:w="0" w:type="dxa"/>
        <w:tblCellMar>
          <w:top w:w="28" w:type="dxa"/>
          <w:left w:w="28" w:type="dxa"/>
          <w:bottom w:w="28" w:type="dxa"/>
          <w:right w:w="28" w:type="dxa"/>
        </w:tblCellMar>
      </w:tblPr>
      <w:tblGrid>
        <w:gridCol w:w="529"/>
        <w:gridCol w:w="464"/>
        <w:gridCol w:w="468"/>
        <w:gridCol w:w="109"/>
        <w:gridCol w:w="109"/>
        <w:gridCol w:w="109"/>
        <w:gridCol w:w="235"/>
        <w:gridCol w:w="689"/>
        <w:gridCol w:w="121"/>
        <w:gridCol w:w="109"/>
        <w:gridCol w:w="109"/>
        <w:gridCol w:w="109"/>
        <w:gridCol w:w="211"/>
        <w:gridCol w:w="406"/>
        <w:gridCol w:w="109"/>
        <w:gridCol w:w="109"/>
        <w:gridCol w:w="109"/>
        <w:gridCol w:w="109"/>
        <w:gridCol w:w="299"/>
        <w:gridCol w:w="512"/>
        <w:gridCol w:w="154"/>
        <w:gridCol w:w="109"/>
        <w:gridCol w:w="109"/>
        <w:gridCol w:w="109"/>
        <w:gridCol w:w="271"/>
        <w:gridCol w:w="792"/>
        <w:gridCol w:w="140"/>
        <w:gridCol w:w="109"/>
        <w:gridCol w:w="109"/>
        <w:gridCol w:w="109"/>
        <w:gridCol w:w="509"/>
        <w:gridCol w:w="509"/>
        <w:gridCol w:w="511"/>
        <w:gridCol w:w="109"/>
        <w:gridCol w:w="109"/>
        <w:gridCol w:w="109"/>
        <w:gridCol w:w="381"/>
        <w:gridCol w:w="381"/>
        <w:gridCol w:w="552"/>
      </w:tblGrid>
      <w:tr>
        <w:trPr/>
        <w:tc>
          <w:tcPr>
            <w:tcW w:w="52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r>
      <w:tr>
        <w:trPr/>
        <w:tc>
          <w:tcPr>
            <w:tcW w:w="14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8"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 Utilized as of April 19,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Registrant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Size of Facility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Loans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Letters of Credit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Paper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 Date</w:t>
            </w:r>
          </w:p>
        </w:tc>
      </w:tr>
      <w:tr>
        <w:trPr/>
        <w:tc>
          <w:tcPr>
            <w:tcW w:w="14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2027</w:t>
            </w:r>
          </w:p>
        </w:tc>
      </w:tr>
      <w:tr>
        <w:trPr/>
        <w:tc>
          <w:tcPr>
            <w:tcW w:w="146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CenterPoint Energy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2027</w:t>
            </w:r>
          </w:p>
        </w:tc>
      </w:tr>
      <w:tr>
        <w:trPr/>
        <w:tc>
          <w:tcPr>
            <w:tcW w:w="14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r>
      <w:tr>
        <w:trPr/>
        <w:tc>
          <w:tcPr>
            <w:tcW w:w="14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4" w:type="dxa"/>
            <w:gridSpan w:val="3"/>
            <w:tcBorders/>
            <w:shd w:fill="auto" w:val="clear"/>
            <w:vAlign w:val="center"/>
          </w:tcPr>
          <w:p>
            <w:pPr>
              <w:pStyle w:val="TableContents"/>
              <w:spacing w:before="0" w:after="283"/>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Houston Electric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2027</w:t>
            </w:r>
          </w:p>
        </w:tc>
      </w:tr>
      <w:tr>
        <w:trPr/>
        <w:tc>
          <w:tcPr>
            <w:tcW w:w="14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6, 2027</w:t>
            </w:r>
          </w:p>
        </w:tc>
      </w:tr>
      <w:tr>
        <w:trPr/>
        <w:tc>
          <w:tcPr>
            <w:tcW w:w="146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(1)This credit facility was issued by SIGECO.</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each of the revolving credit facilities are subject to customary terms and conditions. However, there is no requirement that the borrower makes representations prior to borrowing as to the absence of material adverse changes or litigation that could be expected to have a material adverse effect. Borrowings under each of the revolving credit facilities are subject to acceleration upon the occurrence of events of default that we consider customary. The revolving credit facilities also provide for customary fees, including commitment fees, administrative agent fees, fees in respect of letters of credit and other fees. In each of the revolving credit facilities, the spread to SOFR and the commitment fees fluctuate based on the borrower’s credit rating. Each of the Registrant’s credit facilities provide for a mechanism to replace SOFR with possible alternative benchmarks upon certain benchmark replacement events. The borrowers are currently in compliance with the various business and financial covenants in the four revolving credit facilities.</w:t>
      </w:r>
    </w:p>
    <w:p>
      <w:pPr>
        <w:pStyle w:val="TextBody"/>
        <w:spacing w:before="0" w:after="0"/>
        <w:ind w:left="0" w:right="0" w:firstLine="360"/>
        <w:jc w:val="both"/>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Debt Transactions </w:t>
      </w:r>
    </w:p>
    <w:p>
      <w:pPr>
        <w:pStyle w:val="TextBody"/>
        <w:spacing w:before="0" w:after="0"/>
        <w:ind w:left="0" w:right="0" w:firstLine="18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detailed information about the Registrants’ debt transactions to date in 2023, see Note 11 to the Interim Condensed Financial Statements.</w:t>
      </w:r>
    </w:p>
    <w:p>
      <w:pPr>
        <w:pStyle w:val="TextBody"/>
        <w:spacing w:before="0" w:after="0"/>
        <w:ind w:left="0" w:right="0" w:firstLine="360"/>
        <w:jc w:val="both"/>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Securities Registered with the SEC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22, 2020,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22, 2023. For information related to the Registrants’ debt issuances in 2022, see Note 11 to the Interim Condensed Financial Statements.</w:t>
      </w:r>
    </w:p>
    <w:p>
      <w:pPr>
        <w:pStyle w:val="TextBody"/>
        <w:spacing w:before="0" w:after="0"/>
        <w:jc w:val="both"/>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Temporary Investments </w:t>
      </w:r>
    </w:p>
    <w:p>
      <w:pPr>
        <w:pStyle w:val="TextBody"/>
        <w:spacing w:before="0" w:after="0"/>
        <w:ind w:left="0" w:right="0" w:firstLine="18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19, 2023, the Registrants had no temporary investments.</w:t>
      </w:r>
    </w:p>
    <w:p>
      <w:pPr>
        <w:pStyle w:val="TextBody"/>
        <w:spacing w:before="0" w:after="0"/>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Money Pool </w:t>
      </w:r>
    </w:p>
    <w:p>
      <w:pPr>
        <w:pStyle w:val="TextBody"/>
        <w:spacing w:before="0" w:after="0"/>
        <w:ind w:left="0" w:right="0" w:firstLine="18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 The net funding requirements of the CERC money pool are expected to be met with borrowings under CERC’s revolving credit facility or the sale of CERC’s commercial paper. The money pool may not provide sufficient funds to meet the Registrants’ cash needs.</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360"/>
        <w:jc w:val="both"/>
        <w:rPr/>
      </w:pPr>
      <w:r>
        <w:rPr>
          <w:rFonts w:ascii="Times New Roman;sans-serif" w:hAnsi="Times New Roman;sans-serif"/>
          <w:b w:val="false"/>
          <w:color w:val="000000"/>
          <w:sz w:val="20"/>
        </w:rPr>
        <w:t>The table below summarizes CenterPoint Energy money pool activity by Registrant as of April 19, 2023:</w:t>
      </w:r>
      <w:r>
        <w:rPr>
          <w:color w:val="000000"/>
        </w:rPr>
        <w:t xml:space="preserve"> </w:t>
      </w:r>
    </w:p>
    <w:tbl>
      <w:tblPr>
        <w:tblW w:w="7439" w:type="dxa"/>
        <w:jc w:val="center"/>
        <w:tblInd w:w="0" w:type="dxa"/>
        <w:tblCellMar>
          <w:top w:w="28" w:type="dxa"/>
          <w:left w:w="28" w:type="dxa"/>
          <w:bottom w:w="28" w:type="dxa"/>
          <w:right w:w="28" w:type="dxa"/>
        </w:tblCellMar>
      </w:tblPr>
      <w:tblGrid>
        <w:gridCol w:w="793"/>
        <w:gridCol w:w="697"/>
        <w:gridCol w:w="699"/>
        <w:gridCol w:w="814"/>
        <w:gridCol w:w="814"/>
        <w:gridCol w:w="817"/>
        <w:gridCol w:w="109"/>
        <w:gridCol w:w="109"/>
        <w:gridCol w:w="109"/>
        <w:gridCol w:w="354"/>
        <w:gridCol w:w="783"/>
        <w:gridCol w:w="183"/>
        <w:gridCol w:w="109"/>
        <w:gridCol w:w="109"/>
        <w:gridCol w:w="109"/>
        <w:gridCol w:w="211"/>
        <w:gridCol w:w="466"/>
        <w:gridCol w:w="154"/>
      </w:tblGrid>
      <w:tr>
        <w:trPr/>
        <w:tc>
          <w:tcPr>
            <w:tcW w:w="793"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Money pool investments </w:t>
            </w:r>
          </w:p>
        </w:tc>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180"/>
        <w:jc w:val="both"/>
        <w:rPr/>
      </w:pPr>
      <w:r>
        <w:rPr/>
      </w:r>
    </w:p>
    <w:p>
      <w:pPr>
        <w:pStyle w:val="TextBody"/>
        <w:spacing w:lineRule="auto" w:line="288" w:before="0" w:after="0"/>
        <w:ind w:left="0" w:right="0" w:firstLine="180"/>
        <w:jc w:val="both"/>
        <w:rPr/>
      </w:pPr>
      <w:r>
        <w:rPr>
          <w:rFonts w:ascii="Times New Roman;sans-serif" w:hAnsi="Times New Roman;sans-serif"/>
          <w:b/>
          <w:i/>
          <w:color w:val="000000"/>
          <w:sz w:val="20"/>
        </w:rPr>
        <w:t>Impact on Liquidity of a Downgrade in Credit Ratings</w:t>
      </w:r>
      <w:r>
        <w:rPr>
          <w:color w:val="000000"/>
        </w:rPr>
        <w:t xml:space="preserve">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 on borrowings under the credit facilities is based on each respective borrower’s credit ratings. As of April 19, 2023, Moody’s, S&amp;P and Fitch had assigned the following credit ratings to the borrowers: </w:t>
      </w:r>
    </w:p>
    <w:tbl>
      <w:tblPr>
        <w:tblW w:w="10205" w:type="dxa"/>
        <w:jc w:val="left"/>
        <w:tblInd w:w="0" w:type="dxa"/>
        <w:tblCellMar>
          <w:top w:w="28" w:type="dxa"/>
          <w:left w:w="28" w:type="dxa"/>
          <w:bottom w:w="28" w:type="dxa"/>
          <w:right w:w="28" w:type="dxa"/>
        </w:tblCellMar>
      </w:tblPr>
      <w:tblGrid>
        <w:gridCol w:w="537"/>
        <w:gridCol w:w="472"/>
        <w:gridCol w:w="477"/>
        <w:gridCol w:w="109"/>
        <w:gridCol w:w="109"/>
        <w:gridCol w:w="109"/>
        <w:gridCol w:w="896"/>
        <w:gridCol w:w="845"/>
        <w:gridCol w:w="848"/>
        <w:gridCol w:w="109"/>
        <w:gridCol w:w="109"/>
        <w:gridCol w:w="109"/>
        <w:gridCol w:w="174"/>
        <w:gridCol w:w="174"/>
        <w:gridCol w:w="178"/>
        <w:gridCol w:w="109"/>
        <w:gridCol w:w="109"/>
        <w:gridCol w:w="109"/>
        <w:gridCol w:w="245"/>
        <w:gridCol w:w="239"/>
        <w:gridCol w:w="241"/>
        <w:gridCol w:w="109"/>
        <w:gridCol w:w="109"/>
        <w:gridCol w:w="109"/>
        <w:gridCol w:w="191"/>
        <w:gridCol w:w="191"/>
        <w:gridCol w:w="192"/>
        <w:gridCol w:w="109"/>
        <w:gridCol w:w="109"/>
        <w:gridCol w:w="109"/>
        <w:gridCol w:w="245"/>
        <w:gridCol w:w="239"/>
        <w:gridCol w:w="241"/>
        <w:gridCol w:w="109"/>
        <w:gridCol w:w="109"/>
        <w:gridCol w:w="109"/>
        <w:gridCol w:w="170"/>
        <w:gridCol w:w="170"/>
        <w:gridCol w:w="171"/>
        <w:gridCol w:w="109"/>
        <w:gridCol w:w="109"/>
        <w:gridCol w:w="109"/>
        <w:gridCol w:w="230"/>
        <w:gridCol w:w="224"/>
        <w:gridCol w:w="326"/>
      </w:tblGrid>
      <w:tr>
        <w:trPr/>
        <w:tc>
          <w:tcPr>
            <w:tcW w:w="537"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r>
      <w:tr>
        <w:trPr/>
        <w:tc>
          <w:tcPr>
            <w:tcW w:w="1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Moody’s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S&amp;P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Fitch</w:t>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Registrant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Borrower/Instrument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Rating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Outlook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Rating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Outlook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Rating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Outlook (3)</w:t>
            </w:r>
          </w:p>
        </w:tc>
      </w:tr>
      <w:tr>
        <w:trPr/>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CenterPoint Energy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CenterPoint Energy Senior Unsecured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Baa2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r>
        <w:trPr/>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CenterPoint Energy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Vectren Corp. Issuer Rating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CenterPoint Energy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SIGECO Senior Secured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A1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Houston Electric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Houston Electric Senior Secured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r>
        <w:trPr/>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CERC Corp. Senior Unsecured Debt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r>
        <w:trPr/>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Indiana Gas Senior Unsecured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spacing w:before="0" w:after="0"/>
        <w:jc w:val="center"/>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 Moody’s rating outlook is an opinion regarding the likely direction of an issuer’s rating over the medium term.</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(2)An S&amp;P outlook assesses the potential direction of a long-term credit rating over the intermediate to longer term.</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 Fitch rating outlook indicates the direction a rating is likely to move over a one- to two-year period.</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decline in credit ratings could increase borrowing costs under the Registrants’ revolving credit facilities. If the Registrants’ credit ratings had been downgraded one notch by S&amp;P and Moody’s from the ratings that existed as of March 31, 2023, the impact on the borrowing costs under the three revolving credit facilities would have been insignificant.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up to $240 million as of March 31, 2023. The amount of collateral will depend on seasonal variations in transportation levels.</w:t>
      </w:r>
    </w:p>
    <w:p>
      <w:pPr>
        <w:pStyle w:val="TextBody"/>
        <w:spacing w:before="0" w:after="0"/>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ZENS and Securities Related to ZENS (CenterPoint Energy)</w:t>
      </w:r>
    </w:p>
    <w:p>
      <w:pPr>
        <w:pStyle w:val="TextBody"/>
        <w:spacing w:before="0" w:after="0"/>
        <w:ind w:left="0" w:right="0" w:firstLine="18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CenterPoint Energy’s creditworthiness were to drop such that ZENS holders thought its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 cash outflow because tax deferrals related to the ZENS and shares of ZENS-Related Securities would typically cease when ZENS are exchanged or otherwise retired and shares of ZENS-Related Securities are sold. The ultimate tax liability related to the ZENS and ZENS-Related Securities continues to increase by the amount of the tax benefit realized each year, and there could be a significant cash outflow when the taxes are paid as a result of the retirement or exchange of the ZENS. If all ZENS had been exchanged for cash on March 31, 2023, deferred taxes of approximately $674 million would have been payable in 2023. If all the ZENS-Related Securities had been sold on March 31, 2023, capital gains taxes of approximately $83 million would have been payable in 2023 based on 2023 tax rates in effect. For additional information about ZENS, see Note 10 to the Interim Condensed Financial Statements.</w:t>
      </w:r>
    </w:p>
    <w:p>
      <w:pPr>
        <w:pStyle w:val="TextBody"/>
        <w:spacing w:before="0" w:after="0"/>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Cross Defaults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each of CenterPoint Energy’s, Houston Electric’s and CERC’s respective revolving credit facilities and CERC’s term loan agreement, a payment default on, or a non-payment default, event or condition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Under SIGECO’s revolving credit facility, a payment default on, or a non-payment default, event or condition that permits acceleration of, any indebtedness for borrowed money and certain other specific types of obligations (including guarantees) exceeding $75 million by SIGECO or any of its significant subsidiaries will cause a default under SIGECO’s credit facility. A default by CenterPoint Energy would not trigger a default under its subsidiaries’ debt instruments or revolving credit facilities.</w:t>
      </w:r>
    </w:p>
    <w:p>
      <w:pPr>
        <w:pStyle w:val="TextBody"/>
        <w:spacing w:before="0" w:after="0"/>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 xml:space="preserve">Possible Acquisitions, Divestitures and Joint Ventures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As announced in September 2021 and updated in November 2022, CenterPoint Energy has increased its planned capital expenditures in its Electric and Natural Gas businesses to support rate base growth and may explore asset sales as a means to efficiently finance a portion of such increased capital expenditures. For further information, see Note 3 to the Interim Condensed Financial Statements.</w:t>
      </w:r>
    </w:p>
    <w:p>
      <w:pPr>
        <w:pStyle w:val="TextBody"/>
        <w:spacing w:before="0" w:after="0"/>
        <w:ind w:left="0" w:right="0" w:firstLine="360"/>
        <w:jc w:val="both"/>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Hedging of Interest Expense for Future Debt Issuances</w:t>
      </w:r>
    </w:p>
    <w:p>
      <w:pPr>
        <w:pStyle w:val="TextBody"/>
        <w:spacing w:before="0" w:after="0"/>
        <w:ind w:left="0" w:right="0" w:firstLine="18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Registrants may enter into interest rate agreements to hedge, in part, volatility in the U.S. treasury rates by reducing variability in cash flows related to interest payments. For further information, see Note 7(a) to the Interim Condensed Financial Statements.</w:t>
      </w:r>
    </w:p>
    <w:p>
      <w:pPr>
        <w:pStyle w:val="TextBody"/>
        <w:spacing w:before="0" w:after="0"/>
        <w:ind w:left="0" w:right="0" w:firstLine="360"/>
        <w:jc w:val="both"/>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Collection of Receivables from REPs (CenterPoint Energy and Houston Electric)</w:t>
      </w:r>
    </w:p>
    <w:p>
      <w:pPr>
        <w:pStyle w:val="TextBody"/>
        <w:spacing w:before="0" w:after="0"/>
        <w:ind w:left="0" w:right="0" w:firstLine="18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the February 2021 Winter Storm Event,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 </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Other Factors that Could Affect Cash Requirements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factors, the Registrants’ liquidity and capital resources could also be negatively affected by: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cash collateral requirements that could exist in connection with certain contracts, including weather hedging arrangements, and natural gas purchases, natural gas price and natural gas storage activities of CenterPoint Energy’s and CERC’s Natural Gas reportable segment;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acceleration of payment dates on certain gas supply contracts, under certain circumstances, as a result of increased natural gas prices, and concentration of natural gas suppliers (CenterPoint Energy and CERC);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increased costs related to the acquisition of natural gas (CenterPoint Energy and CERC);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interest expense in connection with debt refinancings and borrowings under credit facilities or term loans or the use of alternative sources of financings on capital and other financial markets;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various legislative or regulatory actions;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incremental collateral, if any, that may be required due to regulation of derivatives (CenterPoint Energy);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ability of REPs, including REP affiliates of NRG and Vistra Energy Corp., to satisfy their obligations to CenterPoint Energy and Houston Electric;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slower customer payments and increased write-offs of receivables due to higher natural gas prices, changing economic conditions, public health threats or severe weather events (CenterPoint Energy and CERC);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satisfaction of any obligations pursuant to guarantees;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outcome of litigation, including litigation related to the February 2021 Winter Storm Event;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contributions to pension and postretirement benefit plans;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disruptions in the banking industry, including bank failures and uncertainty regarding bank stability;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restoration costs and revenue losses resulting from future natural disasters such as hurricanes and the timing of recovery of such restoration costs;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various other risks identified in “Risk Factors” in </w:t>
      </w:r>
      <w:hyperlink r:id="rId2">
        <w:r>
          <w:rPr>
            <w:rStyle w:val="InternetLink"/>
            <w:rFonts w:ascii="Times New Roman;sans-serif" w:hAnsi="Times New Roman;sans-serif"/>
            <w:b w:val="false"/>
            <w:color w:val="0000FF"/>
            <w:sz w:val="20"/>
            <w:u w:val="single"/>
          </w:rPr>
          <w:t>Item 1A of Part I of the Registrants’ combined 2022 Form 10-K</w:t>
        </w:r>
      </w:hyperlink>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88" w:before="0" w:after="0"/>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Certain Contractual Limits on Our Ability to Issue Securities and Borrow Money</w:t>
      </w:r>
    </w:p>
    <w:p>
      <w:pPr>
        <w:pStyle w:val="TextBody"/>
        <w:spacing w:before="0" w:after="0"/>
        <w:ind w:left="0" w:right="0" w:firstLine="360"/>
        <w:jc w:val="both"/>
        <w:rPr/>
      </w:pPr>
      <w:r>
        <w:rPr/>
      </w:r>
    </w:p>
    <w:p>
      <w:pPr>
        <w:pStyle w:val="TextBody"/>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provisions in certain note purchase agreements relating to debt issued by CERC have the effect of restricting the amount of secured debt issued by CERC and debt issued by subsidiaries of CERC Corp. Additionally, Houston Electric and SIGECO are limited in the amount of mortgage bonds they can issue by the General Mortgage and SIGECO’s mortgage indenture, respectively. For information about the total debt to capitalization financial covenants in the Registrants’ and SIGECO’s revolving credit facilities, see Note 11 to the Interim Condensed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360"/>
        <w:jc w:val="both"/>
        <w:rPr/>
      </w:pPr>
      <w:r>
        <w:rPr/>
      </w:r>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spacing w:before="0" w:after="0"/>
        <w:jc w:val="center"/>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critical accounting policy is one that is both important to the presentation of the Registrants’ financial condition and results of operations and requires management to make difficult, subjective or complex accounting estimates. An accounting estimate is an approximation made by management of a financial statement element, item or account in the financial statements. Accounting estimates in the Registrants’ historical consolidated financial statements measure the effects of past business transactions or events, or the present status of an asset or liability. Additionally, different estimates that the Registrants could have used or changes in an accounting estimate that are reasonably likely to occur could have a material impact on the presentation of their financial condition, results of operations or cash flows. The circumstances that make these judgments difficult, subjective and/or complex have to do with the need to make estimates about the effect of matters that are inherently uncertain. Estimates and assumptions about future events and their effects cannot be predicted with certainty. The Registrants base their estimates on historical experience and on various other assumptions that they believe to be reasonable under the circumstances, the results of which form the basis for making judgments. These estimates may change as new events occur, as more experience is acquired, as additional information is obtained and as the Registrants’ operating environment changes.</w:t>
      </w:r>
    </w:p>
    <w:p>
      <w:pPr>
        <w:pStyle w:val="TextBody"/>
        <w:spacing w:before="0" w:after="0"/>
        <w:ind w:left="0" w:right="0" w:firstLine="36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Impairment of Long-Lived Assets, Including Identifiable Intangibles and Goodwill</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Registrants review the carrying value of long-lived assets, including identifiable intangibles and goodwill, whenever events or changes in circumstances indicate that such carrying values may not be recoverable, and at least annually, goodwill is tested for impairment as required by accounting guidance for goodwill and other intangible assets. Unforeseen events, changes in market conditions, and probable regulatory disallowances, where applicable, could have a material effect on the value of long-lived assets, including intangibles and goodwill, future cash flows, interest rate, and regulatory matters, and could result in an impairment charge. </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and CERC completed their 2022 annual goodwill impairment test during the third quarter of 2022 and determined, based on an income approach or a weighted combination of income and market approaches, that no goodwill impairment charge was required for any reporting unit. The fair values of each reporting unit significantly exceeded the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carrying value of the reporting unit as of the last annual test. </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Registrants consider the acquisition or the disposition of assets or businesses, and market information obtained through these exploratory activities is considered during the preparation of the financial statements to determine if an interim impairment test is required. The Registrants did not identify triggering events in connection with their preparation of the financial statements for the three months ended March 31, 2023, and goodwill impairment of long-lived asset impairments tests were not required or performed.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Accounting for Securitization of Planned Generation Retirements</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Accounting guidance for rate regulated long-lived asset abandonment requires that the carrying value of an operating asset or an asset under construction is removed from property, plant and equipment when it becomes probable that the asset will be abandoned. The Registrants recognize either a loss on abandonment or regulatory asset when concluded it is probable the cost will be recovered in future rates. The portion of property, plant and equipment that will remain used and useful until abandonment and recovered through depreciation expense in rates will continue to be classified as property, plant and equipment until the asset is abandoned. The Registrants evaluate if an adjustment to the estimated life of the asset and, accordingly, the rate of depreciation, is required to recover the asset while it is still providing service. Determining probability of abandonment or probability of recovery requires significant judgment on the part of management and includes, but is not limited to, consideration of testimony presented in regulatory hearings, proposed regulatory decisions, final regulatory orders and the strength or status of applications for rehearing or state court appeals. If events were to occur that would make the recovery of a regulatory asset no longer probable, the Registrants would be required to write off or write down the regulatory asset. For example, during 2022, the MPUC disallowed recovery of approximately $36 million of jurisdictional gas costs incurred during the February 2021 Winter Storm Event and CenterPoint Energy and CERC’s regulatory asset balance was reduced when such amounts were no longer probable of recovery. For further detail on the regulatory matter, see Note 6 to the consolidated financial statements.</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interim goodwill impairment review and securitization transaction discussed above, there have been no significant changes in our critical accounting policies during the three months ended March 31, 2023, as compared to the critical accounting policies disclosed in Management’s Discussion and Analysis of Financial Condition and Results of Operations included in the Registrants’ combined 2022 Form 10-K.</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Item 3.QUANTITATIVE AND QUALITATIVE DISCLOSURES ABOUT MARKET RISK</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Interest Rate Risk (CenterPoint Energy)</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CenterPoint Energy had outstanding long-term debt, lease obligations and obligations under its ZENS that subject it to the risk of loss associated with movements in market interest rates.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Energy’s floating rate obligations aggregated $2.6 billion and $4.5 billion as of March 31, 2023 and December 31, 2022, respectively. If the floating interest rates were to increase by 100 basis points from March 31, 2023 rates, CenterPoint Energy’s combined interest expense would increase by approximately $26 million annually. In April 2023, SIGECO executed a remarketing agreement to remarket five series of tax-exempt debt of approximately $148 million, which is expected to close on May 1, 2023. SIGECO expects to remarket an additional $38 million of tax-exempt debt at then market rates due to mandatory purchase or mandatory tender for purchase provisions by the end of 2023. For further information, see Note 11 to the Interim Condensed Financial Statements. On September 1, 2023, CenterPoint Energy’s Series A Preferred Stock will convert from a fixed rate dividend rate to a floating rate per annum equal to three month U.S. dollar LIBOR (or alternative benchmark rate) plus 3.270%.</w:t>
      </w:r>
    </w:p>
    <w:p>
      <w:pPr>
        <w:pStyle w:val="TextBody"/>
        <w:spacing w:before="0" w:after="0"/>
        <w:rPr/>
      </w:pPr>
      <w:r>
        <w:rPr/>
      </w:r>
    </w:p>
    <w:p>
      <w:pPr>
        <w:pStyle w:val="TextBody"/>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CenterPoint Energy had outstanding fixed-rate debt (excluding indexed debt securities) aggregating $14 billion and $12.5 billion, respectively, in principal amount and having a fair value of $13 billion and $11.1 billion, respectively. Because these instruments are fixed-rate, they do not expose CenterPoint Energy to the risk of loss in earnings due to changes in market interest rates. However, the fair value of these instruments would increase </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by approximately $603 million if interest rates were to decline by 10% from levels at March 31, 2023. In general, such an increase in fair value would impact earnings and cash flows only if CenterPoint Energy were to reacquire all or a portion of these instruments in the open market prior to their maturity. On an unconsolidated basis, CenterPoint Energy has no fixed-rate senior notes maturing in 2023; however, CERC has $57 million of fixed-rate senior notes maturing in 2023 that it expects to refinance at current rates.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ZENS obligation is bifurcated into a debt component and a derivative component. The debt component of $6 million as of March 31, 2023 was a fixed-rate obligation and, therefore, did not expose CenterPoint Energy to the risk of loss in earnings due to changes in market interest rates. However, the fair value of the debt component would increase by approximately $1 million if interest rates were to decline by 10% from levels at March 31, 2023. Changes in the fair value of the derivative component, a $617 million recorded liability at March 31, 2023, are recorded in CenterPoint Energy’s Condensed Statements of Consolidated Income and, therefore, it is exposed to changes in the fair value of the derivative component as a result of changes in the underlying risk-free interest rate. If the risk-free interest rate were to increase by 10% from March 31, 2023 levels, the fair value of the derivative component liability would decrease by $1 million, which would be recorded as an unrealized gain in CenterPoint Energy’s Condensed Statements of Consolidated Income.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Equity Market Value Risk (CenterPoint Energy)</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 is exposed to equity market value risk through its ownership of 10.2 million shares of AT&amp;T Common, 0.9 million shares of Charter Common and 2.5 million shares of WBD Common, which CenterPoint Energy holds to facilitate its ability to meet its obligations under the ZENS. See Note 10 to the Interim Condensed Financial Statements for a discussion of CenterPoint Energy’s ZENS obligation. Changes in the fair value of the ZENS-Related Securities held by CenterPoint Energy are expected to substantially offset changes in the fair value of the derivative component of the ZENS. A decrease of 10% from the March 31, 2023 aggregate market value of these shares would result in a net loss of less than $1 million, which would be recorded as a loss in CenterPoint Energy’s Condensed Statements of Consolidated Income.</w:t>
      </w:r>
    </w:p>
    <w:p>
      <w:pPr>
        <w:pStyle w:val="TextBody"/>
        <w:spacing w:before="0" w:after="0"/>
        <w:ind w:left="0" w:right="0" w:firstLine="36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Commodity Price Risk From Non-Trading Activities (CenterPoint Energy and CERC)</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CenterPoint Energy’s and CERC’s regulated operations in Indiana have limited exposure to commodity price risk for transactions involving purchases and sales of natural gas, coal and purchased power for the benefit of retail customers due to current state regulations, which, subject to compliance with those regulations, allow for recovery of the cost of such purchases through natural gas and fuel cost adjustment mechanisms. CenterPoint Energy’s and CERC’s utility natural gas operations in Indiana have regulatory authority to lock in pricing for up to 50% of annual natural gas purchases using arrangements with an original term of up to 10 years. This authority has been utilized to secure fixed price natural gas using both physical purchases and financial derivatives. As of March 31, 2023, the recorded fair value of non-trading energy derivative assets was $1 million and $1 million, respectively, for CenterPoint Energy’s and CERC’s utility natural gas operations in Indiana.</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CenterPoint Energy’s and CERC’s regulated operations are exposed to limited commodity price risk, natural gas and coal prices have other effects on working capital requirements, interest costs, and some level of price-sensitivity in volumes sold or delivered. Constructive regulatory orders, such as those authorizing lost margin recovery, other innovative rate designs and recovery of unaccounted for natural gas and other natural gas-related expenses, also mitigate the effect natural gas costs may have on CenterPoint Energy’s financial condition. In 2008, the PUCO approved an exit of the merchant function in CenterPoint Energy’s and CERC’s Ohio natural gas service territory, allowing Ohio customers to purchase substantially all natural gas directly from retail marketers rather than from CenterPoint Energy or CERC.</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 xml:space="preserve">Item 4.CONTROLS AND PROCEDURES </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March 31, 2023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Registrants’ internal controls over financial reporting that occurred during the three months ended March 31, 2023 that has materially affected, or is reasonably likely to materially affect, the Registrants’ internal controls over financial reporting.</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spacing w:before="0" w:after="0"/>
        <w:rPr/>
      </w:pPr>
      <w:r>
        <w:rPr/>
      </w:r>
    </w:p>
    <w:p>
      <w:pPr>
        <w:pStyle w:val="TextBody"/>
        <w:spacing w:lineRule="auto" w:line="288" w:before="0" w:after="0"/>
        <w:ind w:left="0" w:right="0" w:firstLine="360"/>
        <w:jc w:val="both"/>
        <w:rPr/>
      </w:pPr>
      <w:r>
        <w:rPr>
          <w:rFonts w:ascii="Times New Roman;sans-serif" w:hAnsi="Times New Roman;sans-serif"/>
          <w:b w:val="false"/>
          <w:color w:val="000000"/>
          <w:sz w:val="20"/>
        </w:rPr>
        <w:t>For a description of certain legal and regulatory proceedings, including environmental legal proceedings that involve a governmental authority as a party and that the Registrants reasonably believe would result in $1,000,000 or more of monetary sanctions, exclusive of interest and costs, under federal, state and local laws that have been enacted or adopted regulating the discharge of materials into the environment or primarily for the purpose of protecting the environment, affecting the Registrants, please read Note 13(c) to the Interim Condensed Financial Statements and “Management’s Discussion and Analysis of Financial Condition and Results of Operations — Liquidity and Capital Resources — Future Sources and Uses of Cash” and “— Regulatory Matters,” each of which is incorporated herein by reference. See also “</w:t>
      </w:r>
      <w:r>
        <w:fldChar w:fldCharType="begin"/>
      </w:r>
      <w:r>
        <w:rPr>
          <w:rStyle w:val="InternetLink"/>
          <w:sz w:val="20"/>
          <w:u w:val="single"/>
          <w:b w:val="false"/>
          <w:rFonts w:ascii="Times New Roman;sans-serif" w:hAnsi="Times New Roman;sans-serif"/>
        </w:rPr>
        <w:instrText> HYPERLINK "http://www.sec.gov/ix?doc=/Archives/edgar/data/48732/000113031020000016/cnp10k12312019.htm" \l "s29CE5F5E2BDE5C749379199663742F59"</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Business — Regulation” and “— Environmental Matters</w:t>
      </w:r>
      <w:r>
        <w:rPr>
          <w:rStyle w:val="InternetLink"/>
          <w:sz w:val="20"/>
          <w:u w:val="single"/>
          <w:b w:val="false"/>
          <w:rFonts w:ascii="Times New Roman;sans-serif" w:hAnsi="Times New Roman;sans-serif"/>
        </w:rPr>
        <w:fldChar w:fldCharType="end"/>
      </w:r>
      <w:r>
        <w:rPr>
          <w:color w:val="000000"/>
        </w:rPr>
        <w:t xml:space="preserve">” </w:t>
      </w:r>
      <w:r>
        <w:rPr>
          <w:rFonts w:ascii="Times New Roman;sans-serif" w:hAnsi="Times New Roman;sans-serif"/>
          <w:b w:val="false"/>
          <w:color w:val="000000"/>
          <w:sz w:val="20"/>
        </w:rPr>
        <w:t>in Item 1 and “</w:t>
      </w:r>
      <w:r>
        <w:fldChar w:fldCharType="begin"/>
      </w:r>
      <w:r>
        <w:rPr>
          <w:rStyle w:val="InternetLink"/>
          <w:sz w:val="20"/>
          <w:u w:val="single"/>
          <w:b w:val="false"/>
          <w:rFonts w:ascii="Times New Roman;sans-serif" w:hAnsi="Times New Roman;sans-serif"/>
        </w:rPr>
        <w:instrText> HYPERLINK "http://www.sec.gov/ix?doc=/Archives/edgar/data/48732/000113031020000016/cnp10k12312019.htm" \l "s0E6A8085ACE15900BB7AB519F58ABDD3"</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Legal Proceedings</w:t>
      </w:r>
      <w:r>
        <w:rPr>
          <w:rStyle w:val="InternetLink"/>
          <w:sz w:val="20"/>
          <w:u w:val="single"/>
          <w:b w:val="false"/>
          <w:rFonts w:ascii="Times New Roman;sans-serif" w:hAnsi="Times New Roman;sans-serif"/>
        </w:rPr>
        <w:fldChar w:fldCharType="end"/>
      </w:r>
      <w:r>
        <w:rPr>
          <w:color w:val="000000"/>
        </w:rPr>
        <w:t xml:space="preserve">” </w:t>
      </w:r>
      <w:r>
        <w:rPr>
          <w:rFonts w:ascii="Times New Roman;sans-serif" w:hAnsi="Times New Roman;sans-serif"/>
          <w:b w:val="false"/>
          <w:color w:val="000000"/>
          <w:sz w:val="20"/>
        </w:rPr>
        <w:t>in Item 3 of the Registrants’ combined 2022 Form 10-K.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 xml:space="preserve">Item 1A.RISK FACTORS </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from the risk factors disclosed in the Registrants’ combined 2022 Form 10-K. </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 xml:space="preserve">Item 5.OTHER INFORMATION </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6.</w:t>
      </w:r>
      <w:r>
        <w:rPr>
          <w:rFonts w:ascii="Times New Roman;sans-serif" w:hAnsi="Times New Roman;sans-serif"/>
          <w:b/>
          <w:color w:val="000000"/>
          <w:sz w:val="20"/>
        </w:rPr>
        <w:t>EXHIBITS</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Exhibits filed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the Registrants, any other persons, any state of affairs or other matters.</w:t>
      </w:r>
    </w:p>
    <w:p>
      <w:pPr>
        <w:pStyle w:val="TextBody"/>
        <w:spacing w:lineRule="auto" w:line="288" w:before="0" w:after="0"/>
        <w:ind w:left="0" w:right="0" w:firstLine="360"/>
        <w:jc w:val="both"/>
        <w:rPr>
          <w:color w:val="000000"/>
        </w:rPr>
      </w:pPr>
      <w:r>
        <w:rPr>
          <w:color w:val="000000"/>
        </w:rPr>
        <w:t> </w:t>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Item 601(b)(4)(iii)(A) of Regulation S-K, the Registrants have not filed as exhibits to this combined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643"/>
        <w:gridCol w:w="571"/>
        <w:gridCol w:w="578"/>
        <w:gridCol w:w="109"/>
        <w:gridCol w:w="109"/>
        <w:gridCol w:w="109"/>
        <w:gridCol w:w="400"/>
        <w:gridCol w:w="400"/>
        <w:gridCol w:w="401"/>
        <w:gridCol w:w="109"/>
        <w:gridCol w:w="109"/>
        <w:gridCol w:w="109"/>
        <w:gridCol w:w="335"/>
        <w:gridCol w:w="335"/>
        <w:gridCol w:w="336"/>
        <w:gridCol w:w="109"/>
        <w:gridCol w:w="109"/>
        <w:gridCol w:w="109"/>
        <w:gridCol w:w="275"/>
        <w:gridCol w:w="275"/>
        <w:gridCol w:w="276"/>
        <w:gridCol w:w="109"/>
        <w:gridCol w:w="109"/>
        <w:gridCol w:w="109"/>
        <w:gridCol w:w="338"/>
        <w:gridCol w:w="338"/>
        <w:gridCol w:w="339"/>
        <w:gridCol w:w="109"/>
        <w:gridCol w:w="109"/>
        <w:gridCol w:w="109"/>
        <w:gridCol w:w="249"/>
        <w:gridCol w:w="249"/>
        <w:gridCol w:w="250"/>
        <w:gridCol w:w="109"/>
        <w:gridCol w:w="109"/>
        <w:gridCol w:w="109"/>
        <w:gridCol w:w="180"/>
        <w:gridCol w:w="180"/>
        <w:gridCol w:w="262"/>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 or Registration</w:t>
              <w:br/>
              <w:t>Statement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or</w:t>
              <w:br/>
              <w:t>Registration</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16"/>
                  <w:u w:val="single"/>
                </w:rPr>
                <w:t xml:space="preserve">Agreement and Plan of Merger, dated as of April 21, 2018, by and among Vectren Corporation, CenterPoint Energy, Inc. and Pacer Merger Sub, Inc.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April 21, 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16"/>
                  <w:u w:val="single"/>
                </w:rPr>
                <w:t>Securities Purchase Agreement, dated as of February 3, 2020, by and among Vectren Utility Services, Inc., PowerTeam Services, LLC and, solely for purposes of Section 10.17 of the Securities Purchase Agreement, Vectren Corporation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February 3,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16"/>
                  <w:u w:val="single"/>
                </w:rPr>
                <w:t>Equity Purchase Agreement, dated as of February 24, 2020, by and between CERC Corp. and Athena Energy Services Buyer, LLC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February 24,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16"/>
                  <w:u w:val="single"/>
                </w:rPr>
                <w:t>Asset Purchase Agreement, by and between CenterPoint Energy Resources Corp. and Southern Col Midco, LLC, dated as of April 29, 2021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10-Q for the quarter ended 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16"/>
                  <w:u w:val="single"/>
                </w:rPr>
                <w:t>Restated Articles of Incorporation of CenterPoint Energy</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July 24, 2008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862"/>
        <w:gridCol w:w="483"/>
        <w:gridCol w:w="484"/>
        <w:gridCol w:w="109"/>
        <w:gridCol w:w="109"/>
        <w:gridCol w:w="109"/>
        <w:gridCol w:w="444"/>
        <w:gridCol w:w="371"/>
        <w:gridCol w:w="372"/>
        <w:gridCol w:w="109"/>
        <w:gridCol w:w="109"/>
        <w:gridCol w:w="109"/>
        <w:gridCol w:w="335"/>
        <w:gridCol w:w="335"/>
        <w:gridCol w:w="336"/>
        <w:gridCol w:w="109"/>
        <w:gridCol w:w="109"/>
        <w:gridCol w:w="109"/>
        <w:gridCol w:w="275"/>
        <w:gridCol w:w="275"/>
        <w:gridCol w:w="276"/>
        <w:gridCol w:w="109"/>
        <w:gridCol w:w="109"/>
        <w:gridCol w:w="109"/>
        <w:gridCol w:w="334"/>
        <w:gridCol w:w="334"/>
        <w:gridCol w:w="336"/>
        <w:gridCol w:w="109"/>
        <w:gridCol w:w="109"/>
        <w:gridCol w:w="109"/>
        <w:gridCol w:w="245"/>
        <w:gridCol w:w="245"/>
        <w:gridCol w:w="246"/>
        <w:gridCol w:w="109"/>
        <w:gridCol w:w="109"/>
        <w:gridCol w:w="109"/>
        <w:gridCol w:w="180"/>
        <w:gridCol w:w="180"/>
        <w:gridCol w:w="262"/>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 or Registration</w:t>
              <w:br/>
              <w:t>Statement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or</w:t>
              <w:br/>
              <w:t>Registration</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16"/>
                  <w:u w:val="single"/>
                </w:rPr>
                <w:t>Restated Certificate of Formation of Houston Electric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Houston Electric’s Form 10-Q for the quarter ended June 30, 2011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1-3187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16"/>
                  <w:u w:val="single"/>
                </w:rPr>
                <w:t>Certificate of Incorporation of RERC Corp.</w:t>
              </w:r>
            </w:hyperlink>
          </w:p>
          <w:p>
            <w:pPr>
              <w:pStyle w:val="TableContents"/>
              <w:spacing w:before="0" w:after="0"/>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CERC Form 10-K for the year ended December 31, 1997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1-13265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3(a)(1)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16"/>
                  <w:u w:val="single"/>
                </w:rPr>
                <w:t>Certificate of Merger merging former NorAm Energy Corp. with and into HI Merger, Inc. dated August 6, 1997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CERC Form 10-K for the year ended December 31, 1997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1-13265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3(a)(2)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16"/>
                  <w:u w:val="single"/>
                </w:rPr>
                <w:t>Certificate of Amendment changing the name to Reliant Energy Resources Corp.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CERC Form 10-K for the year ended December 31, 1998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1-13265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3(a)(3)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16"/>
                  <w:u w:val="single"/>
                </w:rPr>
                <w:t>Certificate of Amendment changing the name to CenterPoint Energy Resources Corp.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CERC Form 10-Q for the quarter ended June 30, 2003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1-13265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3(a)(4)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16"/>
                  <w:u w:val="single"/>
                </w:rPr>
                <w:t>Third Amended and Restated Bylaws of CenterPoint Energy</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February 21, 2017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16"/>
                  <w:u w:val="single"/>
                </w:rPr>
                <w:t>Amended and Restated Limited Liability Company Agreement of Houston Electric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Houston Electric’s Form 10-Q for the quarter ended June 30, 2011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1-3187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16"/>
                  <w:u w:val="single"/>
                </w:rPr>
                <w:t>Bylaws of RERC Corp.</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CERC Form 10-K for the year ended December 31, 1997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1-13265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16"/>
                  <w:u w:val="single"/>
                </w:rPr>
                <w:t>Statement of Resolutions Deleting Shares Designated Series A Preferred Stock of CenterPoint Energy</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10-K for the year ended December 31, 2011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16"/>
                  <w:u w:val="single"/>
                </w:rPr>
                <w:t>Statement of Resolution Establishing Series of Shares Designated Series A Fixed-to-Floating Rate Cumulative Redeemable Preferred Stock of CenterPoint Energy</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August 22, 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16"/>
                  <w:u w:val="single"/>
                </w:rPr>
                <w:t>Statement of Resolution Establishing Series of Shares designated 7.00% Series B Mandatory Convertible Preferred Stock of CenterPoint Energy</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September 25, 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16"/>
                  <w:u w:val="single"/>
                </w:rPr>
                <w:t xml:space="preserve">Statement of Resolution Establishing Series of Shares designated Series C Mandatory Convertible Preferred Stock of CenterPoint Energy, Inc., filed with the Secretary of State of the State of Texas and effective May 7, 2020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May 6,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16"/>
                  <w:u w:val="single"/>
                </w:rPr>
                <w:t>Form of CenterPoint Energy Stock Certificate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Registration Statement on Form S-4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3-69502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16"/>
                  <w:u w:val="single"/>
                </w:rPr>
                <w:t xml:space="preserve">Form of Certificate representing the Series A Fixed-to-Floating Rate Cumulative Redeemable Preferred Stock of CenterPoint Energy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August 22, 2018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16"/>
                  <w:u w:val="single"/>
                </w:rPr>
                <w:t>Amended and Restated Indenture of Mortgage and Deed of Trust dated as of January 1, 2023, between Southern Indiana Gas and Electric Company and Deutsche Bank Trust Company Americas, as Trustee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January 30,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16"/>
                  <w:u w:val="single"/>
                </w:rPr>
                <w:t>First Supplemental Indenture to Exhibit 4.3 dated as of March 15, 2023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March 15,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FF"/>
                  <w:sz w:val="16"/>
                  <w:u w:val="single"/>
                </w:rPr>
                <w:t>Indenture dated as of February 1, 1998, between CenterPoint Energy Resources Corp. (formerly NorAm Energy Corp.) and The Bank of New York Mellon Trust Company, National Association (successor to JPMorgan Chase Bank, National Association (formerly Chase Bank of Texas), as trustee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CERC Form 8-K dated February 5, 1998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1-13265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firstLine="360"/>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46-supplementalinde.htm">
              <w:r>
                <w:rPr>
                  <w:rStyle w:val="InternetLink"/>
                  <w:rFonts w:ascii="Times New Roman;sans-serif" w:hAnsi="Times New Roman;sans-serif"/>
                  <w:b w:val="false"/>
                  <w:color w:val="0000FF"/>
                  <w:sz w:val="16"/>
                  <w:u w:val="single"/>
                </w:rPr>
                <w:t>Supplemental Indenture No. 23 dated as of February 23, 2023, to Exhibit 4.5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bl>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713"/>
        <w:gridCol w:w="528"/>
        <w:gridCol w:w="529"/>
        <w:gridCol w:w="109"/>
        <w:gridCol w:w="109"/>
        <w:gridCol w:w="109"/>
        <w:gridCol w:w="405"/>
        <w:gridCol w:w="405"/>
        <w:gridCol w:w="406"/>
        <w:gridCol w:w="109"/>
        <w:gridCol w:w="109"/>
        <w:gridCol w:w="109"/>
        <w:gridCol w:w="335"/>
        <w:gridCol w:w="335"/>
        <w:gridCol w:w="336"/>
        <w:gridCol w:w="109"/>
        <w:gridCol w:w="109"/>
        <w:gridCol w:w="109"/>
        <w:gridCol w:w="275"/>
        <w:gridCol w:w="275"/>
        <w:gridCol w:w="276"/>
        <w:gridCol w:w="109"/>
        <w:gridCol w:w="109"/>
        <w:gridCol w:w="109"/>
        <w:gridCol w:w="339"/>
        <w:gridCol w:w="339"/>
        <w:gridCol w:w="340"/>
        <w:gridCol w:w="109"/>
        <w:gridCol w:w="109"/>
        <w:gridCol w:w="109"/>
        <w:gridCol w:w="250"/>
        <w:gridCol w:w="250"/>
        <w:gridCol w:w="251"/>
        <w:gridCol w:w="109"/>
        <w:gridCol w:w="109"/>
        <w:gridCol w:w="109"/>
        <w:gridCol w:w="180"/>
        <w:gridCol w:w="180"/>
        <w:gridCol w:w="263"/>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 or Registration</w:t>
              <w:br/>
              <w:t>Statement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or</w:t>
              <w:br/>
              <w:t>Registration</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Times New Roman;sans-serif" w:hAnsi="Times New Roman;sans-serif"/>
                  <w:b w:val="false"/>
                  <w:color w:val="0000FF"/>
                  <w:sz w:val="16"/>
                  <w:u w:val="single"/>
                </w:rPr>
                <w:t>General Mortgage Indenture, dated as of October 10, 2002, between Houston Electric and the Trustee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Houston Electric’s Form 10-Q for the quarter ended September 30, 2002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1-3187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4(j)(1)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16"/>
                  <w:u w:val="single"/>
                </w:rPr>
                <w:t>Ninth Supplemental Indenture, dated as of November 12, 2002, to Exhibit 4.7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10-K for the year ended December 31, 2002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4(e)(10)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16"/>
                  <w:u w:val="single"/>
                </w:rPr>
                <w:t>Twentieth Supplemental Indenture, dated as of December 9, 2008, to Exhibit 4.7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Houston Electric’s Form 8-K filed on January 9, 2009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1-3187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FF"/>
                  <w:sz w:val="16"/>
                  <w:u w:val="single"/>
                </w:rPr>
                <w:t>Thirty-Third Supplemental Indenture, dated as of March 23, 2023, to Exhibit 4.7</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Houston Electric’s Form 8-K dated March 20,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1-3187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4.11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411-officerscertifi.htm">
              <w:r>
                <w:rPr>
                  <w:rStyle w:val="InternetLink"/>
                  <w:rFonts w:ascii="Times New Roman;sans-serif" w:hAnsi="Times New Roman;sans-serif"/>
                  <w:b w:val="false"/>
                  <w:color w:val="0000FF"/>
                  <w:sz w:val="16"/>
                  <w:u w:val="single"/>
                </w:rPr>
                <w:t>Officer’s Certificate, dated as of March 23, 2023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Fonts w:ascii="Times New Roman;sans-serif" w:hAnsi="Times New Roman;sans-serif"/>
                  <w:b w:val="false"/>
                  <w:color w:val="0000FF"/>
                  <w:sz w:val="16"/>
                  <w:u w:val="single"/>
                </w:rPr>
                <w:t>Supplemental Indenture dated as of January 1, 2023, between Southern Indiana Gas and Electric Company and Deutsche Bank Trust Company Americas, as Trustee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January 30,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Times New Roman;sans-serif" w:hAnsi="Times New Roman;sans-serif"/>
                  <w:b w:val="false"/>
                  <w:color w:val="0000FF"/>
                  <w:sz w:val="16"/>
                  <w:u w:val="single"/>
                </w:rPr>
                <w:t>Form of Performance Award Agreement for the President and Chief Operating Officer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10-K for the year ended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10(ee)(9)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Fonts w:ascii="Times New Roman;sans-serif" w:hAnsi="Times New Roman;sans-serif"/>
                  <w:b w:val="false"/>
                  <w:color w:val="0000FF"/>
                  <w:sz w:val="16"/>
                  <w:u w:val="single"/>
                </w:rPr>
                <w:t xml:space="preserve">Form of Restricted Stock Unit Award Agreement for President and Chief Operating Officer (with Performance Goals)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10-K for the year ended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10(ee)(10)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Times New Roman;sans-serif" w:hAnsi="Times New Roman;sans-serif"/>
                  <w:b w:val="false"/>
                  <w:color w:val="0000FF"/>
                  <w:sz w:val="16"/>
                  <w:u w:val="single"/>
                </w:rPr>
                <w:t>$500,000 Term Loan Agreement dated as of February 16, 2023 among CenterPoint Energy Resources Corp., as Borrower, Mizuho Bank, Ltd., as Administrative Agent, and the banks named therein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10-K for the year ended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10(kk)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3">
              <w:r>
                <w:rPr>
                  <w:rStyle w:val="InternetLink"/>
                  <w:rFonts w:ascii="Times New Roman;sans-serif" w:hAnsi="Times New Roman;sans-serif"/>
                  <w:b w:val="false"/>
                  <w:color w:val="0000FF"/>
                  <w:sz w:val="16"/>
                  <w:u w:val="single"/>
                </w:rPr>
                <w:t>Separation and Release Agreement between CenterPoint Energy, Inc. and Scott E. Doyle, dated February 17, 2023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8-K/A dated January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4">
              <w:r>
                <w:rPr>
                  <w:rStyle w:val="InternetLink"/>
                  <w:rFonts w:ascii="Times New Roman;sans-serif" w:hAnsi="Times New Roman;sans-serif"/>
                  <w:b w:val="false"/>
                  <w:color w:val="0000FF"/>
                  <w:sz w:val="16"/>
                  <w:u w:val="single"/>
                </w:rPr>
                <w:t>Christopher A. Foster Offer Letter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March 15,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5">
              <w:r>
                <w:rPr>
                  <w:rStyle w:val="InternetLink"/>
                  <w:rFonts w:ascii="Times New Roman;sans-serif" w:hAnsi="Times New Roman;sans-serif"/>
                  <w:b w:val="false"/>
                  <w:color w:val="0000FF"/>
                  <w:sz w:val="16"/>
                  <w:u w:val="single"/>
                </w:rPr>
                <w:t>Form of Restricted Stock Unit Award Agreement</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March 15,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6">
              <w:r>
                <w:rPr>
                  <w:rStyle w:val="InternetLink"/>
                  <w:rFonts w:ascii="Times New Roman;sans-serif" w:hAnsi="Times New Roman;sans-serif"/>
                  <w:b w:val="false"/>
                  <w:color w:val="0000FF"/>
                  <w:sz w:val="16"/>
                  <w:u w:val="single"/>
                </w:rPr>
                <w:t>Bond Purchase Agreement dated March 15, 2023 among Southern Indiana Gas and Electric Company and the purchasers listed on Schedule B thereto</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March 15,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7">
              <w:r>
                <w:rPr>
                  <w:rStyle w:val="InternetLink"/>
                  <w:rFonts w:ascii="Times New Roman;sans-serif" w:hAnsi="Times New Roman;sans-serif"/>
                  <w:b w:val="false"/>
                  <w:color w:val="0000FF"/>
                  <w:sz w:val="16"/>
                  <w:u w:val="single"/>
                </w:rPr>
                <w:t>$250,000,000 Term Loan Agreement dated as of March 21, 2023 among CenterPoint Energy, Inc. as borrower, JPMorgan Chase Bank, N.A., as administrative agent, and the banks party thereto</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CenterPoint Energy’s Form 8-K dated March 21,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1-31447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31.1.1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np_exhibit3111x3312023.htm">
              <w:r>
                <w:rPr>
                  <w:rStyle w:val="InternetLink"/>
                  <w:rFonts w:ascii="Times New Roman;sans-serif" w:hAnsi="Times New Roman;sans-serif"/>
                  <w:b w:val="false"/>
                  <w:color w:val="0000FF"/>
                  <w:sz w:val="16"/>
                  <w:u w:val="single"/>
                </w:rPr>
                <w:t>Rule 13a-14(a)/15d-14(a) Certification of David J. Lesar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31.1.2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ehe_exhibit3112x3312023.htm">
              <w:r>
                <w:rPr>
                  <w:rStyle w:val="InternetLink"/>
                </w:rPr>
                <w:t xml:space="preserve">Rule 13a-14(a)/15d-14(a) Certification of </w:t>
              </w:r>
            </w:hyperlink>
            <w:hyperlink w:anchor="cehe_exhibit3112x3312023.htm">
              <w:r>
                <w:rPr>
                  <w:rStyle w:val="InternetLink"/>
                </w:rPr>
                <w:t>J</w:t>
              </w:r>
            </w:hyperlink>
            <w:hyperlink w:anchor="cehe_exhibit3112x3312023.htm">
              <w:r>
                <w:rPr>
                  <w:rStyle w:val="InternetLink"/>
                </w:rPr>
                <w:t>ason P. Wells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31.1.3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erc_exhibit3113x3312023.htm">
              <w:r>
                <w:rPr>
                  <w:rStyle w:val="InternetLink"/>
                </w:rPr>
                <w:t xml:space="preserve">Rule 13a-14(a)/15d-14(a) Certification of </w:t>
              </w:r>
            </w:hyperlink>
            <w:hyperlink w:anchor="cerc_exhibit3113x3312023.htm">
              <w:r>
                <w:rPr>
                  <w:rStyle w:val="InternetLink"/>
                </w:rPr>
                <w:t>J</w:t>
              </w:r>
            </w:hyperlink>
            <w:hyperlink w:anchor="cerc_exhibit3113x3312023.htm">
              <w:r>
                <w:rPr>
                  <w:rStyle w:val="InternetLink"/>
                </w:rPr>
                <w:t>ason P. Wells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31.2.1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np_exhibit3121x3312023.htm">
              <w:r>
                <w:rPr>
                  <w:rStyle w:val="InternetLink"/>
                  <w:rFonts w:ascii="Times New Roman;sans-serif" w:hAnsi="Times New Roman;sans-serif"/>
                  <w:b w:val="false"/>
                  <w:color w:val="0000FF"/>
                  <w:sz w:val="16"/>
                  <w:u w:val="single"/>
                </w:rPr>
                <w:t>Rule 13a-14(a)/15d-14(a) Certification of Jason P. Wells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32.1.1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np_exhibit3211x3312023.htm">
              <w:r>
                <w:rPr>
                  <w:rStyle w:val="InternetLink"/>
                  <w:rFonts w:ascii="Times New Roman;sans-serif" w:hAnsi="Times New Roman;sans-serif"/>
                  <w:b w:val="false"/>
                  <w:color w:val="0000FF"/>
                  <w:sz w:val="16"/>
                  <w:u w:val="single"/>
                </w:rPr>
                <w:t>Section 1350 Certification of David J. Lesar</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32.1.2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ehe_exhibit3212x3312023.htm">
              <w:r>
                <w:rPr>
                  <w:rStyle w:val="InternetLink"/>
                </w:rPr>
                <w:t xml:space="preserve">Section 1350 Certification of </w:t>
              </w:r>
            </w:hyperlink>
            <w:hyperlink w:anchor="cehe_exhibit3212x3312023.htm">
              <w:r>
                <w:rPr>
                  <w:rStyle w:val="InternetLink"/>
                </w:rPr>
                <w:t>J</w:t>
              </w:r>
            </w:hyperlink>
            <w:hyperlink w:anchor="cehe_exhibit3212x3312023.htm">
              <w:r>
                <w:rPr>
                  <w:rStyle w:val="InternetLink"/>
                </w:rPr>
                <w:t>ason P. Wells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32.1.3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erc_exhibit3213x3312023.htm">
              <w:r>
                <w:rPr>
                  <w:rStyle w:val="InternetLink"/>
                </w:rPr>
                <w:t xml:space="preserve">Section 1350 Certification of </w:t>
              </w:r>
            </w:hyperlink>
            <w:hyperlink w:anchor="cerc_exhibit3213x3312023.htm">
              <w:r>
                <w:rPr>
                  <w:rStyle w:val="InternetLink"/>
                </w:rPr>
                <w:t>J</w:t>
              </w:r>
            </w:hyperlink>
            <w:hyperlink w:anchor="cerc_exhibit3213x3312023.htm">
              <w:r>
                <w:rPr>
                  <w:rStyle w:val="InternetLink"/>
                </w:rPr>
                <w:t>ason P. Wells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32.2.1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np_exhibit3221x3312023.htm">
              <w:r>
                <w:rPr>
                  <w:rStyle w:val="InternetLink"/>
                  <w:rFonts w:ascii="Times New Roman;sans-serif" w:hAnsi="Times New Roman;sans-serif"/>
                  <w:b w:val="false"/>
                  <w:color w:val="0000FF"/>
                  <w:sz w:val="16"/>
                  <w:u w:val="single"/>
                </w:rPr>
                <w:t>Section 1350 Certification of Jason P. Wells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60"/>
        <w:gridCol w:w="229"/>
        <w:gridCol w:w="230"/>
        <w:gridCol w:w="109"/>
        <w:gridCol w:w="109"/>
        <w:gridCol w:w="109"/>
        <w:gridCol w:w="631"/>
        <w:gridCol w:w="617"/>
        <w:gridCol w:w="619"/>
        <w:gridCol w:w="109"/>
        <w:gridCol w:w="109"/>
        <w:gridCol w:w="109"/>
        <w:gridCol w:w="356"/>
        <w:gridCol w:w="356"/>
        <w:gridCol w:w="357"/>
        <w:gridCol w:w="109"/>
        <w:gridCol w:w="109"/>
        <w:gridCol w:w="109"/>
        <w:gridCol w:w="335"/>
        <w:gridCol w:w="335"/>
        <w:gridCol w:w="336"/>
        <w:gridCol w:w="109"/>
        <w:gridCol w:w="109"/>
        <w:gridCol w:w="109"/>
        <w:gridCol w:w="275"/>
        <w:gridCol w:w="275"/>
        <w:gridCol w:w="276"/>
        <w:gridCol w:w="109"/>
        <w:gridCol w:w="109"/>
        <w:gridCol w:w="109"/>
        <w:gridCol w:w="345"/>
        <w:gridCol w:w="345"/>
        <w:gridCol w:w="346"/>
        <w:gridCol w:w="109"/>
        <w:gridCol w:w="109"/>
        <w:gridCol w:w="109"/>
        <w:gridCol w:w="256"/>
        <w:gridCol w:w="256"/>
        <w:gridCol w:w="257"/>
        <w:gridCol w:w="109"/>
        <w:gridCol w:w="109"/>
        <w:gridCol w:w="109"/>
        <w:gridCol w:w="180"/>
        <w:gridCol w:w="180"/>
        <w:gridCol w:w="264"/>
      </w:tblGrid>
      <w:tr>
        <w:trPr/>
        <w:tc>
          <w:tcPr>
            <w:tcW w:w="26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r>
      <w:tr>
        <w:trPr/>
        <w:tc>
          <w:tcPr>
            <w:tcW w:w="7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 or Registration</w:t>
              <w:br/>
              <w:t>Statement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or</w:t>
              <w:br/>
              <w:t>Registration</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CenterPoint Energy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Houston Electric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CERC</w:t>
            </w:r>
          </w:p>
        </w:tc>
      </w:tr>
      <w:tr>
        <w:trPr/>
        <w:tc>
          <w:tcPr>
            <w:tcW w:w="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Labels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6"/>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bl>
    <w:tbl>
      <w:tblPr>
        <w:tblW w:w="10205" w:type="dxa"/>
        <w:jc w:val="center"/>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Schedules to this agreement have been omitted pursuant to Items 601(a)(5) and 601(b)(2) of Regulation S-K. A copy of any omitted schedules will be furnished supplementally to the SEC upon request; provided, however, that the parties may request confidential treatment pursuant to Rule 24b-2 of the Exchange Act for any document so furnished.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0"/>
        <w:rPr/>
      </w:pPr>
      <w:hyperlink w:anchor="i2c0a4c71db82451fac5907a4d7ebac01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each registrant has duly caused this report to be signed on its behalf by the undersigned thereunto duly authorized.</w:t>
      </w:r>
    </w:p>
    <w:p>
      <w:pPr>
        <w:pStyle w:val="TextBody"/>
        <w:spacing w:before="0" w:after="0"/>
        <w:rPr/>
      </w:pPr>
      <w:r>
        <w:rPr/>
      </w:r>
    </w:p>
    <w:tbl>
      <w:tblPr>
        <w:tblW w:w="5430" w:type="dxa"/>
        <w:jc w:val="left"/>
        <w:tblInd w:w="0" w:type="dxa"/>
        <w:tblCellMar>
          <w:top w:w="28" w:type="dxa"/>
          <w:left w:w="28" w:type="dxa"/>
          <w:bottom w:w="28" w:type="dxa"/>
          <w:right w:w="28" w:type="dxa"/>
        </w:tblCellMar>
      </w:tblPr>
      <w:tblGrid>
        <w:gridCol w:w="151"/>
        <w:gridCol w:w="134"/>
        <w:gridCol w:w="135"/>
        <w:gridCol w:w="1465"/>
        <w:gridCol w:w="1465"/>
        <w:gridCol w:w="2080"/>
      </w:tblGrid>
      <w:tr>
        <w:trPr/>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2080" w:type="dxa"/>
            <w:tcBorders/>
            <w:shd w:fill="auto" w:val="cle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CENTERPOINT ENERGY, INC.</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CENTERPOINT ENERGY HOUSTON ELECTRIC, LLC</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CENTERPOINT ENERGY RESOURCES CORP.</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Kara Gostenhofer Ryan</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Kara Gostenhofer Ryan</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Accounting Officer</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27, 2023 </w:t>
      </w:r>
    </w:p>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4.6</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before="0" w:after="0"/>
        <w:rPr/>
      </w:pPr>
      <w:r>
        <w:rPr/>
      </w:r>
    </w:p>
    <w:p>
      <w:pPr>
        <w:pStyle w:val="TextBody"/>
        <w:spacing w:before="0" w:after="0"/>
        <w:jc w:val="right"/>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CENTERPOINT ENERGY RESOURCES CORP.</w:t>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(formerly known as NorAm Energy Corp.)</w:t>
      </w:r>
    </w:p>
    <w:p>
      <w:pPr>
        <w:pStyle w:val="TextBody"/>
        <w:spacing w:before="0" w:after="0"/>
        <w:jc w:val="both"/>
        <w:rPr/>
      </w:pPr>
      <w:r>
        <w:rPr/>
      </w:r>
    </w:p>
    <w:p>
      <w:pPr>
        <w:pStyle w:val="TextBody"/>
        <w:spacing w:before="0" w:after="0"/>
        <w:rPr/>
      </w:pPr>
      <w:r>
        <w:rPr/>
      </w:r>
    </w:p>
    <w:p>
      <w:pPr>
        <w:pStyle w:val="TextBody"/>
        <w:spacing w:lineRule="auto" w:line="240" w:before="0" w:after="0"/>
        <w:jc w:val="both"/>
        <w:rPr>
          <w:color w:val="000000"/>
        </w:rPr>
      </w:pPr>
      <w:r>
        <w:rPr>
          <w:color w:val="000000"/>
        </w:rPr>
        <w:t> </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To</w:t>
      </w:r>
    </w:p>
    <w:p>
      <w:pPr>
        <w:pStyle w:val="TextBody"/>
        <w:spacing w:lineRule="auto" w:line="240" w:before="0" w:after="0"/>
        <w:jc w:val="both"/>
        <w:rPr>
          <w:color w:val="000000"/>
        </w:rPr>
      </w:pPr>
      <w:r>
        <w:rPr>
          <w:color w:val="000000"/>
        </w:rPr>
        <w:t> </w:t>
      </w:r>
    </w:p>
    <w:p>
      <w:pPr>
        <w:pStyle w:val="TextBody"/>
        <w:spacing w:before="0" w:after="0"/>
        <w:rPr/>
      </w:pPr>
      <w:r>
        <w:rPr/>
      </w:r>
    </w:p>
    <w:p>
      <w:pPr>
        <w:pStyle w:val="TextBody"/>
        <w:spacing w:before="0" w:after="0"/>
        <w:jc w:val="both"/>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 TRUST COMPANY, N.A.</w:t>
      </w:r>
    </w:p>
    <w:p>
      <w:pPr>
        <w:pStyle w:val="TextBody"/>
        <w:spacing w:before="0" w:after="0"/>
        <w:jc w:val="both"/>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(successor to JPMorgan Chase Bank, National Association (formerly Chase Bank of Texas, National Association))</w:t>
      </w:r>
    </w:p>
    <w:p>
      <w:pPr>
        <w:pStyle w:val="TextBody"/>
        <w:spacing w:before="0" w:after="0"/>
        <w:jc w:val="both"/>
        <w:rPr/>
      </w:pPr>
      <w:r>
        <w:rPr/>
      </w:r>
    </w:p>
    <w:p>
      <w:pPr>
        <w:pStyle w:val="TextBody"/>
        <w:spacing w:before="0" w:after="0"/>
        <w:rPr/>
      </w:pPr>
      <w:r>
        <w:rPr/>
      </w:r>
    </w:p>
    <w:p>
      <w:pPr>
        <w:pStyle w:val="TextBody"/>
        <w:spacing w:before="0" w:after="0"/>
        <w:jc w:val="both"/>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Trustee</w:t>
      </w:r>
    </w:p>
    <w:p>
      <w:pPr>
        <w:pStyle w:val="TextBody"/>
        <w:spacing w:before="0" w:after="0"/>
        <w:jc w:val="both"/>
        <w:rPr/>
      </w:pPr>
      <w:r>
        <w:rPr/>
      </w:r>
    </w:p>
    <w:p>
      <w:pPr>
        <w:pStyle w:val="TextBody"/>
        <w:spacing w:before="0" w:after="0"/>
        <w:rPr/>
      </w:pPr>
      <w:r>
        <w:rPr/>
      </w:r>
    </w:p>
    <w:p>
      <w:pPr>
        <w:pStyle w:val="TextBody"/>
        <w:spacing w:before="0" w:after="0"/>
        <w:jc w:val="both"/>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w:t>
      </w:r>
    </w:p>
    <w:p>
      <w:pPr>
        <w:pStyle w:val="TextBody"/>
        <w:spacing w:before="0" w:after="0"/>
        <w:jc w:val="both"/>
        <w:rPr/>
      </w:pPr>
      <w:r>
        <w:rPr/>
      </w:r>
    </w:p>
    <w:p>
      <w:pPr>
        <w:pStyle w:val="TextBody"/>
        <w:spacing w:before="0" w:after="0"/>
        <w:rPr/>
      </w:pPr>
      <w:r>
        <w:rPr/>
      </w:r>
    </w:p>
    <w:p>
      <w:pPr>
        <w:pStyle w:val="TextBody"/>
        <w:spacing w:before="0" w:after="0"/>
        <w:jc w:val="both"/>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SUPPLEMENTAL INDENTURE NO. 23</w:t>
      </w:r>
    </w:p>
    <w:p>
      <w:pPr>
        <w:pStyle w:val="TextBody"/>
        <w:spacing w:before="0" w:after="0"/>
        <w:jc w:val="both"/>
        <w:rPr/>
      </w:pPr>
      <w:r>
        <w:rPr/>
      </w:r>
    </w:p>
    <w:p>
      <w:pPr>
        <w:pStyle w:val="TextBody"/>
        <w:spacing w:before="0" w:after="0"/>
        <w:rPr/>
      </w:pPr>
      <w:r>
        <w:rPr/>
      </w:r>
    </w:p>
    <w:p>
      <w:pPr>
        <w:pStyle w:val="TextBody"/>
        <w:spacing w:before="0" w:after="0"/>
        <w:jc w:val="both"/>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 February 23, 2023</w:t>
      </w:r>
    </w:p>
    <w:p>
      <w:pPr>
        <w:pStyle w:val="TextBody"/>
        <w:spacing w:before="0" w:after="0"/>
        <w:jc w:val="both"/>
        <w:rPr/>
      </w:pPr>
      <w:r>
        <w:rPr/>
      </w:r>
    </w:p>
    <w:p>
      <w:pPr>
        <w:pStyle w:val="TextBody"/>
        <w:spacing w:before="0" w:after="0"/>
        <w:rPr/>
      </w:pPr>
      <w:r>
        <w:rPr/>
      </w:r>
    </w:p>
    <w:p>
      <w:pPr>
        <w:pStyle w:val="TextBody"/>
        <w:spacing w:before="0" w:after="0"/>
        <w:jc w:val="both"/>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w:t>
      </w:r>
    </w:p>
    <w:p>
      <w:pPr>
        <w:pStyle w:val="TextBody"/>
        <w:spacing w:before="0" w:after="0"/>
        <w:jc w:val="both"/>
        <w:rPr/>
      </w:pPr>
      <w:r>
        <w:rPr/>
      </w:r>
    </w:p>
    <w:p>
      <w:pPr>
        <w:pStyle w:val="TextBody"/>
        <w:spacing w:before="0" w:after="0"/>
        <w:rPr/>
      </w:pPr>
      <w:r>
        <w:rPr/>
      </w:r>
    </w:p>
    <w:p>
      <w:pPr>
        <w:pStyle w:val="TextBody"/>
        <w:spacing w:before="0" w:after="0"/>
        <w:jc w:val="both"/>
        <w:rPr/>
      </w:pPr>
      <w:r>
        <w:rPr/>
      </w:r>
    </w:p>
    <w:p>
      <w:pPr>
        <w:pStyle w:val="TextBody"/>
        <w:spacing w:lineRule="auto" w:line="319"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$600,000,000 5.25% Senior Notes due 2028</w:t>
      </w:r>
    </w:p>
    <w:p>
      <w:pPr>
        <w:pStyle w:val="TextBody"/>
        <w:spacing w:lineRule="auto" w:line="319"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$600,000,000 5.40% Senior Notes due 2033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CENTERPOINT ENERGY RESOURCES CORP.</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SUPPLEMENTAL INDENTURE NO. 23</w:t>
      </w:r>
    </w:p>
    <w:p>
      <w:pPr>
        <w:pStyle w:val="TextBody"/>
        <w:spacing w:before="0" w:after="0"/>
        <w:rPr/>
      </w:pPr>
      <w:r>
        <w:rPr/>
      </w:r>
    </w:p>
    <w:p>
      <w:pPr>
        <w:pStyle w:val="TextBody"/>
        <w:spacing w:lineRule="auto" w:line="319"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5.25% Senior Notes due 2028</w:t>
      </w:r>
    </w:p>
    <w:p>
      <w:pPr>
        <w:pStyle w:val="TextBody"/>
        <w:spacing w:lineRule="auto" w:line="319"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5.40% Senior Notes due 2033</w:t>
      </w:r>
    </w:p>
    <w:p>
      <w:pPr>
        <w:pStyle w:val="TextBody"/>
        <w:spacing w:lineRule="auto" w:line="319"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4"/>
        </w:rPr>
        <w:t>SUPPLEMENTAL INDENTURE No. 23, dated as of February 23, 2023, between CENTERPOINT ENERGY RESOURCES CORP., a Delaware corporation formerly known as NorAm Energy Corp.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THE BANK OF NEW YORK MELLON TRUST COMPANY, N.A. (successor to JPMorgan Chase Bank, National Association (formerly Chase Bank of Texas, National Association)), as Trustee (the “</w:t>
      </w:r>
      <w:r>
        <w:rPr>
          <w:rFonts w:ascii="Times New Roman;sans-serif" w:hAnsi="Times New Roman;sans-serif"/>
          <w:b w:val="false"/>
          <w:color w:val="000000"/>
          <w:sz w:val="24"/>
          <w:u w:val="single"/>
        </w:rPr>
        <w:t>Trustee</w:t>
      </w:r>
      <w:r>
        <w:rPr>
          <w:color w:val="000000"/>
        </w:rPr>
        <w:t>”</w:t>
      </w:r>
      <w:r>
        <w:rPr>
          <w:rFonts w:ascii="Times New Roman;sans-serif" w:hAnsi="Times New Roman;sans-serif"/>
          <w:b w:val="false"/>
          <w:color w:val="000000"/>
          <w:sz w:val="24"/>
        </w:rPr>
        <w:t>).</w:t>
      </w:r>
    </w:p>
    <w:p>
      <w:pPr>
        <w:pStyle w:val="TextBody"/>
        <w:spacing w:lineRule="auto" w:line="240" w:before="0" w:after="0"/>
        <w:jc w:val="both"/>
        <w:rPr>
          <w:color w:val="000000"/>
        </w:rPr>
      </w:pPr>
      <w:r>
        <w:rPr>
          <w:color w:val="000000"/>
        </w:rPr>
        <w:t> </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RECITALS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4"/>
        </w:rPr>
        <w:t>The Company has heretofore executed and delivered to the Trustee an Indenture, dated as of February 1, 1998 (the “</w:t>
      </w:r>
      <w:r>
        <w:rPr>
          <w:rFonts w:ascii="Times New Roman;sans-serif" w:hAnsi="Times New Roman;sans-serif"/>
          <w:b w:val="false"/>
          <w:color w:val="000000"/>
          <w:sz w:val="24"/>
          <w:u w:val="single"/>
        </w:rPr>
        <w:t>Original Indenture</w:t>
      </w:r>
      <w:r>
        <w:rPr>
          <w:color w:val="000000"/>
        </w:rPr>
        <w:t xml:space="preserve">” </w:t>
      </w:r>
      <w:r>
        <w:rPr>
          <w:rFonts w:ascii="Times New Roman;sans-serif" w:hAnsi="Times New Roman;sans-serif"/>
          <w:b w:val="false"/>
          <w:color w:val="000000"/>
          <w:sz w:val="24"/>
        </w:rPr>
        <w:t>and, as previously and hereby supplemented and amended, the “</w:t>
      </w:r>
      <w:r>
        <w:rPr>
          <w:rFonts w:ascii="Times New Roman;sans-serif" w:hAnsi="Times New Roman;sans-serif"/>
          <w:b w:val="false"/>
          <w:color w:val="000000"/>
          <w:sz w:val="24"/>
          <w:u w:val="single"/>
        </w:rPr>
        <w:t>Indenture</w:t>
      </w:r>
      <w:r>
        <w:rPr>
          <w:color w:val="000000"/>
        </w:rPr>
        <w:t>”</w:t>
      </w:r>
      <w:r>
        <w:rPr>
          <w:rFonts w:ascii="Times New Roman;sans-serif" w:hAnsi="Times New Roman;sans-serif"/>
          <w:b w:val="false"/>
          <w:color w:val="000000"/>
          <w:sz w:val="24"/>
        </w:rPr>
        <w:t>), providing for the issuance from time to time of one or more series of the Company’s Securities.</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has changed its name from “NorAm Energy Corp.” to “CenterPoint Energy Resources Corp.” and all references in the Indenture to the “Company” or “NorAm Energy Corp.” shall be deemed to refer to CenterPoint Energy Resources Corp.</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4"/>
        </w:rPr>
        <w:t>Pursuant to the terms of the Indenture, the Company desires to provide for the establishment of two new series of Securities to be designated as the “5.25% Senior Notes due 2028” (the “</w:t>
      </w:r>
      <w:r>
        <w:rPr>
          <w:rFonts w:ascii="Times New Roman;sans-serif" w:hAnsi="Times New Roman;sans-serif"/>
          <w:b w:val="false"/>
          <w:color w:val="000000"/>
          <w:sz w:val="24"/>
          <w:u w:val="single"/>
        </w:rPr>
        <w:t>2028 Notes</w:t>
      </w:r>
      <w:r>
        <w:rPr>
          <w:color w:val="000000"/>
        </w:rPr>
        <w:t>”</w:t>
      </w:r>
      <w:r>
        <w:rPr>
          <w:rFonts w:ascii="Times New Roman;sans-serif" w:hAnsi="Times New Roman;sans-serif"/>
          <w:b w:val="false"/>
          <w:color w:val="000000"/>
          <w:sz w:val="24"/>
        </w:rPr>
        <w:t>) and the “5.40% Senior Notes due 2033” (the “</w:t>
      </w:r>
      <w:r>
        <w:rPr>
          <w:rFonts w:ascii="Times New Roman;sans-serif" w:hAnsi="Times New Roman;sans-serif"/>
          <w:b w:val="false"/>
          <w:color w:val="000000"/>
          <w:sz w:val="24"/>
          <w:u w:val="single"/>
        </w:rPr>
        <w:t>2033 Notes</w:t>
      </w:r>
      <w:r>
        <w:rPr>
          <w:color w:val="000000"/>
        </w:rPr>
        <w:t xml:space="preserve">” </w:t>
      </w:r>
      <w:r>
        <w:rPr>
          <w:rFonts w:ascii="Times New Roman;sans-serif" w:hAnsi="Times New Roman;sans-serif"/>
          <w:b w:val="false"/>
          <w:color w:val="000000"/>
          <w:sz w:val="24"/>
        </w:rPr>
        <w:t>and, together with the 2028 Notes, the “</w:t>
      </w:r>
      <w:r>
        <w:rPr>
          <w:rFonts w:ascii="Times New Roman;sans-serif" w:hAnsi="Times New Roman;sans-serif"/>
          <w:b w:val="false"/>
          <w:color w:val="000000"/>
          <w:sz w:val="24"/>
          <w:u w:val="single"/>
        </w:rPr>
        <w:t>Notes</w:t>
      </w:r>
      <w:r>
        <w:rPr>
          <w:color w:val="000000"/>
        </w:rPr>
        <w:t>”</w:t>
      </w:r>
      <w:r>
        <w:rPr>
          <w:rFonts w:ascii="Times New Roman;sans-serif" w:hAnsi="Times New Roman;sans-serif"/>
          <w:b w:val="false"/>
          <w:color w:val="000000"/>
          <w:sz w:val="24"/>
        </w:rPr>
        <w:t>), the form and substance of such Notes and the terms, provisions and conditions thereof to be set forth as provided in the Original Indenture and this Supplemental Indenture No. 23.</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Section 301 of the Original Indenture provides that various matters with respect to any series of Securities issued under the Indenture may be established in an indenture supplemental to the Indenture.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Subparagraph (7) of Section 901 of the Original Indenture provides that the Company and the Trustee may enter into an indenture supplemental to the Indenture to establish the form or terms of Securities of any series as permitted by Sections 201 and 301 of the Original Indenture.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and in consideration of the premises and the issuance of the series of Securities provided for herein, it is mutually covenanted and agreed, for the equal and proportionate benefit of the Holders of the Securities of such series, as follows:</w:t>
      </w:r>
    </w:p>
    <w:p>
      <w:pPr>
        <w:pStyle w:val="TextBody"/>
        <w:spacing w:lineRule="auto" w:line="240" w:before="0" w:after="0"/>
        <w:jc w:val="both"/>
        <w:rPr>
          <w:color w:val="000000"/>
        </w:rPr>
      </w:pPr>
      <w:r>
        <w:rPr>
          <w:color w:val="000000"/>
        </w:rPr>
        <w:t> </w:t>
      </w:r>
    </w:p>
    <w:p>
      <w:pPr>
        <w:pStyle w:val="TextBody"/>
        <w:spacing w:before="0" w:after="200"/>
        <w:rPr/>
      </w:pPr>
      <w:r>
        <w:rPr/>
      </w:r>
      <w:r>
        <w:br w:type="page"/>
      </w:r>
    </w:p>
    <w:p>
      <w:pPr>
        <w:pStyle w:val="TextBody"/>
        <w:spacing w:before="0" w:after="2"/>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0520"/>
                <wp:effectExtent l="0" t="0" r="0" b="0"/>
                <wp:wrapNone/>
                <wp:docPr id="90" name="Frame9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spacing w:before="0" w:after="0"/>
                        <w:jc w:val="center"/>
                        <w:rPr/>
                      </w:pPr>
                      <w:r>
                        <w:rPr/>
                      </w:r>
                    </w:p>
                  </w:txbxContent>
                </v:textbox>
              </v:rect>
            </w:pict>
          </mc:Fallback>
        </mc:AlternateConten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ONE</w: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Relation to Indenture; Additional Definitions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4"/>
        </w:rPr>
        <w:t>Section 101    </w:t>
      </w:r>
      <w:r>
        <w:rPr>
          <w:rFonts w:ascii="Times New Roman;sans-serif" w:hAnsi="Times New Roman;sans-serif"/>
          <w:b w:val="false"/>
          <w:i/>
          <w:color w:val="000000"/>
          <w:sz w:val="24"/>
        </w:rPr>
        <w:t>Relation to Indenture</w:t>
      </w:r>
      <w:r>
        <w:rPr>
          <w:rFonts w:ascii="Times New Roman;sans-serif" w:hAnsi="Times New Roman;sans-serif"/>
          <w:b w:val="false"/>
          <w:color w:val="000000"/>
          <w:sz w:val="24"/>
        </w:rPr>
        <w:t>. This Supplemental Indenture No. 23 constitutes an integral part of the Original Indenture.</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Section 102    </w:t>
      </w:r>
      <w:r>
        <w:rPr>
          <w:rFonts w:ascii="Times New Roman;sans-serif" w:hAnsi="Times New Roman;sans-serif"/>
          <w:b w:val="false"/>
          <w:i/>
          <w:color w:val="000000"/>
          <w:sz w:val="24"/>
        </w:rPr>
        <w:t xml:space="preserve">Additional Definitions. </w:t>
      </w:r>
      <w:r>
        <w:rPr>
          <w:rFonts w:ascii="Times New Roman;sans-serif" w:hAnsi="Times New Roman;sans-serif"/>
          <w:b w:val="false"/>
          <w:color w:val="000000"/>
          <w:sz w:val="24"/>
        </w:rPr>
        <w:t xml:space="preserve">For all purposes of this Supplemental Indenture No. 23: </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Capitalized terms used but not defined in this Supplement Indenture No. 23 have the meaning given such terms in the Original Indenture. Capitalized terms defined in both this Supplemental Indenture No. 23 and in the Original Indenture have the meaning given such terms in this Supplemental Indenture No. 23.</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2028 Notes</w:t>
      </w:r>
      <w:r>
        <w:rPr>
          <w:color w:val="000000"/>
        </w:rPr>
        <w:t xml:space="preserve">” </w:t>
      </w:r>
      <w:r>
        <w:rPr>
          <w:rFonts w:ascii="Times New Roman;sans-serif" w:hAnsi="Times New Roman;sans-serif"/>
          <w:b w:val="false"/>
          <w:color w:val="000000"/>
          <w:sz w:val="24"/>
        </w:rPr>
        <w:t>has the meaning set forth in the third paragraph of the Recitals hereof.</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2033 Notes</w:t>
      </w:r>
      <w:r>
        <w:rPr>
          <w:color w:val="000000"/>
        </w:rPr>
        <w:t xml:space="preserve">” </w:t>
      </w:r>
      <w:r>
        <w:rPr>
          <w:rFonts w:ascii="Times New Roman;sans-serif" w:hAnsi="Times New Roman;sans-serif"/>
          <w:b w:val="false"/>
          <w:color w:val="000000"/>
          <w:sz w:val="24"/>
        </w:rPr>
        <w:t>has the meaning set forth in the third paragraph of the Recitals hereof.</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2028 Notes Maturity Date</w:t>
      </w:r>
      <w:r>
        <w:rPr>
          <w:color w:val="000000"/>
        </w:rPr>
        <w:t xml:space="preserve">” </w:t>
      </w:r>
      <w:r>
        <w:rPr>
          <w:rFonts w:ascii="Times New Roman;sans-serif" w:hAnsi="Times New Roman;sans-serif"/>
          <w:b w:val="false"/>
          <w:color w:val="000000"/>
          <w:sz w:val="24"/>
        </w:rPr>
        <w:t>has the meaning set forth in Section 203 hereof.</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2033 Notes Maturity Date</w:t>
      </w:r>
      <w:r>
        <w:rPr>
          <w:color w:val="000000"/>
        </w:rPr>
        <w:t xml:space="preserve">” </w:t>
      </w:r>
      <w:r>
        <w:rPr>
          <w:rFonts w:ascii="Times New Roman;sans-serif" w:hAnsi="Times New Roman;sans-serif"/>
          <w:b w:val="false"/>
          <w:color w:val="000000"/>
          <w:sz w:val="24"/>
        </w:rPr>
        <w:t xml:space="preserve">has the meaning set forth in Section 203 hereof.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2028 Notes Par Call Date</w:t>
      </w:r>
      <w:r>
        <w:rPr>
          <w:color w:val="000000"/>
        </w:rPr>
        <w:t xml:space="preserve">” </w:t>
      </w:r>
      <w:r>
        <w:rPr>
          <w:rFonts w:ascii="Times New Roman;sans-serif" w:hAnsi="Times New Roman;sans-serif"/>
          <w:b w:val="false"/>
          <w:color w:val="000000"/>
          <w:sz w:val="24"/>
        </w:rPr>
        <w:t>has the meaning set forth in Section 401 hereof.</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2033 Notes Par Call Date</w:t>
      </w:r>
      <w:r>
        <w:rPr>
          <w:color w:val="000000"/>
        </w:rPr>
        <w:t xml:space="preserve">” </w:t>
      </w:r>
      <w:r>
        <w:rPr>
          <w:rFonts w:ascii="Times New Roman;sans-serif" w:hAnsi="Times New Roman;sans-serif"/>
          <w:b w:val="false"/>
          <w:color w:val="000000"/>
          <w:sz w:val="24"/>
        </w:rPr>
        <w:t xml:space="preserve">has the meaning set forth in Section 401 hereof.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Authorized Officers</w:t>
      </w:r>
      <w:r>
        <w:rPr>
          <w:color w:val="000000"/>
        </w:rPr>
        <w:t xml:space="preserve">” </w:t>
      </w:r>
      <w:r>
        <w:rPr>
          <w:rFonts w:ascii="Times New Roman;sans-serif" w:hAnsi="Times New Roman;sans-serif"/>
          <w:b w:val="false"/>
          <w:color w:val="000000"/>
          <w:sz w:val="24"/>
        </w:rPr>
        <w:t xml:space="preserve">has the meaning set forth in Section 606 hereof. </w:t>
      </w:r>
    </w:p>
    <w:p>
      <w:pPr>
        <w:pStyle w:val="TextBody"/>
        <w:spacing w:before="0" w:after="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 xml:space="preserve">means, with respect to any Note, any day other than a Saturday, a Sunday or a day on which banking institutions or trust companies in The City of New York are generally authorized or required by law or executive order to remain closed.  If any Interest Payment Date, Stated Maturity or Redemption Date of a Note falls on a day that is not a Business Day, the required payment will be made on the next succeeding Business Day with the same force and effect as if made on the relevant date that the payment was due and no interest will accrue on such payment for the period from and after the Interest Payment Date, Stated Maturity or Redemption Date, as the case may be, to the date of that payment on the next succeeding Business Day.   </w:t>
      </w:r>
    </w:p>
    <w:p>
      <w:pPr>
        <w:pStyle w:val="TextBody"/>
        <w:spacing w:before="0" w:after="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Consolidated Net Tangible Assets</w:t>
      </w:r>
      <w:r>
        <w:rPr>
          <w:color w:val="000000"/>
        </w:rPr>
        <w:t xml:space="preserve">” </w:t>
      </w:r>
      <w:r>
        <w:rPr>
          <w:rFonts w:ascii="Times New Roman;sans-serif" w:hAnsi="Times New Roman;sans-serif"/>
          <w:b w:val="false"/>
          <w:color w:val="000000"/>
          <w:sz w:val="24"/>
        </w:rPr>
        <w:t>means the total amount of assets of the Company, including the assets of its Subsidiaries, less, without duplication: (a) total current liabilities (excluding indebtedness due within 12 months); (b) all reserves for depreciation and other asset valuation reserves, but excluding reserves for deferred federal income taxes; (c) all intangible assets such as goodwill, trademarks, trade names, patents and unamortized debt discount and expense carried as an asset; and (d) all appropriate adjustments on account of minority interests of other Persons holding common stock of any Subsidiary, all as reflected in the Company’s most recent audited consolidated balance sheet preceding the date of such determination.</w:t>
      </w:r>
    </w:p>
    <w:p>
      <w:pPr>
        <w:pStyle w:val="TextBody"/>
        <w:spacing w:lineRule="auto" w:line="240" w:before="0" w:after="0"/>
        <w:jc w:val="both"/>
        <w:rPr>
          <w:color w:val="000000"/>
        </w:rPr>
      </w:pPr>
      <w:r>
        <w:rPr>
          <w:color w:val="000000"/>
        </w:rPr>
        <w:t> </w:t>
      </w:r>
    </w:p>
    <w:p>
      <w:pPr>
        <w:pStyle w:val="TextBody"/>
        <w:spacing w:lineRule="auto" w:line="240"/>
        <w:ind w:left="0" w:right="0" w:firstLine="720"/>
        <w:jc w:val="both"/>
        <w:rPr/>
      </w:pPr>
      <w:r>
        <w:rPr>
          <w:color w:val="000000"/>
        </w:rPr>
        <w:t>“</w:t>
      </w:r>
      <w:r>
        <w:rPr>
          <w:rFonts w:ascii="Times New Roman;sans-serif" w:hAnsi="Times New Roman;sans-serif"/>
          <w:b w:val="false"/>
          <w:color w:val="000000"/>
          <w:sz w:val="24"/>
          <w:u w:val="single"/>
        </w:rPr>
        <w:t>control</w:t>
      </w:r>
      <w:r>
        <w:rPr>
          <w:color w:val="000000"/>
        </w:rPr>
        <w:t xml:space="preserve">” </w:t>
      </w:r>
      <w:r>
        <w:rPr>
          <w:rFonts w:ascii="Times New Roman;sans-serif" w:hAnsi="Times New Roman;sans-serif"/>
          <w:b w:val="false"/>
          <w:color w:val="000000"/>
          <w:sz w:val="24"/>
        </w:rPr>
        <w:t xml:space="preserve">(including the terms “controlled by” and “under common control with”) means the possession, direct or indirect, of the power to direct or cause the direction of </w:t>
      </w:r>
      <w:r>
        <w:br w:type="page"/>
      </w:r>
    </w:p>
    <w:p>
      <w:pPr>
        <w:pStyle w:val="TextBody"/>
        <w:spacing w:before="0" w:after="2"/>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0520"/>
                <wp:effectExtent l="0" t="0" r="0" b="0"/>
                <wp:wrapNone/>
                <wp:docPr id="91" name="Frame9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0"/>
                        <w:jc w:val="center"/>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management and policies of a Person, whether through the ownership of voting shares, by contract, or otherwise.</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Corporate Trust Office</w:t>
      </w:r>
      <w:r>
        <w:rPr>
          <w:color w:val="000000"/>
        </w:rPr>
        <w:t xml:space="preserve">” </w:t>
      </w:r>
      <w:r>
        <w:rPr>
          <w:rFonts w:ascii="Times New Roman;sans-serif" w:hAnsi="Times New Roman;sans-serif"/>
          <w:b w:val="false"/>
          <w:color w:val="000000"/>
          <w:sz w:val="24"/>
        </w:rPr>
        <w:t>means the principal office of the Trustee at which at any particular time its corporate trust business shall be administered, which office as of the date hereof is located at: 601 Travis Street, 16th Floor, Houston, Texas 77002, Attention: Global Corporate Trust; telephone: (713) 483-6817; telecopy: (713) 483-7038.</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Electronic Means</w:t>
      </w:r>
      <w:r>
        <w:rPr>
          <w:color w:val="000000"/>
        </w:rPr>
        <w:t xml:space="preserve">” </w:t>
      </w:r>
      <w:r>
        <w:rPr>
          <w:rFonts w:ascii="Times New Roman;sans-serif" w:hAnsi="Times New Roman;sans-serif"/>
          <w:b w:val="false"/>
          <w:color w:val="000000"/>
          <w:sz w:val="24"/>
        </w:rPr>
        <w:t xml:space="preserve">means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Equity Interests</w:t>
      </w:r>
      <w:r>
        <w:rPr>
          <w:color w:val="000000"/>
        </w:rPr>
        <w:t xml:space="preserve">” </w:t>
      </w:r>
      <w:r>
        <w:rPr>
          <w:rFonts w:ascii="Times New Roman;sans-serif" w:hAnsi="Times New Roman;sans-serif"/>
          <w:b w:val="false"/>
          <w:color w:val="000000"/>
          <w:sz w:val="24"/>
        </w:rPr>
        <w:t xml:space="preserve">means any capital stock, partnership, joint venture, member or limited liability or unlimited liability company interest, beneficial interest in a trust or similar entity or other equity interest or investment of whatever nature.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H.15</w:t>
      </w:r>
      <w:r>
        <w:rPr>
          <w:color w:val="000000"/>
        </w:rPr>
        <w:t xml:space="preserve">” </w:t>
      </w:r>
      <w:r>
        <w:rPr>
          <w:rFonts w:ascii="Times New Roman;sans-serif" w:hAnsi="Times New Roman;sans-serif"/>
          <w:b w:val="false"/>
          <w:color w:val="000000"/>
          <w:sz w:val="24"/>
        </w:rPr>
        <w:t xml:space="preserve">has the meaning set forth in Section 402 hereof.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H.15 TCM</w:t>
      </w:r>
      <w:r>
        <w:rPr>
          <w:color w:val="000000"/>
        </w:rPr>
        <w:t xml:space="preserve">” </w:t>
      </w:r>
      <w:r>
        <w:rPr>
          <w:rFonts w:ascii="Times New Roman;sans-serif" w:hAnsi="Times New Roman;sans-serif"/>
          <w:b w:val="false"/>
          <w:color w:val="000000"/>
          <w:sz w:val="24"/>
        </w:rPr>
        <w:t xml:space="preserve">has the meaning set forth in Section 402 hereof. </w:t>
      </w:r>
    </w:p>
    <w:p>
      <w:pPr>
        <w:pStyle w:val="TextBody"/>
        <w:spacing w:lineRule="auto" w:line="240" w:before="0" w:after="0"/>
        <w:jc w:val="right"/>
        <w:rPr>
          <w:color w:val="000000"/>
        </w:rPr>
      </w:pPr>
      <w:r>
        <w:rPr>
          <w:color w:val="000000"/>
        </w:rPr>
        <w:t> </w:t>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Finance Lease</w:t>
      </w:r>
      <w:r>
        <w:rPr>
          <w:color w:val="000000"/>
        </w:rPr>
        <w:t xml:space="preserve">” </w:t>
      </w:r>
      <w:r>
        <w:rPr>
          <w:rFonts w:ascii="Times New Roman;sans-serif" w:hAnsi="Times New Roman;sans-serif"/>
          <w:b w:val="false"/>
          <w:color w:val="000000"/>
          <w:sz w:val="24"/>
        </w:rPr>
        <w:t>means a lease that, in accordance with accounting principles generally accepted in the United States of America, would be recorded as a finance lease on the balance sheet of the lessee, but excluding, for the avoidance of doubt, any operating leases or any other non-finance leases.</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indebtedness</w:t>
      </w:r>
      <w:r>
        <w:rPr>
          <w:color w:val="000000"/>
        </w:rPr>
        <w:t xml:space="preserve">” </w:t>
      </w:r>
      <w:r>
        <w:rPr>
          <w:rFonts w:ascii="Times New Roman;sans-serif" w:hAnsi="Times New Roman;sans-serif"/>
          <w:b w:val="false"/>
          <w:color w:val="000000"/>
          <w:sz w:val="24"/>
        </w:rPr>
        <w:t xml:space="preserve">means, as applied to the Company or any Subsidiary, means bonds, debentures, notes and other instruments or arrangements representing obligations created or assumed by the Company or any such Subsidiary, including any and all: (i) obligations for money borrowed (other than unamortized debt discount or premium); (ii) obligations evidenced by a note or similar instrument given in connection with the acquisition of any business, properties or assets of any kind; (iii) obligations as lessee under a Finance Lease; and (iv) amendments, renewals, extensions, modifications and refundings of any such indebtedness or obligation listed in clause (i), (ii) or (iii) above. All indebtedness secured by a lien upon property owned by the Company or any Subsidiary and upon which indebtedness the Company or any such Subsidiary customarily pays interest, although the Company or any such Subsidiary has not assumed or become liable for the payment of such indebtedness, shall for all purposes hereof be deemed to be indebtedness of the Company or any such Subsidiary. All indebtedness for borrowed money incurred by other Persons which is directly guaranteed as to payment of principal by the Company or any Subsidiary shall for all purposes hereof be deemed to be indebtedness of the Company or any such Subsidiary, as applicable, but no other contingent obligation of the Company or any such Subsidiary in respect of indebtedness incurred by other Persons shall for any purpose be deemed to be indebtedness of the Company or any such Subsidiary.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Instructions</w:t>
      </w:r>
      <w:r>
        <w:rPr>
          <w:color w:val="000000"/>
        </w:rPr>
        <w:t xml:space="preserve">” </w:t>
      </w:r>
      <w:r>
        <w:rPr>
          <w:rFonts w:ascii="Times New Roman;sans-serif" w:hAnsi="Times New Roman;sans-serif"/>
          <w:b w:val="false"/>
          <w:color w:val="000000"/>
          <w:sz w:val="24"/>
        </w:rPr>
        <w:t>has the meaning set forth in Section 606 hereof.</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Interest Payment Date</w:t>
      </w:r>
      <w:r>
        <w:rPr>
          <w:color w:val="000000"/>
        </w:rPr>
        <w:t xml:space="preserve">” </w:t>
      </w:r>
      <w:r>
        <w:rPr>
          <w:rFonts w:ascii="Times New Roman;sans-serif" w:hAnsi="Times New Roman;sans-serif"/>
          <w:b w:val="false"/>
          <w:color w:val="000000"/>
          <w:sz w:val="24"/>
        </w:rPr>
        <w:t>has the meaning set forth in Section 204(a) hereof.</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Issue Date</w:t>
      </w:r>
      <w:r>
        <w:rPr>
          <w:color w:val="000000"/>
        </w:rPr>
        <w:t xml:space="preserve">” </w:t>
      </w:r>
      <w:r>
        <w:rPr>
          <w:rFonts w:ascii="Times New Roman;sans-serif" w:hAnsi="Times New Roman;sans-serif"/>
          <w:b w:val="false"/>
          <w:color w:val="000000"/>
          <w:sz w:val="24"/>
        </w:rPr>
        <w:t>has the meaning set forth in Section 204(a) hereof.</w:t>
      </w:r>
    </w:p>
    <w:p>
      <w:pPr>
        <w:pStyle w:val="TextBody"/>
        <w:ind w:left="0" w:right="0" w:firstLine="720"/>
        <w:jc w:val="both"/>
        <w:rPr/>
      </w:pPr>
      <w:r>
        <w:rPr/>
      </w:r>
      <w:r>
        <w:br w:type="page"/>
      </w:r>
    </w:p>
    <w:p>
      <w:pPr>
        <w:pStyle w:val="TextBody"/>
        <w:spacing w:before="0" w:after="2"/>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0520"/>
                <wp:effectExtent l="0" t="0" r="0" b="0"/>
                <wp:wrapNone/>
                <wp:docPr id="92" name="Frame9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0"/>
                        <w:jc w:val="center"/>
                        <w:rPr/>
                      </w:pPr>
                      <w:r>
                        <w:rPr/>
                      </w:r>
                    </w:p>
                  </w:txbxContent>
                </v:textbox>
              </v:rect>
            </w:pict>
          </mc:Fallback>
        </mc:AlternateContent>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Lien</w:t>
      </w:r>
      <w:r>
        <w:rPr>
          <w:color w:val="000000"/>
        </w:rPr>
        <w:t xml:space="preserve">” </w:t>
      </w:r>
      <w:r>
        <w:rPr>
          <w:rFonts w:ascii="Times New Roman;sans-serif" w:hAnsi="Times New Roman;sans-serif"/>
          <w:b w:val="false"/>
          <w:color w:val="000000"/>
          <w:sz w:val="24"/>
        </w:rPr>
        <w:t>means any mortgage, deed of trust, pledge, hypothecation, assignment, deposit arrangement, charge, security interest, encumbrance or lien of any kind whatsoever (including any Finance Lease).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Maturity Date</w:t>
      </w:r>
      <w:r>
        <w:rPr>
          <w:color w:val="000000"/>
        </w:rPr>
        <w:t xml:space="preserve">” </w:t>
      </w:r>
      <w:r>
        <w:rPr>
          <w:rFonts w:ascii="Times New Roman;sans-serif" w:hAnsi="Times New Roman;sans-serif"/>
          <w:b w:val="false"/>
          <w:color w:val="000000"/>
          <w:sz w:val="24"/>
        </w:rPr>
        <w:t>has the meaning set forth in Section 203 hereof.</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Non-Recourse Debt</w:t>
      </w:r>
      <w:r>
        <w:rPr>
          <w:color w:val="000000"/>
        </w:rPr>
        <w:t xml:space="preserve">” </w:t>
      </w:r>
      <w:r>
        <w:rPr>
          <w:rFonts w:ascii="Times New Roman;sans-serif" w:hAnsi="Times New Roman;sans-serif"/>
          <w:b w:val="false"/>
          <w:color w:val="000000"/>
          <w:sz w:val="24"/>
        </w:rPr>
        <w:t xml:space="preserve">means (i) any indebtedness for borrowed money incurred by any Project Finance Subsidiary to finance the acquisition, improvement, installation, design, engineering, construction, development, completion, maintenance or operation of, or otherwise to pay costs and expenses relating to or providing financing for, any project, which indebtedness for borrowed money does not provide for recourse against the Company or any Subsidiary of the Company (other than a Project Finance Subsidiary and such recourse as exists under a Performance Guaranty) or any property or asset of the Company or any Subsidiary of the Company (other than Equity Interests in, or the property or assets of, a Project Finance Subsidiary and such recourse as exists under a Performance Guaranty) and (ii) any refinancing of such indebtedness for borrowed money that does not increase the outstanding principal amount thereof (other than to pay costs incurred in connection therewith and the capitalization of any interest or fees) at the time of the refinancing or increase the property subject to any lien securing such indebtedness for borrowed money or otherwise add additional security or support for such indebtedness for borrowed money. </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Notes</w:t>
      </w:r>
      <w:r>
        <w:rPr>
          <w:color w:val="000000"/>
        </w:rPr>
        <w:t xml:space="preserve">” </w:t>
      </w:r>
      <w:r>
        <w:rPr>
          <w:rFonts w:ascii="Times New Roman;sans-serif" w:hAnsi="Times New Roman;sans-serif"/>
          <w:b w:val="false"/>
          <w:color w:val="000000"/>
          <w:sz w:val="24"/>
        </w:rPr>
        <w:t>has the meaning set forth in the third paragraph of the Recitals hereof.</w:t>
      </w:r>
    </w:p>
    <w:p>
      <w:pPr>
        <w:pStyle w:val="TextBody"/>
        <w:spacing w:before="0" w:after="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Original Indenture</w:t>
      </w:r>
      <w:r>
        <w:rPr>
          <w:color w:val="000000"/>
        </w:rPr>
        <w:t xml:space="preserve">” </w:t>
      </w:r>
      <w:r>
        <w:rPr>
          <w:rFonts w:ascii="Times New Roman;sans-serif" w:hAnsi="Times New Roman;sans-serif"/>
          <w:b w:val="false"/>
          <w:color w:val="000000"/>
          <w:sz w:val="24"/>
        </w:rPr>
        <w:t>has the meaning set forth in the first paragraph of the Recitals hereof.</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Par Call Date</w:t>
      </w:r>
      <w:r>
        <w:rPr>
          <w:color w:val="000000"/>
        </w:rPr>
        <w:t xml:space="preserve">” </w:t>
      </w:r>
      <w:r>
        <w:rPr>
          <w:rFonts w:ascii="Times New Roman;sans-serif" w:hAnsi="Times New Roman;sans-serif"/>
          <w:b w:val="false"/>
          <w:color w:val="000000"/>
          <w:sz w:val="24"/>
        </w:rPr>
        <w:t>has the meaning set forth in Section 401 hereof.</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Performance Guaranty</w:t>
      </w:r>
      <w:r>
        <w:rPr>
          <w:color w:val="000000"/>
        </w:rPr>
        <w:t xml:space="preserve">” </w:t>
      </w:r>
      <w:r>
        <w:rPr>
          <w:rFonts w:ascii="Times New Roman;sans-serif" w:hAnsi="Times New Roman;sans-serif"/>
          <w:b w:val="false"/>
          <w:color w:val="000000"/>
          <w:sz w:val="24"/>
        </w:rPr>
        <w:t>means any guaranty issued in connection with any Non-Recourse Debt that (i) if secured, is secured only by assets of or Equity Interests in a Project Finance Subsidiary, and (ii) guarantees to the provider of such Non-Recourse Debt or any other person (a) performance of the improvement, installation, design, engineering, construction, acquisition, development, completion, maintenance or operation of, or otherwise affects any such act in respect of, all or any portion of the project that is financed by such Non-Recourse Debt, (b) completion of the minimum agreed equity or other contributions or support to the relevant Project Finance Subsidiary, or (c) performance by a Project Finance Subsidiary of obligations to persons other than the provider of such Non-Recourse Debt.</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Project Finance Subsidiary</w:t>
      </w:r>
      <w:r>
        <w:rPr>
          <w:color w:val="000000"/>
        </w:rPr>
        <w:t xml:space="preserve">” </w:t>
      </w:r>
      <w:r>
        <w:rPr>
          <w:rFonts w:ascii="Times New Roman;sans-serif" w:hAnsi="Times New Roman;sans-serif"/>
          <w:b w:val="false"/>
          <w:color w:val="000000"/>
          <w:sz w:val="24"/>
        </w:rPr>
        <w:t>means any Subsidiary designated by the Company whose principal purpose is to incur Non-Recourse Debt and/or construct, lease, own or operate the assets financed thereby, or to become a direct or indirect partner, member or other equity participant or owner in a Person created for such purpose, and substantially all the assets of which Subsidiary or Person are limited to (x) those assets being financed (or to be financed), or the operation of which is being financed (or to be financed), in whole or in part by Non-Recourse Debt, or (y) Equity Interests in, or indebtedness or other obligations of, one or more other such Subsidiaries or Persons, or (z) indebtedness or other obligations of the Company or any Subsidiary or other Persons. At the time of designation of any Project Finance Subsidiary, the sum of the net book value of the assets of such Subsidiary and the net book value of the assets of all other Project Finance Subsidiaries then existing shall not in the aggregate exceed 10 percent of the Consolidated Net Tangible Assets.</w:t>
      </w:r>
    </w:p>
    <w:p>
      <w:pPr>
        <w:pStyle w:val="TextBody"/>
        <w:spacing w:lineRule="auto" w:line="240"/>
        <w:jc w:val="both"/>
        <w:rPr>
          <w:color w:val="000000"/>
        </w:rPr>
      </w:pPr>
      <w:r>
        <w:rPr>
          <w:color w:val="000000"/>
        </w:rPr>
        <w:t> </w:t>
      </w:r>
      <w:r>
        <w:br w:type="page"/>
      </w:r>
    </w:p>
    <w:p>
      <w:pPr>
        <w:pStyle w:val="TextBody"/>
        <w:spacing w:before="0" w:after="2"/>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0520"/>
                <wp:effectExtent l="0" t="0" r="0" b="0"/>
                <wp:wrapNone/>
                <wp:docPr id="93" name="Frame9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before="0" w:after="0"/>
                        <w:jc w:val="center"/>
                        <w:rPr/>
                      </w:pPr>
                      <w:r>
                        <w:rPr/>
                      </w:r>
                    </w:p>
                  </w:txbxContent>
                </v:textbox>
              </v:rect>
            </w:pict>
          </mc:Fallback>
        </mc:AlternateContent>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Regular Record Date</w:t>
      </w:r>
      <w:r>
        <w:rPr>
          <w:color w:val="000000"/>
        </w:rPr>
        <w:t xml:space="preserve">” </w:t>
      </w:r>
      <w:r>
        <w:rPr>
          <w:rFonts w:ascii="Times New Roman;sans-serif" w:hAnsi="Times New Roman;sans-serif"/>
          <w:b w:val="false"/>
          <w:color w:val="000000"/>
          <w:sz w:val="24"/>
        </w:rPr>
        <w:t>has the meaning set forth in Section 204(a) hereof.</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Remaining Life</w:t>
      </w:r>
      <w:r>
        <w:rPr>
          <w:color w:val="000000"/>
        </w:rPr>
        <w:t xml:space="preserve">” </w:t>
      </w:r>
      <w:r>
        <w:rPr>
          <w:rFonts w:ascii="Times New Roman;sans-serif" w:hAnsi="Times New Roman;sans-serif"/>
          <w:b w:val="false"/>
          <w:color w:val="000000"/>
          <w:sz w:val="24"/>
        </w:rPr>
        <w:t>has the meaning set forth in Section 402 hereof.</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of any entity means any corporation, partnership, joint venture, limited liability company, trust or estate of which (or in which) more than 50% of (i)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(ii) the interest in the capital or profits of such limited liability company, partnership, joint venture or other entity or (iii) the beneficial interest in such trust or estate is at the time directly or indirectly owned or controlled by such entity, by such entity and one or more of its other subsidiaries or by one or more of such entity’s other subsidiaries.</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Treasury Rate</w:t>
      </w:r>
      <w:r>
        <w:rPr>
          <w:color w:val="000000"/>
        </w:rPr>
        <w:t xml:space="preserve">” </w:t>
      </w:r>
      <w:r>
        <w:rPr>
          <w:rFonts w:ascii="Times New Roman;sans-serif" w:hAnsi="Times New Roman;sans-serif"/>
          <w:b w:val="false"/>
          <w:color w:val="000000"/>
          <w:sz w:val="24"/>
        </w:rPr>
        <w:t>has the meaning set forth in Section 402 hereof.</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references herein to Articles and Sections, unless otherwise specified, refer to the corresponding Articles and Sections of this Supplemental Indenture No. 23.</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terms “herein,” “hereof,” “hereunder” and other words of similar import refer to this Supplemental Indenture No. 23.</w:t>
      </w:r>
    </w:p>
    <w:p>
      <w:pPr>
        <w:pStyle w:val="TextBody"/>
        <w:spacing w:lineRule="auto" w:line="240" w:before="0" w:after="0"/>
        <w:jc w:val="both"/>
        <w:rPr>
          <w:color w:val="000000"/>
        </w:rPr>
      </w:pPr>
      <w:r>
        <w:rPr>
          <w:color w:val="000000"/>
        </w:rPr>
        <w:t> </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TWO</w: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The Series of Securities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4"/>
        </w:rPr>
        <w:t>Section 201    </w:t>
      </w:r>
      <w:r>
        <w:rPr>
          <w:rFonts w:ascii="Times New Roman;sans-serif" w:hAnsi="Times New Roman;sans-serif"/>
          <w:b w:val="false"/>
          <w:i/>
          <w:color w:val="000000"/>
          <w:sz w:val="24"/>
        </w:rPr>
        <w:t>Title of the Securities.  </w:t>
      </w:r>
      <w:r>
        <w:rPr>
          <w:rFonts w:ascii="Times New Roman;sans-serif" w:hAnsi="Times New Roman;sans-serif"/>
          <w:b w:val="false"/>
          <w:color w:val="000000"/>
          <w:sz w:val="24"/>
        </w:rPr>
        <w:t xml:space="preserve">The 2028 Notes shall be designated as the “5.25% Senior Notes due 2028” and the 2033 Notes shall be designated as the “5.40% Senior Notes due 2033.” </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Section 202    </w:t>
      </w:r>
      <w:r>
        <w:rPr>
          <w:rFonts w:ascii="Times New Roman;sans-serif" w:hAnsi="Times New Roman;sans-serif"/>
          <w:b w:val="false"/>
          <w:i/>
          <w:color w:val="000000"/>
          <w:sz w:val="24"/>
        </w:rPr>
        <w:t>Limitation on Aggregate Principal Amount</w:t>
      </w:r>
      <w:r>
        <w:rPr>
          <w:rFonts w:ascii="Times New Roman;sans-serif" w:hAnsi="Times New Roman;sans-serif"/>
          <w:b w:val="false"/>
          <w:color w:val="000000"/>
          <w:sz w:val="24"/>
        </w:rPr>
        <w:t xml:space="preserve">.  The Trustee shall authenticate and deliver (i) the 2028 Notes for original issue on the Issue Date in the aggregate principal amount of $600,000,000 and (ii) the 2033 Notes for original issue on the Issue Date in the aggregate principal amount of $600,000,000, upon a Company Order for the authentication and delivery thereof and satisfaction of Sections 301 and 303 of the Original Indenture. Such order shall specify the amount of the Notes to be authenticated, the date on which the original issue of Notes is to be authenticated and the name or names of the initial Holder or Holders.  The aggregate principal amount of the 2028 Notes and 2033 Notes that may initially be outstanding shall not exceed $600,000,000 and $600,000,000, respectively;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authorized aggregate principal amount of either series of the Notes may be increased above such amount by a Board Resolution to such effect.</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4"/>
        </w:rPr>
        <w:t>Section 203    </w:t>
      </w:r>
      <w:r>
        <w:rPr>
          <w:rFonts w:ascii="Times New Roman;sans-serif" w:hAnsi="Times New Roman;sans-serif"/>
          <w:b w:val="false"/>
          <w:i/>
          <w:color w:val="000000"/>
          <w:sz w:val="24"/>
        </w:rPr>
        <w:t>Stated Maturity</w:t>
      </w:r>
      <w:r>
        <w:rPr>
          <w:rFonts w:ascii="Times New Roman;sans-serif" w:hAnsi="Times New Roman;sans-serif"/>
          <w:b w:val="false"/>
          <w:color w:val="000000"/>
          <w:sz w:val="24"/>
        </w:rPr>
        <w:t>.  The Stated Maturity of the 2028 Notes shall be March 1, 2028 (the “</w:t>
      </w:r>
      <w:r>
        <w:rPr>
          <w:rFonts w:ascii="Times New Roman;sans-serif" w:hAnsi="Times New Roman;sans-serif"/>
          <w:b w:val="false"/>
          <w:color w:val="000000"/>
          <w:sz w:val="24"/>
          <w:u w:val="single"/>
        </w:rPr>
        <w:t>2028 Notes Maturity Date</w:t>
      </w:r>
      <w:r>
        <w:rPr>
          <w:color w:val="000000"/>
        </w:rPr>
        <w:t>”</w:t>
      </w:r>
      <w:r>
        <w:rPr>
          <w:rFonts w:ascii="Times New Roman;sans-serif" w:hAnsi="Times New Roman;sans-serif"/>
          <w:b w:val="false"/>
          <w:color w:val="000000"/>
          <w:sz w:val="24"/>
        </w:rPr>
        <w:t>), and the Stated Maturity of the 2033 Notes shall be March 1, 2033 (the “</w:t>
      </w:r>
      <w:r>
        <w:rPr>
          <w:rFonts w:ascii="Times New Roman;sans-serif" w:hAnsi="Times New Roman;sans-serif"/>
          <w:b w:val="false"/>
          <w:color w:val="000000"/>
          <w:sz w:val="24"/>
          <w:u w:val="single"/>
        </w:rPr>
        <w:t>2033 Notes Maturity Date</w:t>
      </w:r>
      <w:r>
        <w:rPr>
          <w:color w:val="000000"/>
        </w:rPr>
        <w:t>”</w:t>
      </w:r>
      <w:r>
        <w:rPr>
          <w:rFonts w:ascii="Times New Roman;sans-serif" w:hAnsi="Times New Roman;sans-serif"/>
          <w:b w:val="false"/>
          <w:color w:val="000000"/>
          <w:sz w:val="24"/>
        </w:rPr>
        <w:t xml:space="preserve">). </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4"/>
        </w:rPr>
        <w:t>Section 204    </w:t>
      </w:r>
      <w:r>
        <w:rPr>
          <w:rFonts w:ascii="Times New Roman;sans-serif" w:hAnsi="Times New Roman;sans-serif"/>
          <w:b w:val="false"/>
          <w:i/>
          <w:color w:val="000000"/>
          <w:sz w:val="24"/>
        </w:rPr>
        <w:t>Interest and Interest Rates.</w:t>
      </w:r>
    </w:p>
    <w:p>
      <w:pPr>
        <w:pStyle w:val="TextBody"/>
        <w:spacing w:lineRule="auto" w:line="240" w:before="0" w:after="0"/>
        <w:jc w:val="both"/>
        <w:rPr>
          <w:color w:val="000000"/>
        </w:rPr>
      </w:pPr>
      <w:r>
        <w:rPr>
          <w:color w:val="000000"/>
        </w:rPr>
        <w:t> </w:t>
      </w:r>
    </w:p>
    <w:p>
      <w:pPr>
        <w:pStyle w:val="TextBody"/>
        <w:spacing w:lineRule="auto" w:line="240"/>
        <w:ind w:left="0" w:right="0" w:firstLine="720"/>
        <w:jc w:val="both"/>
        <w:rPr/>
      </w:pPr>
      <w:r>
        <w:rPr>
          <w:rFonts w:ascii="Times New Roman;sans-serif" w:hAnsi="Times New Roman;sans-serif"/>
          <w:b w:val="false"/>
          <w:color w:val="000000"/>
          <w:sz w:val="24"/>
        </w:rPr>
        <w:t>(a)    The 2028 Notes shall bear interest at a rate of 5.25% per year, from and including February 23, 2023 (the “</w:t>
      </w:r>
      <w:r>
        <w:rPr>
          <w:rFonts w:ascii="Times New Roman;sans-serif" w:hAnsi="Times New Roman;sans-serif"/>
          <w:b w:val="false"/>
          <w:color w:val="000000"/>
          <w:sz w:val="24"/>
          <w:u w:val="single"/>
        </w:rPr>
        <w:t>Issue Date</w:t>
      </w:r>
      <w:r>
        <w:rPr>
          <w:color w:val="000000"/>
        </w:rPr>
        <w:t>”</w:t>
      </w:r>
      <w:r>
        <w:rPr>
          <w:rFonts w:ascii="Times New Roman;sans-serif" w:hAnsi="Times New Roman;sans-serif"/>
          <w:b w:val="false"/>
          <w:color w:val="000000"/>
          <w:sz w:val="24"/>
        </w:rPr>
        <w:t>) to, but excluding, the 2028 Notes Maturity Date. The 2033 Notes shall bear interest at a rate of 5.40% per year, from and including the Issue Date to, but excluding, the 2033 Notes Maturity Date. Such interest shall be payable semi-annually in arrears on March 1 and September 1 of each year (each an “</w:t>
      </w:r>
      <w:r>
        <w:rPr>
          <w:rFonts w:ascii="Times New Roman;sans-serif" w:hAnsi="Times New Roman;sans-serif"/>
          <w:b w:val="false"/>
          <w:color w:val="000000"/>
          <w:sz w:val="24"/>
          <w:u w:val="single"/>
        </w:rPr>
        <w:t>Interest Payment Date</w:t>
      </w:r>
      <w:r>
        <w:rPr>
          <w:color w:val="000000"/>
        </w:rPr>
        <w:t>”</w:t>
      </w:r>
      <w:r>
        <w:rPr>
          <w:rFonts w:ascii="Times New Roman;sans-serif" w:hAnsi="Times New Roman;sans-serif"/>
          <w:b w:val="false"/>
          <w:color w:val="000000"/>
          <w:sz w:val="24"/>
        </w:rPr>
        <w:t xml:space="preserve">), beginning </w:t>
      </w:r>
      <w:r>
        <w:br w:type="page"/>
      </w:r>
    </w:p>
    <w:p>
      <w:pPr>
        <w:pStyle w:val="TextBody"/>
        <w:spacing w:before="0" w:after="2"/>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0520"/>
                <wp:effectExtent l="0" t="0" r="0" b="0"/>
                <wp:wrapNone/>
                <wp:docPr id="94" name="Frame9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before="0" w:after="0"/>
                        <w:jc w:val="center"/>
                        <w:rPr/>
                      </w:pPr>
                      <w:r>
                        <w:rPr/>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00"/>
          <w:sz w:val="24"/>
        </w:rPr>
        <w:t>September 1, 2023, to the persons in whose names the Notes (or one or more Predecessor Securities) are registered at the close of business on February 15 and August 15 (each a “</w:t>
      </w:r>
      <w:r>
        <w:rPr>
          <w:rFonts w:ascii="Times New Roman;sans-serif" w:hAnsi="Times New Roman;sans-serif"/>
          <w:b w:val="false"/>
          <w:color w:val="000000"/>
          <w:sz w:val="24"/>
          <w:u w:val="single"/>
        </w:rPr>
        <w:t>Regular Record Date</w:t>
      </w:r>
      <w:r>
        <w:rPr>
          <w:color w:val="000000"/>
        </w:rPr>
        <w:t>”</w:t>
      </w:r>
      <w:r>
        <w:rPr>
          <w:rFonts w:ascii="Times New Roman;sans-serif" w:hAnsi="Times New Roman;sans-serif"/>
          <w:b w:val="false"/>
          <w:color w:val="000000"/>
          <w:sz w:val="24"/>
        </w:rPr>
        <w:t>) (whether or not a Business Day), as the case may be, immediately preceding such Interest Payment Date.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Any such interest not so punctually paid or duly provided for shall forthwith cease to be payable to the Holder on such Regular Record Date and shall either (i) be paid to the Person in whose name such Note (or one or more Predecessor Securities) is registered at the close of business on the Special Record Date for the payment of such Defaulted Interest to be fixed by the Trustee, notice whereof shall be given to Holders of such Notes not less than 10 days prior to such Special Record Date, or (ii) be paid at any time in any other lawful manner not inconsistent with the requirements of any securities exchange or automated quotation system on which such Notes may be listed or traded, and upon such notice as may be required by such exchange or automated quotation system, all as more fully provided in the Indenture.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The amount of interest payable for any period shall be computed on the basis of a 360-day year of twelve 30-day months. The amount of interest payable for any partial period shall be computed on the basis of a 360-day year of twelve 30-day months and the days elapsed in any partial month. In the event that any date on which interest is payable on a Note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payable.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Any principal and premium, if any, and any installment of interest, which is overdue shall bear interest at the rate of 5.25% per annum (to the extent permitted by law), in the case of the 2028 Notes, or 5.40% per annum (to the extent permitted by law), in the case of the 2033 Notes, in each case from the dates such amounts are due until they are paid or made available for payment, and such interest shall be payable on demand.</w:t>
      </w:r>
    </w:p>
    <w:p>
      <w:pPr>
        <w:pStyle w:val="TextBody"/>
        <w:spacing w:lineRule="auto" w:line="240" w:before="0" w:after="0"/>
        <w:jc w:val="right"/>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4"/>
        </w:rPr>
        <w:t>Section 205    </w:t>
      </w:r>
      <w:r>
        <w:rPr>
          <w:rFonts w:ascii="Times New Roman;sans-serif" w:hAnsi="Times New Roman;sans-serif"/>
          <w:b w:val="false"/>
          <w:i/>
          <w:color w:val="000000"/>
          <w:sz w:val="24"/>
        </w:rPr>
        <w:t>Paying Agent; Place of Payment</w:t>
      </w:r>
      <w:r>
        <w:rPr>
          <w:rFonts w:ascii="Times New Roman;sans-serif" w:hAnsi="Times New Roman;sans-serif"/>
          <w:b w:val="false"/>
          <w:color w:val="000000"/>
          <w:sz w:val="24"/>
        </w:rPr>
        <w:t>.  The Trustee shall initially serve as the Paying Agent for the Notes.  The Company may appoint and change any Paying Agent or approve a change in the office through which any Paying Agent acts without notice, other than notice to the Trustee.  The Company or any of its Subsidiaries or any of their Affiliates may act as Paying Agent.  The Place of Payment where the Notes may be presented or surrendered for payment shall be the Corporate Trust Office of the Trustee.  At the option of the Company, payment of interest may be made (i) 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4"/>
        </w:rPr>
        <w:t>Section 206    </w:t>
      </w:r>
      <w:r>
        <w:rPr>
          <w:rFonts w:ascii="Times New Roman;sans-serif" w:hAnsi="Times New Roman;sans-serif"/>
          <w:b w:val="false"/>
          <w:i/>
          <w:color w:val="000000"/>
          <w:sz w:val="24"/>
        </w:rPr>
        <w:t>Place of Registration or Exchange; Notices and Demands With Respect to the Notes</w:t>
      </w:r>
      <w:r>
        <w:rPr>
          <w:rFonts w:ascii="Times New Roman;sans-serif" w:hAnsi="Times New Roman;sans-serif"/>
          <w:b w:val="false"/>
          <w:color w:val="000000"/>
          <w:sz w:val="24"/>
        </w:rPr>
        <w:t>.  The place where the Holders of the Notes may present the Notes for registration of transfer or exchange and may make notices and demands to or upon the Company in respect of the Notes shall be the Corporate Trust Office of the Trustee.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4"/>
        </w:rPr>
        <w:t>Section 207    </w:t>
      </w:r>
      <w:r>
        <w:rPr>
          <w:rFonts w:ascii="Times New Roman;sans-serif" w:hAnsi="Times New Roman;sans-serif"/>
          <w:b w:val="false"/>
          <w:i/>
          <w:color w:val="000000"/>
          <w:sz w:val="24"/>
        </w:rPr>
        <w:t>Percentage of Principal Amount</w:t>
      </w:r>
      <w:r>
        <w:rPr>
          <w:rFonts w:ascii="Times New Roman;sans-serif" w:hAnsi="Times New Roman;sans-serif"/>
          <w:b w:val="false"/>
          <w:color w:val="000000"/>
          <w:sz w:val="24"/>
        </w:rPr>
        <w:t>.  The 2028 Notes and 2033 Notes shall be initially issued at 99.680% and 99.975% of their principal amount, respectively, plus accrued interest, if any, from the Issue Date.</w:t>
      </w:r>
    </w:p>
    <w:p>
      <w:pPr>
        <w:pStyle w:val="TextBody"/>
        <w:spacing w:lineRule="auto" w:line="240" w:before="0" w:after="0"/>
        <w:jc w:val="both"/>
        <w:rPr>
          <w:color w:val="000000"/>
        </w:rPr>
      </w:pPr>
      <w:r>
        <w:rPr>
          <w:color w:val="000000"/>
        </w:rPr>
        <w:t> </w:t>
      </w:r>
    </w:p>
    <w:p>
      <w:pPr>
        <w:pStyle w:val="TextBody"/>
        <w:spacing w:lineRule="auto" w:line="240"/>
        <w:ind w:left="0" w:right="0" w:firstLine="720"/>
        <w:jc w:val="both"/>
        <w:rPr/>
      </w:pPr>
      <w:r>
        <w:rPr>
          <w:rFonts w:ascii="Times New Roman;sans-serif" w:hAnsi="Times New Roman;sans-serif"/>
          <w:b w:val="false"/>
          <w:color w:val="000000"/>
          <w:sz w:val="24"/>
        </w:rPr>
        <w:t>Section 208    </w:t>
      </w:r>
      <w:r>
        <w:rPr>
          <w:rFonts w:ascii="Times New Roman;sans-serif" w:hAnsi="Times New Roman;sans-serif"/>
          <w:b w:val="false"/>
          <w:i/>
          <w:color w:val="000000"/>
          <w:sz w:val="24"/>
        </w:rPr>
        <w:t>Global Securities</w:t>
      </w:r>
      <w:r>
        <w:rPr>
          <w:rFonts w:ascii="Times New Roman;sans-serif" w:hAnsi="Times New Roman;sans-serif"/>
          <w:b w:val="false"/>
          <w:color w:val="000000"/>
          <w:sz w:val="24"/>
        </w:rPr>
        <w:t xml:space="preserve">. The Notes shall be issuable in whole or in part in the form of one or more Global Securities.  Such Global Securities shall be deposited with, or on behalf of, The Depository Trust Company, New York, New York, which shall act as Depositary </w:t>
      </w:r>
      <w:r>
        <w:br w:type="page"/>
      </w:r>
    </w:p>
    <w:p>
      <w:pPr>
        <w:pStyle w:val="TextBody"/>
        <w:spacing w:before="0" w:after="2"/>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0520"/>
                <wp:effectExtent l="0" t="0" r="0" b="0"/>
                <wp:wrapNone/>
                <wp:docPr id="95" name="Frame9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before="0" w:after="0"/>
                        <w:jc w:val="center"/>
                        <w:rPr/>
                      </w:pPr>
                      <w:r>
                        <w:rPr/>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00"/>
          <w:sz w:val="24"/>
        </w:rPr>
        <w:t xml:space="preserve">with respect to the Notes.  Such Global Securities shall bear the legends set forth in the forms of Security attached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hereto.</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4"/>
        </w:rPr>
        <w:t>Section 209    </w:t>
      </w:r>
      <w:r>
        <w:rPr>
          <w:rFonts w:ascii="Times New Roman;sans-serif" w:hAnsi="Times New Roman;sans-serif"/>
          <w:b w:val="false"/>
          <w:i/>
          <w:color w:val="000000"/>
          <w:sz w:val="24"/>
        </w:rPr>
        <w:t>Form of Securities</w:t>
      </w:r>
      <w:r>
        <w:rPr>
          <w:rFonts w:ascii="Times New Roman;sans-serif" w:hAnsi="Times New Roman;sans-serif"/>
          <w:b w:val="false"/>
          <w:color w:val="000000"/>
          <w:sz w:val="24"/>
        </w:rPr>
        <w:t xml:space="preserve">.  The 2028 Notes shall be substantially in the form attached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hereto and the 2033 Notes shall be substantially in the form attached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hereto. </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4"/>
        </w:rPr>
        <w:t>Section 210    </w:t>
      </w:r>
      <w:r>
        <w:rPr>
          <w:rFonts w:ascii="Times New Roman;sans-serif" w:hAnsi="Times New Roman;sans-serif"/>
          <w:b w:val="false"/>
          <w:i/>
          <w:color w:val="000000"/>
          <w:sz w:val="24"/>
        </w:rPr>
        <w:t>Securities Registrar</w:t>
      </w:r>
      <w:r>
        <w:rPr>
          <w:rFonts w:ascii="Times New Roman;sans-serif" w:hAnsi="Times New Roman;sans-serif"/>
          <w:b w:val="false"/>
          <w:color w:val="000000"/>
          <w:sz w:val="24"/>
        </w:rPr>
        <w:t>.  The Trustee shall initially serve as the Security Registrar for the Notes.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4"/>
        </w:rPr>
        <w:t>Section 211    </w:t>
      </w:r>
      <w:r>
        <w:rPr>
          <w:rFonts w:ascii="Times New Roman;sans-serif" w:hAnsi="Times New Roman;sans-serif"/>
          <w:b w:val="false"/>
          <w:i/>
          <w:color w:val="000000"/>
          <w:sz w:val="24"/>
        </w:rPr>
        <w:t>Defeasance and Discharge; Covenant Defeasance.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Article Fourteen of the Original Indenture, including without limitation Sections 1402 and 1403 thereof (as modified by Section 211(b) hereof), shall apply to each series of the Notes.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Solely with respect to each series of the Notes issued hereby, the first sentence of Section 1403 of the Original Indenture is hereby deleted in its entirety, and the following is substituted in lieu thereof:</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color w:val="000000"/>
          <w:sz w:val="24"/>
        </w:rPr>
        <w:t>Upon the Company’s exercise of its option (if any) to have this Section 1403 applied to any Securities or any series of Securities, as the case may be, (1) the Company shall be released from its obligations under Article Eight and under any covenants provided pursuant to Section 301(20), 901(2) or 901(7) for the benefit of the Holders of such Securities, including without limitation, the covenants provided for in Article Three of Supplemental Indenture No. 23 to the Indenture, and (2) the occurrence of any event specified in Sections 501(4) (with respect to Article Eight and to any such covenants provided pursuant to Section 301(20), 901(2) or 901(7)) and 501(7) shall be deemed not to be or result in an Event of Default, in each case with respect to such Securities as provided in this Section 1403 on and after the date the conditions set forth in Section 1404 are satisfied (hereinafter called “Covenant Defeasance”).”</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Section 212    </w:t>
      </w:r>
      <w:r>
        <w:rPr>
          <w:rFonts w:ascii="Times New Roman;sans-serif" w:hAnsi="Times New Roman;sans-serif"/>
          <w:b w:val="false"/>
          <w:i/>
          <w:color w:val="000000"/>
          <w:sz w:val="24"/>
        </w:rPr>
        <w:t>Sinking Fund Obligations</w:t>
      </w:r>
      <w:r>
        <w:rPr>
          <w:rFonts w:ascii="Times New Roman;sans-serif" w:hAnsi="Times New Roman;sans-serif"/>
          <w:b w:val="false"/>
          <w:color w:val="000000"/>
          <w:sz w:val="24"/>
        </w:rPr>
        <w:t>.  The Company shall have no obligation to redeem or purchase any Notes pursuant to any sinking fund or analogous requirement or upon the happening of a specified event or at the option of a Holder thereof.</w:t>
      </w:r>
    </w:p>
    <w:p>
      <w:pPr>
        <w:pStyle w:val="TextBody"/>
        <w:spacing w:before="0" w:after="0"/>
        <w:rPr/>
      </w:pPr>
      <w:r>
        <w:rPr/>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THREE</w: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Additional Covenants</w:t>
      </w:r>
    </w:p>
    <w:p>
      <w:pPr>
        <w:pStyle w:val="TextBody"/>
        <w:spacing w:before="0" w:after="0"/>
        <w:jc w:val="center"/>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301. </w:t>
      </w:r>
      <w:r>
        <w:rPr>
          <w:rFonts w:ascii="Times New Roman;sans-serif" w:hAnsi="Times New Roman;sans-serif"/>
          <w:b w:val="false"/>
          <w:i/>
          <w:color w:val="000000"/>
          <w:sz w:val="24"/>
        </w:rPr>
        <w:t>Maintenance of Properties.</w:t>
      </w:r>
      <w:r>
        <w:rPr>
          <w:color w:val="000000"/>
        </w:rPr>
        <w:t xml:space="preserve"> </w:t>
      </w:r>
      <w:r>
        <w:rPr>
          <w:rFonts w:ascii="Times New Roman;sans-serif" w:hAnsi="Times New Roman;sans-serif"/>
          <w:b w:val="false"/>
          <w:color w:val="000000"/>
          <w:sz w:val="24"/>
        </w:rPr>
        <w:t xml:space="preserve">The Company shall cause all properties used or useful in the conduct of its business or the business of any Subsidiary to be maintained and kept in good condition, repair and working order and supplied with all necessary equipment and shall cause to be made all necessary repairs, renewals, replacements, betterments and improvements thereof, all as in the judgment of the Company may be necessary so that the business carried on in connection therewith may be properly conducted at all times;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nothing in this Section 301 shall prevent the Company from discontinuing the operation or maintenance of any of such properties if such discontinuance is, in the judgment of the Company, desirable in the conduct of its business or the business of any Subsidiary.</w:t>
      </w:r>
    </w:p>
    <w:p>
      <w:pPr>
        <w:pStyle w:val="TextBody"/>
        <w:spacing w:before="0" w:after="0"/>
        <w:jc w:val="both"/>
        <w:rPr/>
      </w:pPr>
      <w:r>
        <w:rPr/>
      </w:r>
    </w:p>
    <w:p>
      <w:pPr>
        <w:pStyle w:val="TextBody"/>
        <w:spacing w:lineRule="auto" w:line="240"/>
        <w:ind w:left="0" w:right="0" w:firstLine="720"/>
        <w:jc w:val="both"/>
        <w:rPr/>
      </w:pPr>
      <w:r>
        <w:rPr>
          <w:rFonts w:ascii="Times New Roman;sans-serif" w:hAnsi="Times New Roman;sans-serif"/>
          <w:b w:val="false"/>
          <w:color w:val="000000"/>
          <w:sz w:val="24"/>
        </w:rPr>
        <w:t xml:space="preserve">Section 302. </w:t>
      </w:r>
      <w:r>
        <w:rPr>
          <w:rFonts w:ascii="Times New Roman;sans-serif" w:hAnsi="Times New Roman;sans-serif"/>
          <w:b w:val="false"/>
          <w:i/>
          <w:color w:val="000000"/>
          <w:sz w:val="24"/>
        </w:rPr>
        <w:t>Payment of Taxes and Other Claims.</w:t>
      </w:r>
      <w:r>
        <w:rPr>
          <w:color w:val="000000"/>
        </w:rPr>
        <w:t xml:space="preserve"> </w:t>
      </w:r>
      <w:r>
        <w:rPr>
          <w:rFonts w:ascii="Times New Roman;sans-serif" w:hAnsi="Times New Roman;sans-serif"/>
          <w:b w:val="false"/>
          <w:color w:val="000000"/>
          <w:sz w:val="24"/>
        </w:rPr>
        <w:t xml:space="preserve">The Company shall pay or discharge or cause to be paid or discharged, before the same shall become delinquent, (1) all taxes, assessments and governmental charges levied or imposed upon the Company or any Subsidiary </w:t>
      </w:r>
      <w:r>
        <w:br w:type="page"/>
      </w:r>
    </w:p>
    <w:p>
      <w:pPr>
        <w:pStyle w:val="TextBody"/>
        <w:spacing w:before="0" w:after="2"/>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0520"/>
                <wp:effectExtent l="0" t="0" r="0" b="0"/>
                <wp:wrapNone/>
                <wp:docPr id="96" name="Frame9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before="0" w:after="0"/>
                        <w:jc w:val="center"/>
                        <w:rPr/>
                      </w:pPr>
                      <w:r>
                        <w:rPr/>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00"/>
          <w:sz w:val="24"/>
        </w:rPr>
        <w:t xml:space="preserve">or upon the income, profits or property of the Company or any Subsidiary, and (2) all lawful claims for labor, materials and supplies which, if unpaid, might by law become a lien upon the property of the Company or any Subsidiary;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Company shall not be required to pay or discharge or cause to be paid or discharged any such tax, assessment, charge or claim whose amount, applicability or validity is being contested in good faith by appropriate proceedings.</w:t>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FOUR</w: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Optional Redemption of the Notes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4"/>
        </w:rPr>
        <w:t>Section 401    </w:t>
      </w:r>
      <w:r>
        <w:rPr>
          <w:rFonts w:ascii="Times New Roman;sans-serif" w:hAnsi="Times New Roman;sans-serif"/>
          <w:b w:val="false"/>
          <w:i/>
          <w:color w:val="000000"/>
          <w:sz w:val="24"/>
        </w:rPr>
        <w:t>Redemption Price</w:t>
      </w:r>
      <w:r>
        <w:rPr>
          <w:rFonts w:ascii="Times New Roman;sans-serif" w:hAnsi="Times New Roman;sans-serif"/>
          <w:b w:val="false"/>
          <w:color w:val="000000"/>
          <w:sz w:val="24"/>
        </w:rPr>
        <w:t xml:space="preserve">.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(a) Prior to February 1, 2028, in the case of the 2028 Notes (the “</w:t>
      </w:r>
      <w:r>
        <w:rPr>
          <w:rFonts w:ascii="Times New Roman;sans-serif" w:hAnsi="Times New Roman;sans-serif"/>
          <w:b w:val="false"/>
          <w:color w:val="000000"/>
          <w:sz w:val="24"/>
          <w:u w:val="single"/>
        </w:rPr>
        <w:t>2028 Notes Par Call Date</w:t>
      </w:r>
      <w:r>
        <w:rPr>
          <w:color w:val="000000"/>
        </w:rPr>
        <w:t>”</w:t>
      </w:r>
      <w:r>
        <w:rPr>
          <w:rFonts w:ascii="Times New Roman;sans-serif" w:hAnsi="Times New Roman;sans-serif"/>
          <w:b w:val="false"/>
          <w:color w:val="000000"/>
          <w:sz w:val="24"/>
        </w:rPr>
        <w:t>), or December 1, 2032, in the case of the 2033 Notes (the “</w:t>
      </w:r>
      <w:r>
        <w:rPr>
          <w:rFonts w:ascii="Times New Roman;sans-serif" w:hAnsi="Times New Roman;sans-serif"/>
          <w:b w:val="false"/>
          <w:color w:val="000000"/>
          <w:sz w:val="24"/>
          <w:u w:val="single"/>
        </w:rPr>
        <w:t>2033 Notes Par Call Date</w:t>
      </w:r>
      <w:r>
        <w:rPr>
          <w:color w:val="000000"/>
        </w:rPr>
        <w:t>”</w:t>
      </w:r>
      <w:r>
        <w:rPr>
          <w:rFonts w:ascii="Times New Roman;sans-serif" w:hAnsi="Times New Roman;sans-serif"/>
          <w:b w:val="false"/>
          <w:color w:val="000000"/>
          <w:sz w:val="24"/>
        </w:rPr>
        <w:t>; each of the 2028 Notes Par Call Date and the 2033 Notes Par Call Date, a “</w:t>
      </w:r>
      <w:r>
        <w:rPr>
          <w:rFonts w:ascii="Times New Roman;sans-serif" w:hAnsi="Times New Roman;sans-serif"/>
          <w:b w:val="false"/>
          <w:color w:val="000000"/>
          <w:sz w:val="24"/>
          <w:u w:val="single"/>
        </w:rPr>
        <w:t>Par Call Date</w:t>
      </w:r>
      <w:r>
        <w:rPr>
          <w:color w:val="000000"/>
        </w:rPr>
        <w:t>”</w:t>
      </w:r>
      <w:r>
        <w:rPr>
          <w:rFonts w:ascii="Times New Roman;sans-serif" w:hAnsi="Times New Roman;sans-serif"/>
          <w:b w:val="false"/>
          <w:color w:val="000000"/>
          <w:sz w:val="24"/>
        </w:rPr>
        <w:t xml:space="preserve">), the Company may redeem the 2028 Notes or the 2033 Notes, respectively,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on the Notes of such series to be redeemed discounted to the Redemption Date (assuming the Notes to be redeemed matured on the applicable Par Call Date) on a semi-annual basis (assuming a 360-day year consisting of twelve 30-day months) at the applicable Treasury Rate plus 20 basis points for the 2028 Notes or 25 basis points for the 2033 Notes less (b) interest accrued to the date of redemption, and (2) 100% of the principal amount of the Notes to be redeemed, plus, in each case, accrued and unpaid interest thereon, if any, to, but excluding, the Redemption Date.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On or after the 2028 Notes Par Call Date, in the case of the 2028 Notes, or the 2033 Notes Par Call Date, in the case of the 2033 Notes, the Company may redeem, at its option, the 2028 Notes or the 2033 Notes, respectively, in whole or in part, at any time or from time to time, at a redemption price equal to 100% of the principal amount of the Notes to be redeemed plus accrued and unpaid interest on the principal amount being redeemed, if any, to, but excluding, the Redemption Date. </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4"/>
        </w:rPr>
        <w:t>Section 402    </w:t>
      </w:r>
      <w:r>
        <w:rPr>
          <w:rFonts w:ascii="Times New Roman;sans-serif" w:hAnsi="Times New Roman;sans-serif"/>
          <w:b w:val="false"/>
          <w:i/>
          <w:color w:val="000000"/>
          <w:sz w:val="24"/>
        </w:rPr>
        <w:t xml:space="preserve">Calculation.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Treasury Rate</w:t>
      </w:r>
      <w:r>
        <w:rPr>
          <w:color w:val="000000"/>
        </w:rPr>
        <w:t xml:space="preserve">” </w:t>
      </w:r>
      <w:r>
        <w:rPr>
          <w:rFonts w:ascii="Times New Roman;sans-serif" w:hAnsi="Times New Roman;sans-serif"/>
          <w:b w:val="false"/>
          <w:color w:val="000000"/>
          <w:sz w:val="24"/>
        </w:rPr>
        <w:t>means, with respect to any Redemption Date, the yield determined by the Company in accordance with the following two paragraphs.</w:t>
      </w:r>
    </w:p>
    <w:p>
      <w:pPr>
        <w:pStyle w:val="TextBody"/>
        <w:spacing w:before="0" w:after="0"/>
        <w:ind w:left="0" w:right="0" w:firstLine="720"/>
        <w:jc w:val="both"/>
        <w:rPr/>
      </w:pPr>
      <w:r>
        <w:rPr/>
      </w:r>
    </w:p>
    <w:p>
      <w:pPr>
        <w:pStyle w:val="TextBody"/>
        <w:spacing w:lineRule="auto" w:line="240"/>
        <w:ind w:left="0" w:right="0" w:firstLine="720"/>
        <w:jc w:val="both"/>
        <w:rPr/>
      </w:pPr>
      <w:r>
        <w:rPr>
          <w:rFonts w:ascii="Times New Roman;sans-serif" w:hAnsi="Times New Roman;sans-serif"/>
          <w:b w:val="false"/>
          <w:color w:val="000000"/>
          <w:sz w:val="24"/>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sans-serif" w:hAnsi="Times New Roman;sans-serif"/>
          <w:b w:val="false"/>
          <w:color w:val="000000"/>
          <w:sz w:val="24"/>
          <w:u w:val="single"/>
        </w:rPr>
        <w:t>H.15</w:t>
      </w:r>
      <w:r>
        <w:rPr>
          <w:color w:val="000000"/>
        </w:rPr>
        <w:t>”</w:t>
      </w:r>
      <w:r>
        <w:rPr>
          <w:rFonts w:ascii="Times New Roman;sans-serif" w:hAnsi="Times New Roman;sans-serif"/>
          <w:b w:val="false"/>
          <w:color w:val="000000"/>
          <w:sz w:val="24"/>
        </w:rPr>
        <w:t>) under the caption “U.S. government securities–Treasury constant maturities–Nominal” (or any successor caption or heading) (“</w:t>
      </w:r>
      <w:r>
        <w:rPr>
          <w:rFonts w:ascii="Times New Roman;sans-serif" w:hAnsi="Times New Roman;sans-serif"/>
          <w:b w:val="false"/>
          <w:color w:val="000000"/>
          <w:sz w:val="24"/>
          <w:u w:val="single"/>
        </w:rPr>
        <w:t>H.15 TCM</w:t>
      </w:r>
      <w:r>
        <w:rPr>
          <w:color w:val="000000"/>
        </w:rPr>
        <w:t>”</w:t>
      </w:r>
      <w:r>
        <w:rPr>
          <w:rFonts w:ascii="Times New Roman;sans-serif" w:hAnsi="Times New Roman;sans-serif"/>
          <w:b w:val="false"/>
          <w:color w:val="000000"/>
          <w:sz w:val="24"/>
        </w:rPr>
        <w:t>). In determining the Treasury Rate, the Company shall select, as applicable: (1) the yield for the Treasury constant maturity on H.15 exactly equal to the period from the Redemption Date to the applicable Par Call Date (the “</w:t>
      </w:r>
      <w:r>
        <w:rPr>
          <w:rFonts w:ascii="Times New Roman;sans-serif" w:hAnsi="Times New Roman;sans-serif"/>
          <w:b w:val="false"/>
          <w:color w:val="000000"/>
          <w:sz w:val="24"/>
          <w:u w:val="single"/>
        </w:rPr>
        <w:t>Remaining Life</w:t>
      </w:r>
      <w:r>
        <w:rPr>
          <w:color w:val="000000"/>
        </w:rPr>
        <w:t>”</w:t>
      </w:r>
      <w:r>
        <w:rPr>
          <w:rFonts w:ascii="Times New Roman;sans-serif" w:hAnsi="Times New Roman;sans-serif"/>
          <w:b w:val="false"/>
          <w:color w:val="000000"/>
          <w:sz w:val="24"/>
        </w:rPr>
        <w:t xml:space="preserv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w:t>
      </w:r>
      <w:r>
        <w:br w:type="page"/>
      </w:r>
    </w:p>
    <w:p>
      <w:pPr>
        <w:pStyle w:val="TextBody"/>
        <w:spacing w:before="0" w:after="2"/>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0520"/>
                <wp:effectExtent l="0" t="0" r="0" b="0"/>
                <wp:wrapNone/>
                <wp:docPr id="97" name="Frame9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before="0" w:after="0"/>
                        <w:jc w:val="center"/>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applicable Redemption Date.</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Company’s actions and determinations in determining the redemption price shall be conclusive and binding for all purposes, absent manifest error. The Trustee shall have no responsibility for the calculation of such amount.</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403   </w:t>
      </w:r>
      <w:r>
        <w:rPr>
          <w:rFonts w:ascii="Times New Roman;sans-serif" w:hAnsi="Times New Roman;sans-serif"/>
          <w:b w:val="false"/>
          <w:i/>
          <w:color w:val="000000"/>
          <w:sz w:val="24"/>
        </w:rPr>
        <w:t>Partial Redemption</w:t>
      </w:r>
      <w:r>
        <w:rPr>
          <w:rFonts w:ascii="Times New Roman;sans-serif" w:hAnsi="Times New Roman;sans-serif"/>
          <w:b w:val="false"/>
          <w:color w:val="000000"/>
          <w:sz w:val="24"/>
        </w:rPr>
        <w:t>.  If fewer than all of the Notes of a series are to be redeemed by the Company pursuant to this Article Four, not more than 60 days prior to the Redemption Date, the particular Notes or portions thereof called for redemption will be selected from the outstanding Notes of such series not previously called by lot by the Trustee. The Trustee may select for redemption Notes and portions of Notes in amounts of $2,000 or whole multiples of $1,000.  A new Note in principal amount equal to the unredeemed portion of the original Note shall be issued upon the cancellation of the original Note. In the case of a partial redemption of Notes of a series registered in the name of Cede &amp; Co., the Notes to be redeemed will be determined in accordance with the procedures of The Depository Trust Company.</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404   </w:t>
      </w:r>
      <w:r>
        <w:rPr>
          <w:rFonts w:ascii="Times New Roman;sans-serif" w:hAnsi="Times New Roman;sans-serif"/>
          <w:b w:val="false"/>
          <w:i/>
          <w:color w:val="000000"/>
          <w:sz w:val="24"/>
        </w:rPr>
        <w:t>Notice of Optional Redemption</w:t>
      </w:r>
      <w:r>
        <w:rPr>
          <w:rFonts w:ascii="Times New Roman;sans-serif" w:hAnsi="Times New Roman;sans-serif"/>
          <w:b w:val="false"/>
          <w:color w:val="000000"/>
          <w:sz w:val="24"/>
        </w:rPr>
        <w:t>.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The Trustee, at the written direction of the Company, will send a notice of redemption by first-class mail (or otherwise transmitted in accordance with the procedures of The Depository Trust Company with respect to Notes registered in the name of Cede &amp; Co.) at least 10 days and not more than 60 days prior to the date fixed for redemption to each holder of Notes to be redeemed. Unless the Company defaults on payment of the redemption price, interest will cease to accrue on the Notes or portions thereof called for redemption on the Redemption Date. If any Note is to be redeemed in part only, the notice of redemption shall state the portion of the principal amount to be redeemed. </w:t>
      </w:r>
    </w:p>
    <w:p>
      <w:pPr>
        <w:pStyle w:val="TextBody"/>
        <w:ind w:left="0" w:right="0" w:firstLine="720"/>
        <w:jc w:val="both"/>
        <w:rPr/>
      </w:pPr>
      <w:r>
        <w:rPr/>
      </w:r>
      <w:r>
        <w:br w:type="page"/>
      </w:r>
    </w:p>
    <w:p>
      <w:pPr>
        <w:pStyle w:val="TextBody"/>
        <w:spacing w:before="0" w:after="2"/>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0520"/>
                <wp:effectExtent l="0" t="0" r="0" b="0"/>
                <wp:wrapNone/>
                <wp:docPr id="98" name="Frame9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before="0" w:after="0"/>
                        <w:jc w:val="center"/>
                        <w:rPr/>
                      </w:pPr>
                      <w:r>
                        <w:rPr/>
                      </w:r>
                    </w:p>
                  </w:txbxContent>
                </v:textbox>
              </v:rect>
            </w:pict>
          </mc:Fallback>
        </mc:AlternateConten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Notice of any redemption of Notes may, at the Company’s discretion, be given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the Company or another Person).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 The Company shall notify holders of Notes of any such rescission as soon as practicable after it determines that such conditions precedent will not be able to be satisfied or the Company is not able or willing to waive such conditions precedent.</w:t>
      </w:r>
    </w:p>
    <w:p>
      <w:pPr>
        <w:pStyle w:val="TextBody"/>
        <w:spacing w:lineRule="auto" w:line="240" w:before="0" w:after="0"/>
        <w:jc w:val="both"/>
        <w:rPr>
          <w:color w:val="000000"/>
        </w:rPr>
      </w:pPr>
      <w:r>
        <w:rPr>
          <w:color w:val="000000"/>
        </w:rPr>
        <w:t> </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FIVE</w: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Remedies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4"/>
        </w:rPr>
        <w:t>Section 501    </w:t>
      </w:r>
      <w:r>
        <w:rPr>
          <w:rFonts w:ascii="Times New Roman;sans-serif" w:hAnsi="Times New Roman;sans-serif"/>
          <w:b w:val="false"/>
          <w:i/>
          <w:color w:val="000000"/>
          <w:sz w:val="24"/>
        </w:rPr>
        <w:t>Additional Event of Default; Acceleration of Maturity.</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Solely with respect to the Notes of each series issued hereby, Section 501(7) of the Original Indenture is hereby deleted in its entirety, and the following is substituted in lieu thereof as an Event of Default in addition to the other events set forth in Section 501 of the Original Indenture:</w:t>
      </w:r>
    </w:p>
    <w:p>
      <w:pPr>
        <w:pStyle w:val="TextBody"/>
        <w:spacing w:before="0" w:after="0"/>
        <w:jc w:val="both"/>
        <w:rPr/>
      </w:pPr>
      <w:r>
        <w:rPr/>
      </w:r>
    </w:p>
    <w:p>
      <w:pPr>
        <w:pStyle w:val="TextBody"/>
        <w:spacing w:lineRule="auto" w:line="240" w:before="0" w:after="0"/>
        <w:ind w:left="0" w:right="0" w:firstLine="720"/>
        <w:jc w:val="both"/>
        <w:rPr>
          <w:color w:val="000000"/>
        </w:rPr>
      </w:pPr>
      <w:r>
        <w:rPr>
          <w:color w:val="000000"/>
        </w:rPr>
        <w:t>“</w:t>
      </w:r>
      <w:r>
        <w:rPr>
          <w:rFonts w:ascii="Times New Roman;sans-serif" w:hAnsi="Times New Roman;sans-serif"/>
          <w:b w:val="false"/>
          <w:color w:val="000000"/>
          <w:sz w:val="24"/>
        </w:rPr>
        <w:t xml:space="preserve">(7)    the default by the Company or any Subsidiary, other than a Project Finance Subsidiary, in the payment, when due, after the expiration of any applicable grace period, of principal of indebtedness for money borrowed, other than Non-Recourse Debt, in the aggregate principal amount then outstanding of $125 million or more, or acceleration of any indebtedness for money borrowed in such aggregate principal amount so that it becomes due and payable prior to the date on which it would otherwise have become due and payable and such acceleration is not rescinded or such default is not cured within 30 days after there has been given, by registered or certified mail, to the Company by the Trustee or to the Company and the Trustee by the holders of at least 33% in principal amount of the Notes of such series Outstanding written notice specifying such default and requiring the Company to cause such acceleration to be rescinded or such default to be cured and stating that such notice is a “Notice of Default” under the Indenture;”. </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Solely with respect to the Notes of each series issued hereby, the first paragraph of Section 502 of the Original Indenture is hereby deleted in its entirety, and the following is substituted in lieu thereof:</w:t>
      </w:r>
    </w:p>
    <w:p>
      <w:pPr>
        <w:pStyle w:val="TextBody"/>
        <w:spacing w:before="0" w:after="0"/>
        <w:jc w:val="both"/>
        <w:rPr/>
      </w:pPr>
      <w:r>
        <w:rPr/>
      </w:r>
    </w:p>
    <w:p>
      <w:pPr>
        <w:pStyle w:val="TextBody"/>
        <w:spacing w:lineRule="auto" w:line="240"/>
        <w:ind w:left="0" w:right="0" w:firstLine="720"/>
        <w:jc w:val="both"/>
        <w:rPr>
          <w:color w:val="000000"/>
        </w:rPr>
      </w:pPr>
      <w:r>
        <w:rPr>
          <w:color w:val="000000"/>
        </w:rPr>
        <w:t>“</w:t>
      </w:r>
      <w:r>
        <w:rPr>
          <w:rFonts w:ascii="Times New Roman;sans-serif" w:hAnsi="Times New Roman;sans-serif"/>
          <w:b w:val="false"/>
          <w:color w:val="000000"/>
          <w:sz w:val="24"/>
        </w:rPr>
        <w:t xml:space="preserve">If an Event of Default (other than an Event of Default specified in Section 501(5) or 501(6)) with respect to the Notes of either series at the time Outstanding occurs and is continuing, then in every such case the Trustee or the Holders of not less than 33% in principal amount of the Notes of such series Outstanding may declare the principal amount of all the Notes of such series to be due and payable immediately, by a notice in writing to the Company (and to the Trustee if given by Holders), and upon any such declaration such principal amount (or specified amount) shall </w:t>
      </w:r>
      <w:r>
        <w:br w:type="page"/>
      </w:r>
    </w:p>
    <w:p>
      <w:pPr>
        <w:pStyle w:val="TextBody"/>
        <w:spacing w:before="0" w:after="2"/>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0520"/>
                <wp:effectExtent l="0" t="0" r="0" b="0"/>
                <wp:wrapNone/>
                <wp:docPr id="99" name="Frame9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before="0" w:after="0"/>
                        <w:jc w:val="center"/>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become immediately due and payable. If an Event of Default specified in Section 501(5) or 501(6) with respect to the Notes of such series at the time Outstanding occurs and is continuing, the principal amount of all the Notes of such series shall automatically, and without any declaration or other action on the part of the Trustee or any Holder, become immediately due and payable.”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Section 502   </w:t>
      </w:r>
      <w:r>
        <w:rPr>
          <w:rFonts w:ascii="Times New Roman;sans-serif" w:hAnsi="Times New Roman;sans-serif"/>
          <w:b w:val="false"/>
          <w:i/>
          <w:color w:val="000000"/>
          <w:sz w:val="24"/>
        </w:rPr>
        <w:t>Amendment of Certain Provisions</w:t>
      </w:r>
      <w:r>
        <w:rPr>
          <w:rFonts w:ascii="Times New Roman;sans-serif" w:hAnsi="Times New Roman;sans-serif"/>
          <w:b w:val="false"/>
          <w:color w:val="000000"/>
          <w:sz w:val="24"/>
        </w:rPr>
        <w:t xml:space="preserve">.  Solely with respect to the Notes of each series issued hereby, references to “25%” in Article Five of the Indenture are hereby deleted in their entirety and “33%” is substituted in lieu thereof. </w:t>
      </w:r>
    </w:p>
    <w:p>
      <w:pPr>
        <w:pStyle w:val="TextBody"/>
        <w:spacing w:before="0" w:after="0"/>
        <w:ind w:left="0" w:right="0" w:firstLine="720"/>
        <w:jc w:val="both"/>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ARTICLE SIX</w: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Miscellaneous Provisions</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Section 601    The Indenture, as supplemented and amended by this Supplemental Indenture No. 23, is in all respects hereby adopted, ratified and confirmed.</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Section 602    This Supplemental Indenture No. 23 may be executed in any number of counterparts, each of which shall be an original, but such counterparts shall together constitute but one and the same instrument. The words “execution,” “executed,” “signed,” signature,” and words of like import in this Supplemental Indenture No. 23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Without limitation to the foregoing, and anything in this Supplemental Indenture No. 23 to the contrary notwithstanding, (a) any Officers’ Certificate, Company Order, Opinion of Counsel, Security, certificate of authentication appearing on or attached to any Security or other certificate, Opinion of Counsel, instrument, agreement or other document delivered pursuant to this Supplemental Indenture No. 23 may be executed, attested and transmitted by any of the foregoing electronic means and formats, (b) all references in Section 303 or elsewhere in the Indenture to the execution, attestation or authentication of any Security or any certificate of authentication appearing on or attached to any Security by means of a manual or facsimile signature shall be deemed to include signatures that are made or transmitted by any of the foregoing electronic means or formats, and (c) any requirement in Section 303 or elsewhere in the Indenture that any signature be made under a corporate seal (or facsimile thereof) shall not be applicable to the Securities of such series.</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Section 603    THIS SUPPLEMENTAL INDENTURE NO. 23 AND EACH NOTE SHALL BE DEEMED TO BE A CONTRACT MADE UNDER THE LAWS OF THE STATE OF NEW YORK AND SHALL BE GOVERNED BY AND CONSTRUED IN ACCORDANCE WITH THE LAWS OF THE STATE OF NEW YORK.</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Section 604    If any provision in this Supplemental Indenture No. 23 limits, qualifies or conflicts with another provision hereof which is required to be included herein by any provisions of the Trust Indenture Act, such required provision shall control.</w:t>
      </w:r>
    </w:p>
    <w:p>
      <w:pPr>
        <w:pStyle w:val="TextBody"/>
        <w:ind w:left="0" w:right="0" w:firstLine="720"/>
        <w:jc w:val="both"/>
        <w:rPr/>
      </w:pPr>
      <w:r>
        <w:rPr/>
      </w:r>
      <w:r>
        <w:br w:type="page"/>
      </w:r>
    </w:p>
    <w:p>
      <w:pPr>
        <w:pStyle w:val="TextBody"/>
        <w:spacing w:before="0" w:after="2"/>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0520"/>
                <wp:effectExtent l="0" t="0" r="0" b="0"/>
                <wp:wrapNone/>
                <wp:docPr id="100" name="Frame10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spacing w:before="0" w:after="0"/>
                        <w:jc w:val="center"/>
                        <w:rPr/>
                      </w:pPr>
                      <w:r>
                        <w:rPr/>
                      </w:r>
                    </w:p>
                  </w:txbxContent>
                </v:textbox>
              </v:rect>
            </w:pict>
          </mc:Fallback>
        </mc:AlternateConten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Section 605    In case any provision in this Supplemental Indenture No. 23 or the Notes shall be invalid, illegal or unenforceable, the validity, legality and enforceability of the remaining provisions shall not in any way be affected or impaired thereby.</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Section 606    The Trustee shall have the right to accept and act upon instructions, including funds transfer instructions (“</w:t>
      </w:r>
      <w:r>
        <w:rPr>
          <w:rFonts w:ascii="Times New Roman;sans-serif" w:hAnsi="Times New Roman;sans-serif"/>
          <w:b w:val="false"/>
          <w:color w:val="000000"/>
          <w:sz w:val="24"/>
          <w:u w:val="single"/>
        </w:rPr>
        <w:t>Instructions</w:t>
      </w:r>
      <w:r>
        <w:rPr>
          <w:color w:val="000000"/>
        </w:rPr>
        <w:t>”</w:t>
      </w:r>
      <w:r>
        <w:rPr>
          <w:rFonts w:ascii="Times New Roman;sans-serif" w:hAnsi="Times New Roman;sans-serif"/>
          <w:b w:val="false"/>
          <w:color w:val="000000"/>
          <w:sz w:val="24"/>
        </w:rPr>
        <w:t>) given pursuant to this Indenture and delivered using Electronic Means; provided, however, that the Company shall provide to the Trustee an incumbency certificate listing officers with the authority to provide such Instructions (“</w:t>
      </w:r>
      <w:r>
        <w:rPr>
          <w:rFonts w:ascii="Times New Roman;sans-serif" w:hAnsi="Times New Roman;sans-serif"/>
          <w:b w:val="false"/>
          <w:color w:val="000000"/>
          <w:sz w:val="24"/>
          <w:u w:val="single"/>
        </w:rPr>
        <w:t>Authorized Officers</w:t>
      </w:r>
      <w:r>
        <w:rPr>
          <w:color w:val="000000"/>
        </w:rPr>
        <w:t>”</w:t>
      </w:r>
      <w:r>
        <w:rPr>
          <w:rFonts w:ascii="Times New Roman;sans-serif" w:hAnsi="Times New Roman;sans-serif"/>
          <w:b w:val="false"/>
          <w:color w:val="000000"/>
          <w:sz w:val="24"/>
        </w:rPr>
        <w:t xml:space="preserve">)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unless the Trustee has knowledge to the contrary or the Trustee is acting in bad faith.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Absent gross negligence, willful misconduct or bad faith by the Trustee,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absent gross negligence, willful misconduct or bad faith by the Trustee: (i) to assume all risks arising out of the use of Electronic Means to submit Instructions to the Trustee, including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as soon as practicable upon learning of any compromise or unauthorized use of the security procedures. </w:t>
      </w:r>
    </w:p>
    <w:p>
      <w:pPr>
        <w:pStyle w:val="TextBody"/>
        <w:spacing w:before="0" w:after="200"/>
        <w:rPr/>
      </w:pPr>
      <w:r>
        <w:rPr/>
      </w:r>
      <w:r>
        <w:br w:type="page"/>
      </w:r>
    </w:p>
    <w:p>
      <w:pPr>
        <w:pStyle w:val="TextBody"/>
        <w:spacing w:before="0" w:after="2"/>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0520"/>
                <wp:effectExtent l="0" t="0" r="0" b="0"/>
                <wp:wrapNone/>
                <wp:docPr id="101" name="Frame10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spacing w:before="0" w:after="0"/>
                        <w:jc w:val="center"/>
                        <w:rPr/>
                      </w:pPr>
                      <w:r>
                        <w:rPr/>
                      </w:r>
                    </w:p>
                  </w:txbxContent>
                </v:textbox>
              </v:rect>
            </w:pict>
          </mc:Fallback>
        </mc:AlternateConten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Supplemental Indenture No. 23 to be duly executed, as of the day and year first written above.</w:t>
      </w:r>
    </w:p>
    <w:p>
      <w:pPr>
        <w:pStyle w:val="TextBody"/>
        <w:spacing w:before="0" w:after="0"/>
        <w:rPr/>
      </w:pPr>
      <w:r>
        <w:rPr/>
      </w:r>
    </w:p>
    <w:p>
      <w:pPr>
        <w:pStyle w:val="TextBody"/>
        <w:spacing w:before="0" w:after="0"/>
        <w:ind w:left="0" w:right="0" w:firstLine="4320"/>
        <w:jc w:val="both"/>
        <w:rPr/>
      </w:pPr>
      <w:r>
        <w:rPr/>
      </w:r>
    </w:p>
    <w:p>
      <w:pPr>
        <w:pStyle w:val="TextBody"/>
        <w:spacing w:lineRule="auto" w:line="240" w:before="0" w:after="0"/>
        <w:ind w:left="0" w:right="0" w:firstLine="4320"/>
        <w:jc w:val="both"/>
        <w:rPr>
          <w:rFonts w:ascii="Times New Roman;sans-serif" w:hAnsi="Times New Roman;sans-serif"/>
          <w:b w:val="false"/>
          <w:color w:val="000000"/>
          <w:sz w:val="24"/>
        </w:rPr>
      </w:pPr>
      <w:r>
        <w:rPr>
          <w:rFonts w:ascii="Times New Roman;sans-serif" w:hAnsi="Times New Roman;sans-serif"/>
          <w:b w:val="false"/>
          <w:color w:val="000000"/>
          <w:sz w:val="24"/>
        </w:rPr>
        <w:t>CENTERPOINT ENERGY RESOURCES CORP.</w:t>
      </w:r>
    </w:p>
    <w:p>
      <w:pPr>
        <w:pStyle w:val="TextBody"/>
        <w:spacing w:before="0" w:after="0"/>
        <w:rPr/>
      </w:pPr>
      <w:r>
        <w:rPr/>
      </w:r>
    </w:p>
    <w:p>
      <w:pPr>
        <w:pStyle w:val="TextBody"/>
        <w:spacing w:before="0" w:after="0"/>
        <w:rPr/>
      </w:pPr>
      <w:r>
        <w:rPr/>
      </w:r>
    </w:p>
    <w:p>
      <w:pPr>
        <w:pStyle w:val="TextBody"/>
        <w:spacing w:lineRule="auto" w:line="240" w:before="0" w:after="0"/>
        <w:ind w:left="0" w:right="0" w:firstLine="432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Jason P. Wells                    </w:t>
      </w:r>
    </w:p>
    <w:p>
      <w:pPr>
        <w:pStyle w:val="TextBody"/>
        <w:spacing w:lineRule="auto" w:line="240" w:before="0" w:after="0"/>
        <w:ind w:left="0" w:right="0" w:firstLine="450"/>
        <w:jc w:val="both"/>
        <w:rPr>
          <w:rFonts w:ascii="Times New Roman;sans-serif" w:hAnsi="Times New Roman;sans-serif"/>
          <w:b w:val="false"/>
          <w:color w:val="000000"/>
          <w:sz w:val="24"/>
        </w:rPr>
      </w:pPr>
      <w:r>
        <w:rPr>
          <w:rFonts w:ascii="Times New Roman;sans-serif" w:hAnsi="Times New Roman;sans-serif"/>
          <w:b w:val="false"/>
          <w:color w:val="000000"/>
          <w:sz w:val="24"/>
        </w:rPr>
        <w:t>Jason P. Wells</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President, Chief Executive Officer and Chief Financial Officer</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Attest:</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Vincent A. Mercaldi            </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Vincent A. Mercaldi</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Secretary</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 TRUST COMPANY, N.A.,</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 Trustee</w:t>
      </w:r>
    </w:p>
    <w:p>
      <w:pPr>
        <w:pStyle w:val="TextBody"/>
        <w:spacing w:before="0" w:after="0"/>
        <w:rPr/>
      </w:pPr>
      <w:r>
        <w:rPr/>
      </w:r>
    </w:p>
    <w:p>
      <w:pPr>
        <w:pStyle w:val="TextBody"/>
        <w:spacing w:before="0" w:after="0"/>
        <w:rPr/>
      </w:pPr>
      <w:r>
        <w:rPr/>
      </w:r>
    </w:p>
    <w:p>
      <w:pPr>
        <w:pStyle w:val="TextBody"/>
        <w:spacing w:lineRule="auto" w:line="240" w:before="0" w:after="0"/>
        <w:ind w:left="0" w:right="0" w:firstLine="432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April Bradley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Authorized Signatory</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0520"/>
                <wp:effectExtent l="0" t="0" r="0" b="0"/>
                <wp:wrapNone/>
                <wp:docPr id="102" name="Frame10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spacing w:before="0" w:after="0"/>
                        <w:jc w:val="center"/>
                        <w:rPr/>
                      </w:pPr>
                      <w:r>
                        <w:rPr/>
                      </w:r>
                    </w:p>
                  </w:txbxContent>
                </v:textbox>
              </v:rect>
            </w:pict>
          </mc:Fallback>
        </mc:AlternateContent>
      </w:r>
    </w:p>
    <w:p>
      <w:pPr>
        <w:pStyle w:val="TextBody"/>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A</w: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[FORM OF FACE OF SECURITY]</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THIS SECURITY IS TO BE A GLOBAL SECURITY -] THIS SECURITY IS A GLOBAL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pStyle w:val="TextBody"/>
        <w:spacing w:lineRule="auto" w:line="240" w:before="0" w:after="0"/>
        <w:jc w:val="both"/>
        <w:rPr>
          <w:color w:val="000000"/>
        </w:rPr>
      </w:pPr>
      <w:r>
        <w:rPr>
          <w:color w:val="000000"/>
        </w:rPr>
        <w:t> </w:t>
      </w:r>
    </w:p>
    <w:p>
      <w:pPr>
        <w:pStyle w:val="TextBody"/>
        <w:spacing w:lineRule="auto" w:line="240" w:before="0" w:after="0"/>
        <w:jc w:val="both"/>
        <w:rPr/>
      </w:pPr>
      <w:r>
        <w:rPr>
          <w:rFonts w:ascii="Times New Roman;sans-serif" w:hAnsi="Times New Roman;sans-serif"/>
          <w:b w:val="false"/>
          <w:color w:val="000000"/>
          <w:sz w:val="24"/>
        </w:rPr>
        <w:t>[FOR AS LONG AS THIS GLOBAL SECURITY IS DEPOSITED WITH OR ON BEHALF OF THE DEPOSITORY TRUST COMPANY IT SHALL BEAR THE FOLLOWING LEGEND.]  UNLESS THIS CERTIFICATE IS PRESENTED BY AN AUTHORIZED REPRESENTATIVE OF THE DEPOSITORY TRUST COMPANY, A NEW YORK CORPORATION (“</w:t>
      </w:r>
      <w:r>
        <w:rPr>
          <w:rFonts w:ascii="Times New Roman;sans-serif" w:hAnsi="Times New Roman;sans-serif"/>
          <w:b w:val="false"/>
          <w:color w:val="000000"/>
          <w:sz w:val="24"/>
          <w:u w:val="single"/>
        </w:rPr>
        <w:t>DTC</w:t>
      </w:r>
      <w:r>
        <w:rPr>
          <w:color w:val="000000"/>
        </w:rPr>
        <w:t>”</w:t>
      </w:r>
      <w:r>
        <w:rPr>
          <w:rFonts w:ascii="Times New Roman;sans-serif" w:hAnsi="Times New Roman;sans-serif"/>
          <w:b w:val="false"/>
          <w:color w:val="000000"/>
          <w:sz w:val="24"/>
        </w:rPr>
        <w:t>), TO CENTERPOINT ENERGY RESOURCES CORP.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CENTERPOINT ENERGY RESOURCES CORP.</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5.25% Senior Notes due 2028</w:t>
      </w:r>
    </w:p>
    <w:p>
      <w:pPr>
        <w:pStyle w:val="TextBody"/>
        <w:rPr/>
      </w:pPr>
      <w:r>
        <w:rPr/>
      </w:r>
      <w:r>
        <w:br w:type="page"/>
      </w:r>
    </w:p>
    <w:p>
      <w:pPr>
        <w:pStyle w:val="TextBody"/>
        <w:spacing w:before="0" w:after="2"/>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50520"/>
                <wp:effectExtent l="0" t="0" r="0" b="0"/>
                <wp:wrapNone/>
                <wp:docPr id="103" name="Frame10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690"/>
        <w:gridCol w:w="606"/>
        <w:gridCol w:w="609"/>
        <w:gridCol w:w="2427"/>
        <w:gridCol w:w="2427"/>
        <w:gridCol w:w="3446"/>
      </w:tblGrid>
      <w:tr>
        <w:trPr/>
        <w:tc>
          <w:tcPr>
            <w:tcW w:w="690"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2427" w:type="dxa"/>
            <w:tcBorders/>
            <w:shd w:fill="auto" w:val="clear"/>
            <w:vAlign w:val="center"/>
          </w:tcPr>
          <w:p>
            <w:pPr>
              <w:pStyle w:val="TableContents"/>
              <w:spacing w:before="0" w:after="283"/>
              <w:rPr>
                <w:sz w:val="4"/>
                <w:szCs w:val="4"/>
              </w:rPr>
            </w:pPr>
            <w:r>
              <w:rPr>
                <w:sz w:val="4"/>
                <w:szCs w:val="4"/>
              </w:rPr>
            </w:r>
          </w:p>
        </w:tc>
        <w:tc>
          <w:tcPr>
            <w:tcW w:w="2427" w:type="dxa"/>
            <w:tcBorders/>
            <w:shd w:fill="auto" w:val="clear"/>
            <w:vAlign w:val="center"/>
          </w:tcPr>
          <w:p>
            <w:pPr>
              <w:pStyle w:val="TableContents"/>
              <w:spacing w:before="0" w:after="283"/>
              <w:rPr>
                <w:sz w:val="4"/>
                <w:szCs w:val="4"/>
              </w:rPr>
            </w:pPr>
            <w:r>
              <w:rPr>
                <w:sz w:val="4"/>
                <w:szCs w:val="4"/>
              </w:rPr>
            </w:r>
          </w:p>
        </w:tc>
        <w:tc>
          <w:tcPr>
            <w:tcW w:w="3446"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Original Interest Accrual Date: February 23, 2023</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Stated Maturity: March 1, 2028</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Interest Rate: 5.25%</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Interest Payment Dates: March 1 and September 1</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Initial Interest Payment Date: September 1, 2023</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Regular Record Dates: February 15 and August 15 immediately preceding the applicable Interest Payment Date</w:t>
            </w:r>
          </w:p>
        </w:tc>
        <w:tc>
          <w:tcPr>
            <w:tcW w:w="83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Redeemable: Yes [X] No [ ]</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Redemption Date: At any time.</w:t>
            </w:r>
          </w:p>
          <w:p>
            <w:pPr>
              <w:pStyle w:val="TableContents"/>
              <w:spacing w:lineRule="auto" w:line="240" w:before="0" w:after="0"/>
              <w:jc w:val="both"/>
              <w:rPr/>
            </w:pPr>
            <w:r>
              <w:rPr>
                <w:rFonts w:ascii="Times New Roman;sans-serif" w:hAnsi="Times New Roman;sans-serif"/>
                <w:b w:val="false"/>
                <w:color w:val="000000"/>
                <w:sz w:val="24"/>
              </w:rPr>
              <w:t>Redemption Price: (1) Prior to February 1, 2028 (the “</w:t>
            </w:r>
            <w:r>
              <w:rPr>
                <w:rFonts w:ascii="Times New Roman;sans-serif" w:hAnsi="Times New Roman;sans-serif"/>
                <w:b w:val="false"/>
                <w:color w:val="000000"/>
                <w:sz w:val="24"/>
                <w:u w:val="single"/>
              </w:rPr>
              <w:t>Par Call Date</w:t>
            </w:r>
            <w:r>
              <w:rPr>
                <w:color w:val="000000"/>
              </w:rPr>
              <w:t>”</w:t>
            </w:r>
            <w:r>
              <w:rPr>
                <w:rFonts w:ascii="Times New Roman;sans-serif" w:hAnsi="Times New Roman;sans-serif"/>
                <w:b w:val="false"/>
                <w:color w:val="000000"/>
                <w:sz w:val="24"/>
              </w:rPr>
              <w:t>), at a redemption price equal to the greater of: (i)(a) the sum of the present values of the remaining scheduled payments of principal and interest on this Security, or the portion thereof to be redeemed, that would be due if this Security matured on the Par Call Date but for the redemption (not including any portion of such payments of interest accrued to the Redemption Date) discounted to the Redemption Date on a semiannual basis at the applicable Treasury Rate plus 20 basis points less (b) interest accrued to the date of redemption; and (ii) 100% of the principal amount of this Security or the portion thereof to be redeemed; plus, in each case, accrued and unpaid interest on the principal amount being redeemed, if any, to, but excluding, the Redemption Date; or (2) on or after the Par Call Date, at a redemption price equal to 100% of the principal amount of this Security or the portion thereof to be redeemed plus accrued and unpaid interest on the principal amount being redeemed, if any, to, but excluding, the Redemption Date.</w:t>
            </w:r>
          </w:p>
        </w:tc>
      </w:tr>
    </w:tbl>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This Security is not an Original Issue Discount Security</w:t>
        <w:br/>
        <w:t>within the meaning of the within-mentioned Indenture.</w:t>
        <w:br/>
        <w:t>_____________________________</w:t>
      </w:r>
    </w:p>
    <w:p>
      <w:pPr>
        <w:pStyle w:val="TextBody"/>
        <w:spacing w:before="0" w:after="0"/>
        <w:rPr/>
      </w:pPr>
      <w:r>
        <w:rPr/>
      </w:r>
    </w:p>
    <w:p>
      <w:pPr>
        <w:pStyle w:val="TextBody"/>
        <w:spacing w:before="0" w:after="0"/>
        <w:rPr/>
      </w:pPr>
      <w:r>
        <w:rPr/>
      </w:r>
    </w:p>
    <w:tbl>
      <w:tblPr>
        <w:tblW w:w="4225" w:type="dxa"/>
        <w:jc w:val="left"/>
        <w:tblInd w:w="0" w:type="dxa"/>
        <w:tblCellMar>
          <w:top w:w="28" w:type="dxa"/>
          <w:left w:w="28" w:type="dxa"/>
          <w:bottom w:w="28" w:type="dxa"/>
          <w:right w:w="28" w:type="dxa"/>
        </w:tblCellMar>
      </w:tblPr>
      <w:tblGrid>
        <w:gridCol w:w="673"/>
        <w:gridCol w:w="592"/>
        <w:gridCol w:w="594"/>
        <w:gridCol w:w="109"/>
        <w:gridCol w:w="109"/>
        <w:gridCol w:w="109"/>
        <w:gridCol w:w="596"/>
        <w:gridCol w:w="596"/>
        <w:gridCol w:w="847"/>
      </w:tblGrid>
      <w:tr>
        <w:trPr/>
        <w:tc>
          <w:tcPr>
            <w:tcW w:w="673"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r>
      <w:tr>
        <w:trPr/>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Principal Amount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96"/>
              <w:jc w:val="right"/>
              <w:rPr>
                <w:rFonts w:ascii="Times New Roman;sans-serif" w:hAnsi="Times New Roman;sans-serif"/>
                <w:b w:val="false"/>
                <w:color w:val="000000"/>
                <w:sz w:val="24"/>
              </w:rPr>
            </w:pPr>
            <w:r>
              <w:rPr>
                <w:rFonts w:ascii="Times New Roman;sans-serif" w:hAnsi="Times New Roman;sans-serif"/>
                <w:b w:val="false"/>
                <w:color w:val="000000"/>
                <w:sz w:val="24"/>
              </w:rPr>
              <w:t xml:space="preserve">Registered No. T-1 </w:t>
            </w:r>
          </w:p>
        </w:tc>
      </w:tr>
    </w:tbl>
    <w:tbl>
      <w:tblPr>
        <w:tblW w:w="4721" w:type="dxa"/>
        <w:jc w:val="left"/>
        <w:tblInd w:w="0" w:type="dxa"/>
        <w:tblCellMar>
          <w:top w:w="28" w:type="dxa"/>
          <w:left w:w="28" w:type="dxa"/>
          <w:bottom w:w="28" w:type="dxa"/>
          <w:right w:w="28" w:type="dxa"/>
        </w:tblCellMar>
      </w:tblPr>
      <w:tblGrid>
        <w:gridCol w:w="767"/>
        <w:gridCol w:w="673"/>
        <w:gridCol w:w="674"/>
        <w:gridCol w:w="109"/>
        <w:gridCol w:w="109"/>
        <w:gridCol w:w="109"/>
        <w:gridCol w:w="666"/>
        <w:gridCol w:w="666"/>
        <w:gridCol w:w="948"/>
      </w:tblGrid>
      <w:tr>
        <w:trPr/>
        <w:tc>
          <w:tcPr>
            <w:tcW w:w="767"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4"/>
              </w:rPr>
              <w:t>$_______________</w:t>
            </w:r>
            <w:r>
              <w:rPr>
                <w:rFonts w:ascii="Times New Roman;sans-serif" w:hAnsi="Times New Roman;sans-serif"/>
                <w:b w:val="false"/>
                <w:color w:val="000000"/>
                <w:sz w:val="16"/>
              </w:rPr>
              <w:t>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xml:space="preserve">CUSIP 15189Y AG1 </w:t>
            </w:r>
          </w:p>
        </w:tc>
      </w:tr>
    </w:tbl>
    <w:p>
      <w:pPr>
        <w:pStyle w:val="TextBody"/>
        <w:spacing w:before="0" w:after="0"/>
        <w:rPr/>
      </w:pPr>
      <w:r>
        <w:rPr/>
      </w:r>
    </w:p>
    <w:p>
      <w:pPr>
        <w:pStyle w:val="TextBody"/>
        <w:spacing w:lineRule="auto" w:line="240" w:before="0" w:after="0"/>
        <w:jc w:val="both"/>
        <w:rPr/>
      </w:pPr>
      <w:r>
        <w:rPr>
          <w:rFonts w:ascii="Times New Roman;sans-serif" w:hAnsi="Times New Roman;sans-serif"/>
          <w:b w:val="false"/>
          <w:color w:val="000000"/>
          <w:sz w:val="24"/>
        </w:rPr>
        <w:t>CENTERPOINT ENERGY RESOURCES CORP., a corporation duly organized and existing under the laws of the State of Delaware, formerly known as NorAm Energy Corp. (herein called the “</w:t>
      </w:r>
      <w:r>
        <w:rPr>
          <w:rFonts w:ascii="Times New Roman;sans-serif" w:hAnsi="Times New Roman;sans-serif"/>
          <w:b w:val="false"/>
          <w:color w:val="000000"/>
          <w:sz w:val="24"/>
          <w:u w:val="single"/>
        </w:rPr>
        <w:t>Company</w:t>
      </w:r>
      <w:r>
        <w:rPr>
          <w:rFonts w:ascii="Times New Roman;sans-serif" w:hAnsi="Times New Roman;sans-serif"/>
          <w:b w:val="false"/>
          <w:color w:val="000000"/>
          <w:sz w:val="24"/>
        </w:rPr>
        <w:t>,” which term includes any successor Person under the Indenture referred to below), for value received, hereby promises to pay to</w:t>
      </w:r>
    </w:p>
    <w:p>
      <w:pPr>
        <w:pStyle w:val="TextBody"/>
        <w:spacing w:before="0" w:after="0"/>
        <w:jc w:val="both"/>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***CEDE &amp; Co.***</w:t>
      </w:r>
    </w:p>
    <w:p>
      <w:pPr>
        <w:pStyle w:val="TextBody"/>
        <w:spacing w:before="0" w:after="0"/>
        <w:jc w:val="center"/>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or its registered assigns, the principal sum of DOLLARS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September 1, 2023, and at Stated Maturity, at the Interest Rate per annum </w:t>
      </w:r>
    </w:p>
    <w:p>
      <w:pPr>
        <w:pStyle w:val="TextBody"/>
        <w:spacing w:lineRule="auto" w:line="240" w:before="0" w:after="0"/>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0"/>
        </w:rPr>
        <w:t>Reference is made to Schedule A attached hereto with respect to decreases and increases in the aggregate principal amount of Securities evidenced hereby.</w:t>
      </w:r>
    </w:p>
    <w:p>
      <w:pPr>
        <w:pStyle w:val="TextBody"/>
        <w:rPr/>
      </w:pPr>
      <w:r>
        <w:rPr/>
      </w:r>
      <w:r>
        <w:br w:type="page"/>
      </w:r>
    </w:p>
    <w:p>
      <w:pPr>
        <w:pStyle w:val="TextBody"/>
        <w:spacing w:before="0" w:after="2"/>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0520"/>
                <wp:effectExtent l="0" t="0" r="0" b="0"/>
                <wp:wrapNone/>
                <wp:docPr id="104" name="Frame10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00"/>
          <w:sz w:val="24"/>
        </w:rPr>
        <w:t xml:space="preserve">specified above, until the principal hereof is paid or made available for payment,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any principal and premium, and any such installment of interest, which is overdue shall bear interest at the rate of 5.25% per annum (to the extent permitted by applicable law), from the dates such amounts are due until they are paid or made available for payment, and such interest shall be payable on demand.  The amount of interest payable for any period shall be computed on the basis of twelve 30-day months and a 360-day year. The amount of interest payable for any partial period shall be computed on the basis of a 360-day year of twelve 30-day months and the days elapsed in any partial month. In the event that any date on which interest is payable on this Security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payable. A “</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shall mean any day other than a Saturday, a Sunday or a day on which banking institutions in The City of New York are authorized or required by law, regulation or executive order to close.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March 1 or September 1 (whether or not a Business Day), as the case may be, next preceding such Interest Payment Date.  Any such interest not so punctually paid or duly provided for shall forthwith cease to be payable to the Holder on such Regular Record Date and shall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or automated quotation system on which the Securities of this series may be listed or traded, and upon such notice as may be required by such exchange or automated quotation system, all as more fully provided in said Indenture.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Payment of the principal of (and premium, if any) and any such interest on this Security will be made at the Corporate Trust Office of the Trustee, in such coin or currency of the United States of America as at the time of payment is legal tender for payment of public and private debts;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at the option of the Company payment of interest may be made (i) 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Reference is hereby made to the further provisions of this Security set forth on the reverse hereof, which further provisions shall for all purposes have the same effect as if set forth at this place.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Unless the certificate of authentication hereon has been executed by the Trustee referred to on the reverse hereof by manual signature, this Security shall not be entitled to any benefit under the Indenture or be valid or obligatory for any purpose.</w:t>
      </w:r>
    </w:p>
    <w:p>
      <w:pPr>
        <w:pStyle w:val="TextBody"/>
        <w:spacing w:before="0" w:after="0"/>
        <w:rPr/>
      </w:pPr>
      <w:r>
        <w:rPr/>
      </w:r>
    </w:p>
    <w:p>
      <w:pPr>
        <w:pStyle w:val="TextBody"/>
        <w:spacing w:before="0" w:after="200"/>
        <w:rPr/>
      </w:pPr>
      <w:r>
        <w:rPr/>
      </w:r>
      <w:r>
        <w:br w:type="page"/>
      </w:r>
    </w:p>
    <w:p>
      <w:pPr>
        <w:pStyle w:val="TextBody"/>
        <w:spacing w:before="0" w:after="2"/>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50520"/>
                <wp:effectExtent l="0" t="0" r="0" b="0"/>
                <wp:wrapNone/>
                <wp:docPr id="105" name="Frame10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txbxContent>
                </v:textbox>
              </v:rect>
            </w:pict>
          </mc:Fallback>
        </mc:AlternateContent>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Company has caused this instrument to be duly executed.</w:t>
      </w:r>
    </w:p>
    <w:p>
      <w:pPr>
        <w:pStyle w:val="TextBody"/>
        <w:spacing w:before="0" w:after="0"/>
        <w:rPr/>
      </w:pPr>
      <w:r>
        <w:rPr/>
      </w:r>
    </w:p>
    <w:p>
      <w:pPr>
        <w:pStyle w:val="TextBody"/>
        <w:spacing w:before="0" w:after="0"/>
        <w:jc w:val="both"/>
        <w:rPr/>
      </w:pPr>
      <w:r>
        <w:rPr/>
      </w:r>
    </w:p>
    <w:p>
      <w:pPr>
        <w:pStyle w:val="TextBody"/>
        <w:spacing w:lineRule="auto" w:line="240" w:before="0" w:after="0"/>
        <w:ind w:left="0" w:right="0" w:hanging="5040"/>
        <w:rPr>
          <w:rFonts w:ascii="Times New Roman;sans-serif" w:hAnsi="Times New Roman;sans-serif"/>
          <w:b w:val="false"/>
          <w:color w:val="000000"/>
          <w:sz w:val="24"/>
        </w:rPr>
      </w:pPr>
      <w:r>
        <w:rPr>
          <w:rFonts w:ascii="Times New Roman;sans-serif" w:hAnsi="Times New Roman;sans-serif"/>
          <w:b w:val="false"/>
          <w:color w:val="000000"/>
          <w:sz w:val="24"/>
        </w:rPr>
        <w:t>Dated: February 23, 2023    CENTERPOINT ENERGY RESOURCES CORP.</w:t>
      </w:r>
    </w:p>
    <w:p>
      <w:pPr>
        <w:pStyle w:val="TextBody"/>
        <w:spacing w:before="0" w:after="0"/>
        <w:rPr/>
      </w:pPr>
      <w:r>
        <w:rPr/>
      </w:r>
    </w:p>
    <w:p>
      <w:pPr>
        <w:pStyle w:val="TextBody"/>
        <w:spacing w:before="0" w:after="0"/>
        <w:rPr/>
      </w:pPr>
      <w:r>
        <w:rPr/>
      </w:r>
    </w:p>
    <w:p>
      <w:pPr>
        <w:pStyle w:val="TextBody"/>
        <w:spacing w:lineRule="auto" w:line="240" w:before="0" w:after="0"/>
        <w:ind w:left="0" w:right="0" w:firstLine="5040"/>
        <w:jc w:val="both"/>
        <w:rPr/>
      </w:pPr>
      <w:r>
        <w:rPr>
          <w:rFonts w:ascii="Times New Roman;sans-serif" w:hAnsi="Times New Roman;sans-serif"/>
          <w:b w:val="false"/>
          <w:color w:val="000000"/>
          <w:sz w:val="24"/>
        </w:rPr>
        <w:t>By:</w:t>
      </w:r>
      <w:r>
        <w:rPr>
          <w:color w:val="000000"/>
          <w:u w:val="single"/>
        </w:rPr>
        <w:t>                    </w:t>
      </w:r>
    </w:p>
    <w:p>
      <w:pPr>
        <w:pStyle w:val="TextBody"/>
        <w:spacing w:lineRule="auto" w:line="240" w:before="0" w:after="0"/>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Name: Jason P. Wells </w:t>
      </w:r>
    </w:p>
    <w:p>
      <w:pPr>
        <w:pStyle w:val="TextBody"/>
        <w:spacing w:lineRule="auto" w:line="240" w:before="0" w:after="0"/>
        <w:ind w:left="0" w:right="0" w:hanging="630"/>
        <w:jc w:val="both"/>
        <w:rPr>
          <w:rFonts w:ascii="Times New Roman;sans-serif" w:hAnsi="Times New Roman;sans-serif"/>
          <w:b w:val="false"/>
          <w:color w:val="000000"/>
          <w:sz w:val="24"/>
        </w:rPr>
      </w:pPr>
      <w:r>
        <w:rPr>
          <w:rFonts w:ascii="Times New Roman;sans-serif" w:hAnsi="Times New Roman;sans-serif"/>
          <w:b w:val="false"/>
          <w:color w:val="000000"/>
          <w:sz w:val="24"/>
        </w:rPr>
        <w:t>Title: President, Chief Executive Officer and Chief Financial Officer</w:t>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Attest:</w:t>
      </w:r>
    </w:p>
    <w:p>
      <w:pPr>
        <w:pStyle w:val="TextBody"/>
        <w:spacing w:before="0" w:after="0"/>
        <w:rPr/>
      </w:pPr>
      <w:r>
        <w:rPr/>
      </w:r>
    </w:p>
    <w:p>
      <w:pPr>
        <w:pStyle w:val="TextBody"/>
        <w:spacing w:lineRule="auto" w:line="240" w:before="0" w:after="0"/>
        <w:jc w:val="both"/>
        <w:rPr>
          <w:color w:val="000000"/>
          <w:u w:val="single"/>
        </w:rPr>
      </w:pPr>
      <w:r>
        <w:rPr>
          <w:color w:val="000000"/>
          <w:u w:val="single"/>
        </w:rPr>
        <w:t>                 </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Vincent A. Mercaldi</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Title: Secretary </w:t>
      </w:r>
    </w:p>
    <w:p>
      <w:pPr>
        <w:pStyle w:val="TextBody"/>
        <w:spacing w:before="0" w:after="0"/>
        <w:rPr/>
      </w:pPr>
      <w:r>
        <w:rPr/>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CERTIFICATE OF AUTHENTICATION</w:t>
      </w:r>
    </w:p>
    <w:p>
      <w:pPr>
        <w:pStyle w:val="TextBody"/>
        <w:spacing w:before="0" w:after="0"/>
        <w:ind w:left="0" w:right="0" w:firstLine="1440"/>
        <w:jc w:val="both"/>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is one of the Securities of the series designated therein referred to in the within-mentioned Indenture.</w:t>
      </w:r>
    </w:p>
    <w:p>
      <w:pPr>
        <w:pStyle w:val="TextBody"/>
        <w:spacing w:before="0" w:after="0"/>
        <w:ind w:left="0" w:right="0" w:firstLine="1440"/>
        <w:jc w:val="both"/>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 TRUST COMPANY, N.A.,</w:t>
      </w:r>
    </w:p>
    <w:p>
      <w:pPr>
        <w:pStyle w:val="TextBody"/>
        <w:spacing w:lineRule="auto" w:line="240" w:before="0" w:after="0"/>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As Trustee</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Dated: February 23, 2023</w:t>
      </w:r>
    </w:p>
    <w:p>
      <w:pPr>
        <w:pStyle w:val="TextBody"/>
        <w:spacing w:lineRule="auto" w:line="240" w:before="0" w:after="0"/>
        <w:ind w:left="0" w:right="0" w:firstLine="5040"/>
        <w:jc w:val="both"/>
        <w:rPr/>
      </w:pPr>
      <w:r>
        <w:rPr>
          <w:rFonts w:ascii="Times New Roman;sans-serif" w:hAnsi="Times New Roman;sans-serif"/>
          <w:b w:val="false"/>
          <w:color w:val="000000"/>
          <w:sz w:val="24"/>
        </w:rPr>
        <w:t>By:</w:t>
      </w:r>
      <w:r>
        <w:rPr>
          <w:color w:val="000000"/>
          <w:u w:val="single"/>
        </w:rPr>
        <w:t>                    </w:t>
      </w:r>
    </w:p>
    <w:p>
      <w:pPr>
        <w:pStyle w:val="TextBody"/>
        <w:spacing w:lineRule="auto" w:line="240" w:before="0" w:after="0"/>
        <w:ind w:left="0" w:right="0" w:firstLine="5760"/>
        <w:jc w:val="both"/>
        <w:rPr>
          <w:rFonts w:ascii="Times New Roman;sans-serif" w:hAnsi="Times New Roman;sans-serif"/>
          <w:b w:val="false"/>
          <w:color w:val="000000"/>
          <w:sz w:val="24"/>
        </w:rPr>
      </w:pPr>
      <w:r>
        <w:rPr>
          <w:rFonts w:ascii="Times New Roman;sans-serif" w:hAnsi="Times New Roman;sans-serif"/>
          <w:b w:val="false"/>
          <w:color w:val="000000"/>
          <w:sz w:val="24"/>
        </w:rPr>
        <w:t>Authorized Signatory</w:t>
      </w:r>
    </w:p>
    <w:p>
      <w:pPr>
        <w:pStyle w:val="TextBody"/>
        <w:spacing w:before="0" w:after="0"/>
        <w:rPr/>
      </w:pPr>
      <w:r>
        <w:rPr/>
      </w:r>
    </w:p>
    <w:p>
      <w:pPr>
        <w:pStyle w:val="TextBody"/>
        <w:spacing w:before="0" w:after="200"/>
        <w:rPr/>
      </w:pPr>
      <w:r>
        <w:rPr/>
      </w:r>
      <w:r>
        <w:br w:type="page"/>
      </w:r>
    </w:p>
    <w:p>
      <w:pPr>
        <w:pStyle w:val="TextBody"/>
        <w:spacing w:before="0" w:after="2"/>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50520"/>
                <wp:effectExtent l="0" t="0" r="0" b="0"/>
                <wp:wrapNone/>
                <wp:docPr id="106" name="Frame10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txbxContent>
                </v:textbox>
              </v:rect>
            </w:pict>
          </mc:Fallback>
        </mc:AlternateConten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r>
    </w:p>
    <w:p>
      <w:pPr>
        <w:pStyle w:val="TextBody"/>
        <w:spacing w:before="0" w:after="0"/>
        <w:jc w:val="center"/>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 xml:space="preserve">The initial aggregate principal amount of Securities evidenced by the Certificate to which this Schedule is attached is $ . The notations on the following table evidence decreases and increases in the aggregate principal amount of Securities evidenced by such Certificate. </w:t>
      </w:r>
    </w:p>
    <w:tbl>
      <w:tblPr>
        <w:tblW w:w="10205" w:type="dxa"/>
        <w:jc w:val="left"/>
        <w:tblInd w:w="0" w:type="dxa"/>
        <w:tblCellMar>
          <w:top w:w="28" w:type="dxa"/>
          <w:left w:w="28" w:type="dxa"/>
          <w:bottom w:w="28" w:type="dxa"/>
          <w:right w:w="28" w:type="dxa"/>
        </w:tblCellMar>
      </w:tblPr>
      <w:tblGrid>
        <w:gridCol w:w="440"/>
        <w:gridCol w:w="385"/>
        <w:gridCol w:w="391"/>
        <w:gridCol w:w="109"/>
        <w:gridCol w:w="109"/>
        <w:gridCol w:w="109"/>
        <w:gridCol w:w="737"/>
        <w:gridCol w:w="737"/>
        <w:gridCol w:w="739"/>
        <w:gridCol w:w="109"/>
        <w:gridCol w:w="109"/>
        <w:gridCol w:w="109"/>
        <w:gridCol w:w="709"/>
        <w:gridCol w:w="709"/>
        <w:gridCol w:w="711"/>
        <w:gridCol w:w="109"/>
        <w:gridCol w:w="109"/>
        <w:gridCol w:w="109"/>
        <w:gridCol w:w="691"/>
        <w:gridCol w:w="689"/>
        <w:gridCol w:w="691"/>
        <w:gridCol w:w="109"/>
        <w:gridCol w:w="109"/>
        <w:gridCol w:w="109"/>
        <w:gridCol w:w="369"/>
        <w:gridCol w:w="368"/>
        <w:gridCol w:w="531"/>
      </w:tblGrid>
      <w:tr>
        <w:trPr/>
        <w:tc>
          <w:tcPr>
            <w:tcW w:w="44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213"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129"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07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1268"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213"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129"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07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Aggregate Principal</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1268"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213"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129"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07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Amount of Securities</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1268"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213"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Decrease in Aggregate</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129"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Increase in Aggregate</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07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Remaining After</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1268"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Notation by</w:t>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Date of</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213"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Principal Amount of</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129"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Principal Amount of</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07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Such Decrease or</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1268"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Security</w:t>
            </w:r>
          </w:p>
        </w:tc>
      </w:tr>
      <w:tr>
        <w:trPr/>
        <w:tc>
          <w:tcPr>
            <w:tcW w:w="1216"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Adjustment</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213"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Securities</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129"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Securities</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071"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Increase</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1268"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Registrar</w:t>
            </w:r>
          </w:p>
        </w:tc>
      </w:tr>
    </w:tbl>
    <w:p>
      <w:pPr>
        <w:pStyle w:val="TextBody"/>
        <w:spacing w:before="0" w:after="0"/>
        <w:jc w:val="center"/>
        <w:rPr/>
      </w:pPr>
      <w:r>
        <w:rPr/>
      </w:r>
    </w:p>
    <w:p>
      <w:pPr>
        <w:pStyle w:val="TextBody"/>
        <w:jc w:val="center"/>
        <w:rPr/>
      </w:pPr>
      <w:r>
        <w:rPr/>
      </w:r>
      <w:r>
        <w:br w:type="page"/>
      </w:r>
    </w:p>
    <w:p>
      <w:pPr>
        <w:pStyle w:val="TextBody"/>
        <w:spacing w:before="0" w:after="2"/>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50520"/>
                <wp:effectExtent l="0" t="0" r="0" b="0"/>
                <wp:wrapNone/>
                <wp:docPr id="107" name="Frame10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txbxContent>
                </v:textbox>
              </v:rect>
            </w:pict>
          </mc:Fallback>
        </mc:AlternateConten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[FORM OF REVERSE SIDE OF SECURITY]</w: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CENTERPOINT ENERGY RESOURCES CORP.</w: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5.25% SENIOR NOTES DUE 2028</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This Security is one of a duly authorized issue of securities of the Company (herein called the “</w:t>
      </w:r>
      <w:r>
        <w:rPr>
          <w:rFonts w:ascii="Times New Roman;sans-serif" w:hAnsi="Times New Roman;sans-serif"/>
          <w:b w:val="false"/>
          <w:color w:val="000000"/>
          <w:sz w:val="24"/>
          <w:u w:val="single"/>
        </w:rPr>
        <w:t>Securities</w:t>
      </w:r>
      <w:r>
        <w:rPr>
          <w:color w:val="000000"/>
        </w:rPr>
        <w:t>”</w:t>
      </w:r>
      <w:r>
        <w:rPr>
          <w:rFonts w:ascii="Times New Roman;sans-serif" w:hAnsi="Times New Roman;sans-serif"/>
          <w:b w:val="false"/>
          <w:color w:val="000000"/>
          <w:sz w:val="24"/>
        </w:rPr>
        <w:t>), issued and to be issued in one or more series under an Indenture, dated as of February 1, 1998</w:t>
      </w:r>
      <w:r>
        <w:rPr>
          <w:rFonts w:ascii="Calibri;sans-serif" w:hAnsi="Calibri;sans-serif"/>
          <w:b w:val="false"/>
          <w:color w:val="000000"/>
          <w:sz w:val="22"/>
        </w:rPr>
        <w:t xml:space="preserve">, </w:t>
      </w:r>
      <w:r>
        <w:rPr>
          <w:rFonts w:ascii="Times New Roman;sans-serif" w:hAnsi="Times New Roman;sans-serif"/>
          <w:b w:val="false"/>
          <w:color w:val="000000"/>
          <w:sz w:val="24"/>
        </w:rPr>
        <w:t>as previously supplemented and amended including by the Supplemental Indenture No. 23, dated as of February 23, 2023 (collectively herein called the “</w:t>
      </w:r>
      <w:r>
        <w:rPr>
          <w:rFonts w:ascii="Times New Roman;sans-serif" w:hAnsi="Times New Roman;sans-serif"/>
          <w:b w:val="false"/>
          <w:color w:val="000000"/>
          <w:sz w:val="24"/>
          <w:u w:val="single"/>
        </w:rPr>
        <w:t>Indenture</w:t>
      </w:r>
      <w:r>
        <w:rPr>
          <w:rFonts w:ascii="Times New Roman;sans-serif" w:hAnsi="Times New Roman;sans-serif"/>
          <w:b w:val="false"/>
          <w:color w:val="000000"/>
          <w:sz w:val="24"/>
        </w:rPr>
        <w:t>,” which term shall have the meaning assigned to it in such instrument), between the Company and The Bank of New York Mellon Trust Company, N.A. (successor to JPMorgan Chase Bank, National Association (formerly Chase Bank of Texas, National Association)), as Trustee (herein called the “</w:t>
      </w:r>
      <w:r>
        <w:rPr>
          <w:rFonts w:ascii="Times New Roman;sans-serif" w:hAnsi="Times New Roman;sans-serif"/>
          <w:b w:val="false"/>
          <w:color w:val="000000"/>
          <w:sz w:val="24"/>
          <w:u w:val="single"/>
        </w:rPr>
        <w:t>Trustee</w:t>
      </w:r>
      <w:r>
        <w:rPr>
          <w:rFonts w:ascii="Times New Roman;sans-serif" w:hAnsi="Times New Roman;sans-serif"/>
          <w:b w:val="false"/>
          <w:color w:val="000000"/>
          <w:sz w:val="24"/>
        </w:rPr>
        <w:t xml:space="preserv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$600,000,000;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the authorized aggregate principal amount of the Securities may be increased above such amount by a Board Resolution to such effect.</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Prior to February 1, 2028 (the “</w:t>
      </w:r>
      <w:r>
        <w:rPr>
          <w:rFonts w:ascii="Times New Roman;sans-serif" w:hAnsi="Times New Roman;sans-serif"/>
          <w:b w:val="false"/>
          <w:color w:val="000000"/>
          <w:sz w:val="24"/>
          <w:u w:val="single"/>
        </w:rPr>
        <w:t>Par Call Date</w:t>
      </w:r>
      <w:r>
        <w:rPr>
          <w:color w:val="000000"/>
        </w:rPr>
        <w:t>”</w:t>
      </w:r>
      <w:r>
        <w:rPr>
          <w:rFonts w:ascii="Times New Roman;sans-serif" w:hAnsi="Times New Roman;sans-serif"/>
          <w:b w:val="false"/>
          <w:color w:val="000000"/>
          <w:sz w:val="24"/>
        </w:rPr>
        <w:t xml:space="preserve">), the Company may redeem this Security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this Security, or such portion to be redeemed, matured on the Par Call Date) on a semi-annual basis (assuming a 360-day year consisting of twelve 30-day months) at the Treasury Rate plus 20 basis points less (b) interest accrued to the date of redemption, and (2) 100% of the principal amount of this Security to be redeemed; plus, in each case, accrued and unpaid interest thereon to, but excluding, the Redemption Date.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On or after the Par Call Date, the Company may redeem this Security, in whole or in part, at any time and from time to time, at a redemption price equal to 100% of the principal amount of this Security (or such portion to be redeemed) plus accrued and unpaid interest on the principal amount being redeemed, if any, to, but excluding, the Redemption Date. The Trustee shall have no responsibility for the calculation of such amount.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Treasury Rate</w:t>
      </w:r>
      <w:r>
        <w:rPr>
          <w:color w:val="000000"/>
        </w:rPr>
        <w:t xml:space="preserve">” </w:t>
      </w:r>
      <w:r>
        <w:rPr>
          <w:rFonts w:ascii="Times New Roman;sans-serif" w:hAnsi="Times New Roman;sans-serif"/>
          <w:b w:val="false"/>
          <w:color w:val="000000"/>
          <w:sz w:val="24"/>
        </w:rPr>
        <w:t>means, with respect to any Redemption Date, the yield determined by the Company in accordance with the following two paragraphs.</w:t>
      </w:r>
    </w:p>
    <w:p>
      <w:pPr>
        <w:pStyle w:val="TextBody"/>
        <w:spacing w:before="0" w:after="0"/>
        <w:ind w:left="0" w:right="0" w:firstLine="720"/>
        <w:jc w:val="both"/>
        <w:rPr/>
      </w:pPr>
      <w:r>
        <w:rPr/>
      </w:r>
    </w:p>
    <w:p>
      <w:pPr>
        <w:pStyle w:val="TextBody"/>
        <w:spacing w:lineRule="auto" w:line="240"/>
        <w:ind w:left="0" w:right="0" w:firstLine="720"/>
        <w:jc w:val="both"/>
        <w:rPr/>
      </w:pPr>
      <w:r>
        <w:rPr>
          <w:rFonts w:ascii="Times New Roman;sans-serif" w:hAnsi="Times New Roman;sans-serif"/>
          <w:b w:val="false"/>
          <w:color w:val="000000"/>
          <w:sz w:val="24"/>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sans-serif" w:hAnsi="Times New Roman;sans-serif"/>
          <w:b w:val="false"/>
          <w:color w:val="000000"/>
          <w:sz w:val="24"/>
          <w:u w:val="single"/>
        </w:rPr>
        <w:t>H.15</w:t>
      </w:r>
      <w:r>
        <w:rPr>
          <w:color w:val="000000"/>
        </w:rPr>
        <w:t>”</w:t>
      </w:r>
      <w:r>
        <w:rPr>
          <w:rFonts w:ascii="Times New Roman;sans-serif" w:hAnsi="Times New Roman;sans-serif"/>
          <w:b w:val="false"/>
          <w:color w:val="000000"/>
          <w:sz w:val="24"/>
        </w:rPr>
        <w:t>) under the caption “U.S. government securities–Treasury constant maturities–Nominal” (or any successor caption or heading) (“</w:t>
      </w:r>
      <w:r>
        <w:rPr>
          <w:rFonts w:ascii="Times New Roman;sans-serif" w:hAnsi="Times New Roman;sans-serif"/>
          <w:b w:val="false"/>
          <w:color w:val="000000"/>
          <w:sz w:val="24"/>
          <w:u w:val="single"/>
        </w:rPr>
        <w:t>H.15 TCM</w:t>
      </w:r>
      <w:r>
        <w:rPr>
          <w:color w:val="000000"/>
        </w:rPr>
        <w:t>”</w:t>
      </w:r>
      <w:r>
        <w:rPr>
          <w:rFonts w:ascii="Times New Roman;sans-serif" w:hAnsi="Times New Roman;sans-serif"/>
          <w:b w:val="false"/>
          <w:color w:val="000000"/>
          <w:sz w:val="24"/>
        </w:rPr>
        <w:t>). In determining the Treasury Rate, the Company shall select, as applicable: (1) the yield for the Treasury constant maturity on H.15 exactly equal to the period from the Redemption Date to the Par Call Date (the “</w:t>
      </w:r>
      <w:r>
        <w:rPr>
          <w:rFonts w:ascii="Times New Roman;sans-serif" w:hAnsi="Times New Roman;sans-serif"/>
          <w:b w:val="false"/>
          <w:color w:val="000000"/>
          <w:sz w:val="24"/>
          <w:u w:val="single"/>
        </w:rPr>
        <w:t>Remaining Life</w:t>
      </w:r>
      <w:r>
        <w:rPr>
          <w:color w:val="000000"/>
        </w:rPr>
        <w:t>”</w:t>
      </w:r>
      <w:r>
        <w:rPr>
          <w:rFonts w:ascii="Times New Roman;sans-serif" w:hAnsi="Times New Roman;sans-serif"/>
          <w:b w:val="false"/>
          <w:color w:val="000000"/>
          <w:sz w:val="24"/>
        </w:rPr>
        <w:t xml:space="preserve">); or (2) if there is no such Treasury constant maturity on H.15 exactly equal to the Remaining Life, the two yields – one yield corresponding to the </w:t>
      </w:r>
      <w:r>
        <w:br w:type="page"/>
      </w:r>
    </w:p>
    <w:p>
      <w:pPr>
        <w:pStyle w:val="TextBody"/>
        <w:spacing w:before="0" w:after="2"/>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50520"/>
                <wp:effectExtent l="0" t="0" r="0" b="0"/>
                <wp:wrapNone/>
                <wp:docPr id="108" name="Frame10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Company’s actions and determinations in determining the redemption price shall be conclusive and binding for all purposes, absent manifest error. The Trustee shall have no responsibility for the calculation of such amount.</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of redemption of this Security in part only, a new Security or Securities of this series and of like tenor for the unredeemed portion hereof will be issued in the name of the Holder hereof upon the cancellation hereof.</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Securities of this series are not entitled to the benefit of any sinking fund.</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Indenture contains provisions for satisfaction and discharge of the entire indebtedness of this Security upon compliance by the Company with certain conditions set forth in the Indenture.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 Event of Default with respect to Securities of this series shall occur and be continuing, the principal of the Securities of this series may be declared due and payable in the manner and with the effect provided in the Indenture.</w:t>
      </w:r>
    </w:p>
    <w:p>
      <w:pPr>
        <w:pStyle w:val="TextBody"/>
        <w:spacing w:lineRule="auto" w:line="240" w:before="0" w:after="0"/>
        <w:jc w:val="both"/>
        <w:rPr>
          <w:color w:val="000000"/>
        </w:rPr>
      </w:pPr>
      <w:r>
        <w:rPr>
          <w:color w:val="000000"/>
        </w:rPr>
        <w:t> </w:t>
      </w:r>
    </w:p>
    <w:p>
      <w:pPr>
        <w:pStyle w:val="TextBody"/>
        <w:spacing w:lineRule="auto" w:line="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Indenture permits, with certain exceptions as therein provided, the amendment thereof and the modification of the rights and obligations of the Company and the rights of the </w:t>
      </w:r>
      <w:r>
        <w:br w:type="page"/>
      </w:r>
    </w:p>
    <w:p>
      <w:pPr>
        <w:pStyle w:val="TextBody"/>
        <w:spacing w:before="0" w:after="2"/>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50520"/>
                <wp:effectExtent l="0" t="0" r="0" b="0"/>
                <wp:wrapNone/>
                <wp:docPr id="109" name="Frame10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spacing w:before="0" w:after="0"/>
        <w:ind w:left="0" w:right="0" w:firstLine="72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33%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No service charge shall be made for any such registration of transfer or exchange, but the Company may require payment of a sum sufficient to cover any tax or other governmental charge payable in connection therewith.</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pStyle w:val="TextBody"/>
        <w:spacing w:lineRule="auto" w:line="240" w:before="0" w:after="0"/>
        <w:jc w:val="both"/>
        <w:rPr>
          <w:color w:val="000000"/>
        </w:rPr>
      </w:pPr>
      <w:r>
        <w:rPr>
          <w:color w:val="000000"/>
        </w:rPr>
        <w:t> </w:t>
      </w:r>
    </w:p>
    <w:p>
      <w:pPr>
        <w:pStyle w:val="TextBody"/>
        <w:spacing w:lineRule="auto" w:line="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Securities of this series are issuable only in registered form without coupons in minimum denominations of $2,000 principal amount and integral multiples of $1,000 principal amount in excess thereof.  As provided in the Indenture and subject to certain limitations therein set forth, Securities of this series are exchangeable for a like aggregate principal amount of </w:t>
      </w:r>
      <w:r>
        <w:br w:type="page"/>
      </w:r>
    </w:p>
    <w:p>
      <w:pPr>
        <w:pStyle w:val="TextBody"/>
        <w:spacing w:before="0" w:after="2"/>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50520"/>
                <wp:effectExtent l="0" t="0" r="0" b="0"/>
                <wp:wrapNone/>
                <wp:docPr id="110" name="Frame11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Securities of this series and of like tenor of a different authorized denomination, as requested by the Holder surrendering the same.</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terms used in this Security which are defined in the Indenture shall have the meanings assigned to them in the Indenture.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INDENTURE AND THIS SECURITY SHALL BE GOVERNED BY AND CONSTRUED IN ACCORDANCE WITH THE LAWS OF THE STATE OF NEW YORK.</w:t>
      </w:r>
    </w:p>
    <w:p>
      <w:pPr>
        <w:pStyle w:val="TextBody"/>
        <w:spacing w:before="0" w:after="200"/>
        <w:rPr/>
      </w:pPr>
      <w:r>
        <w:rPr/>
      </w:r>
      <w:r>
        <w:br w:type="page"/>
      </w:r>
    </w:p>
    <w:p>
      <w:pPr>
        <w:pStyle w:val="TextBody"/>
        <w:spacing w:before="0" w:after="2"/>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50520"/>
                <wp:effectExtent l="0" t="0" r="0" b="0"/>
                <wp:wrapNone/>
                <wp:docPr id="111" name="Frame11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txbxContent>
                </v:textbox>
              </v:rect>
            </w:pict>
          </mc:Fallback>
        </mc:AlternateContent>
      </w:r>
    </w:p>
    <w:p>
      <w:pPr>
        <w:pStyle w:val="TextBody"/>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B</w: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[FORM OF FACE OF SECURITY]</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[IF THIS SECURITY IS TO BE A GLOBAL SECURITY -] THIS SECURITY IS A GLOBAL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pStyle w:val="TextBody"/>
        <w:spacing w:lineRule="auto" w:line="240" w:before="0" w:after="0"/>
        <w:jc w:val="both"/>
        <w:rPr>
          <w:color w:val="000000"/>
        </w:rPr>
      </w:pPr>
      <w:r>
        <w:rPr>
          <w:color w:val="000000"/>
        </w:rPr>
        <w:t> </w:t>
      </w:r>
    </w:p>
    <w:p>
      <w:pPr>
        <w:pStyle w:val="TextBody"/>
        <w:spacing w:lineRule="auto" w:line="240" w:before="0" w:after="0"/>
        <w:jc w:val="both"/>
        <w:rPr/>
      </w:pPr>
      <w:r>
        <w:rPr>
          <w:rFonts w:ascii="Times New Roman;sans-serif" w:hAnsi="Times New Roman;sans-serif"/>
          <w:b w:val="false"/>
          <w:color w:val="000000"/>
          <w:sz w:val="24"/>
        </w:rPr>
        <w:t>[FOR AS LONG AS THIS GLOBAL SECURITY IS DEPOSITED WITH OR ON BEHALF OF THE DEPOSITORY TRUST COMPANY IT SHALL BEAR THE FOLLOWING LEGEND.]  UNLESS THIS CERTIFICATE IS PRESENTED BY AN AUTHORIZED REPRESENTATIVE OF THE DEPOSITORY TRUST COMPANY, A NEW YORK CORPORATION (“</w:t>
      </w:r>
      <w:r>
        <w:rPr>
          <w:rFonts w:ascii="Times New Roman;sans-serif" w:hAnsi="Times New Roman;sans-serif"/>
          <w:b w:val="false"/>
          <w:color w:val="000000"/>
          <w:sz w:val="24"/>
          <w:u w:val="single"/>
        </w:rPr>
        <w:t>DTC</w:t>
      </w:r>
      <w:r>
        <w:rPr>
          <w:color w:val="000000"/>
        </w:rPr>
        <w:t>”</w:t>
      </w:r>
      <w:r>
        <w:rPr>
          <w:rFonts w:ascii="Times New Roman;sans-serif" w:hAnsi="Times New Roman;sans-serif"/>
          <w:b w:val="false"/>
          <w:color w:val="000000"/>
          <w:sz w:val="24"/>
        </w:rPr>
        <w:t>), TO CENTERPOINT ENERGY RESOURCES CORP.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CENTERPOINT ENERGY RESOURCES CORP.</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5.40% Senior Notes due 2033</w:t>
      </w:r>
    </w:p>
    <w:p>
      <w:pPr>
        <w:pStyle w:val="TextBody"/>
        <w:rPr/>
      </w:pPr>
      <w:r>
        <w:rPr/>
      </w:r>
      <w:r>
        <w:br w:type="page"/>
      </w:r>
    </w:p>
    <w:p>
      <w:pPr>
        <w:pStyle w:val="TextBody"/>
        <w:spacing w:before="0" w:after="2"/>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50520"/>
                <wp:effectExtent l="0" t="0" r="0" b="0"/>
                <wp:wrapNone/>
                <wp:docPr id="112" name="Frame11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jc w:val="center"/>
                              <w:rPr/>
                            </w:pPr>
                            <w:r>
                              <w:rPr/>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690"/>
        <w:gridCol w:w="606"/>
        <w:gridCol w:w="609"/>
        <w:gridCol w:w="2427"/>
        <w:gridCol w:w="2427"/>
        <w:gridCol w:w="3446"/>
      </w:tblGrid>
      <w:tr>
        <w:trPr/>
        <w:tc>
          <w:tcPr>
            <w:tcW w:w="690"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2427" w:type="dxa"/>
            <w:tcBorders/>
            <w:shd w:fill="auto" w:val="clear"/>
            <w:vAlign w:val="center"/>
          </w:tcPr>
          <w:p>
            <w:pPr>
              <w:pStyle w:val="TableContents"/>
              <w:spacing w:before="0" w:after="283"/>
              <w:rPr>
                <w:sz w:val="4"/>
                <w:szCs w:val="4"/>
              </w:rPr>
            </w:pPr>
            <w:r>
              <w:rPr>
                <w:sz w:val="4"/>
                <w:szCs w:val="4"/>
              </w:rPr>
            </w:r>
          </w:p>
        </w:tc>
        <w:tc>
          <w:tcPr>
            <w:tcW w:w="2427" w:type="dxa"/>
            <w:tcBorders/>
            <w:shd w:fill="auto" w:val="clear"/>
            <w:vAlign w:val="center"/>
          </w:tcPr>
          <w:p>
            <w:pPr>
              <w:pStyle w:val="TableContents"/>
              <w:spacing w:before="0" w:after="283"/>
              <w:rPr>
                <w:sz w:val="4"/>
                <w:szCs w:val="4"/>
              </w:rPr>
            </w:pPr>
            <w:r>
              <w:rPr>
                <w:sz w:val="4"/>
                <w:szCs w:val="4"/>
              </w:rPr>
            </w:r>
          </w:p>
        </w:tc>
        <w:tc>
          <w:tcPr>
            <w:tcW w:w="3446"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Original Interest Accrual Date: February 23, 2023</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Stated Maturity: March 1, 2033</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Interest Rate: 5.40%</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Interest Payment Dates: March 1 and September 1</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Initial Interest Payment Date: September 1, 2023</w:t>
            </w:r>
          </w:p>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Regular Record Dates: February 15 and August 15 immediately preceding the applicable Interest Payment Date</w:t>
            </w:r>
          </w:p>
        </w:tc>
        <w:tc>
          <w:tcPr>
            <w:tcW w:w="83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Redeemable: Yes [X] No [ ]</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Redemption Date: At any time.</w:t>
            </w:r>
          </w:p>
          <w:p>
            <w:pPr>
              <w:pStyle w:val="TableContents"/>
              <w:spacing w:lineRule="auto" w:line="240" w:before="0" w:after="0"/>
              <w:jc w:val="both"/>
              <w:rPr/>
            </w:pPr>
            <w:r>
              <w:rPr>
                <w:rFonts w:ascii="Times New Roman;sans-serif" w:hAnsi="Times New Roman;sans-serif"/>
                <w:b w:val="false"/>
                <w:color w:val="000000"/>
                <w:sz w:val="24"/>
              </w:rPr>
              <w:t>Redemption Price: (1) Prior to December 1, 2032 (the “</w:t>
            </w:r>
            <w:r>
              <w:rPr>
                <w:rFonts w:ascii="Times New Roman;sans-serif" w:hAnsi="Times New Roman;sans-serif"/>
                <w:b w:val="false"/>
                <w:color w:val="000000"/>
                <w:sz w:val="24"/>
                <w:u w:val="single"/>
              </w:rPr>
              <w:t>Par Call Date</w:t>
            </w:r>
            <w:r>
              <w:rPr>
                <w:color w:val="000000"/>
              </w:rPr>
              <w:t>”</w:t>
            </w:r>
            <w:r>
              <w:rPr>
                <w:rFonts w:ascii="Times New Roman;sans-serif" w:hAnsi="Times New Roman;sans-serif"/>
                <w:b w:val="false"/>
                <w:color w:val="000000"/>
                <w:sz w:val="24"/>
              </w:rPr>
              <w:t>), at a redemption price equal to the greater of: (i)(a) the sum of the present values of the remaining scheduled payments of principal and interest on this Security, or the portion thereof to be redeemed, that would be due if this Security matured on the Par Call Date but for the redemption (not including any portion of such payments of interest accrued to the Redemption Date) discounted to the Redemption Date on a semiannual basis at the applicable Treasury Rate plus 25 basis points less (b) interest accrued to the date of redemption; and (ii) 100% of the principal amount of this Security or the portion thereof to be redeemed; plus, in each case, accrued and unpaid interest on the principal amount being redeemed, if any, to, but excluding, the Redemption Date; or (2) on or after the Par Call Date, at a redemption price equal to 100% of the principal amount of this Security or the portion thereof to be redeemed plus accrued and unpaid interest on the principal amount being redeemed, if any, to, but excluding, the Redemption Date.</w:t>
            </w:r>
          </w:p>
        </w:tc>
      </w:tr>
    </w:tbl>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This Security is not an Original Issue Discount Security</w:t>
        <w:br/>
        <w:t>within the meaning of the within-mentioned Indenture.</w:t>
        <w:br/>
        <w:t>_____________________________</w:t>
      </w:r>
    </w:p>
    <w:p>
      <w:pPr>
        <w:pStyle w:val="TextBody"/>
        <w:spacing w:before="0" w:after="0"/>
        <w:rPr/>
      </w:pPr>
      <w:r>
        <w:rPr/>
      </w:r>
    </w:p>
    <w:p>
      <w:pPr>
        <w:pStyle w:val="TextBody"/>
        <w:spacing w:before="0" w:after="0"/>
        <w:rPr/>
      </w:pPr>
      <w:r>
        <w:rPr/>
      </w:r>
    </w:p>
    <w:tbl>
      <w:tblPr>
        <w:tblW w:w="4720" w:type="dxa"/>
        <w:jc w:val="left"/>
        <w:tblInd w:w="0" w:type="dxa"/>
        <w:tblCellMar>
          <w:top w:w="28" w:type="dxa"/>
          <w:left w:w="28" w:type="dxa"/>
          <w:bottom w:w="28" w:type="dxa"/>
          <w:right w:w="28" w:type="dxa"/>
        </w:tblCellMar>
      </w:tblPr>
      <w:tblGrid>
        <w:gridCol w:w="766"/>
        <w:gridCol w:w="672"/>
        <w:gridCol w:w="676"/>
        <w:gridCol w:w="109"/>
        <w:gridCol w:w="109"/>
        <w:gridCol w:w="109"/>
        <w:gridCol w:w="666"/>
        <w:gridCol w:w="666"/>
        <w:gridCol w:w="947"/>
      </w:tblGrid>
      <w:tr>
        <w:trPr/>
        <w:tc>
          <w:tcPr>
            <w:tcW w:w="766"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Principal Amount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227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96"/>
              <w:jc w:val="right"/>
              <w:rPr>
                <w:rFonts w:ascii="Times New Roman;sans-serif" w:hAnsi="Times New Roman;sans-serif"/>
                <w:b w:val="false"/>
                <w:color w:val="000000"/>
                <w:sz w:val="24"/>
              </w:rPr>
            </w:pPr>
            <w:r>
              <w:rPr>
                <w:rFonts w:ascii="Times New Roman;sans-serif" w:hAnsi="Times New Roman;sans-serif"/>
                <w:b w:val="false"/>
                <w:color w:val="000000"/>
                <w:sz w:val="24"/>
              </w:rPr>
              <w:t xml:space="preserve">Registered No. T-1 </w:t>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4"/>
              </w:rPr>
              <w:t>$_______________</w:t>
            </w:r>
            <w:r>
              <w:rPr>
                <w:rFonts w:ascii="Times New Roman;sans-serif" w:hAnsi="Times New Roman;sans-serif"/>
                <w:b w:val="false"/>
                <w:color w:val="000000"/>
                <w:sz w:val="16"/>
              </w:rPr>
              <w:t>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2279"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xml:space="preserve">CUSIP 15189Y AH9 </w:t>
            </w:r>
          </w:p>
        </w:tc>
      </w:tr>
    </w:tbl>
    <w:p>
      <w:pPr>
        <w:pStyle w:val="TextBody"/>
        <w:spacing w:before="0" w:after="0"/>
        <w:rPr/>
      </w:pPr>
      <w:r>
        <w:rPr/>
      </w:r>
    </w:p>
    <w:p>
      <w:pPr>
        <w:pStyle w:val="TextBody"/>
        <w:spacing w:lineRule="auto" w:line="240" w:before="0" w:after="0"/>
        <w:jc w:val="both"/>
        <w:rPr/>
      </w:pPr>
      <w:r>
        <w:rPr>
          <w:rFonts w:ascii="Times New Roman;sans-serif" w:hAnsi="Times New Roman;sans-serif"/>
          <w:b w:val="false"/>
          <w:color w:val="000000"/>
          <w:sz w:val="24"/>
        </w:rPr>
        <w:t>CENTERPOINT ENERGY RESOURCES CORP., a corporation duly organized and existing under the laws of the State of Delaware, formerly known as NorAm Energy Corp. (herein called the “</w:t>
      </w:r>
      <w:r>
        <w:rPr>
          <w:rFonts w:ascii="Times New Roman;sans-serif" w:hAnsi="Times New Roman;sans-serif"/>
          <w:b w:val="false"/>
          <w:color w:val="000000"/>
          <w:sz w:val="24"/>
          <w:u w:val="single"/>
        </w:rPr>
        <w:t>Company</w:t>
      </w:r>
      <w:r>
        <w:rPr>
          <w:rFonts w:ascii="Times New Roman;sans-serif" w:hAnsi="Times New Roman;sans-serif"/>
          <w:b w:val="false"/>
          <w:color w:val="000000"/>
          <w:sz w:val="24"/>
        </w:rPr>
        <w:t>,” which term includes any successor Person under the Indenture referred to below), for value received, hereby promises to pay to</w:t>
      </w:r>
    </w:p>
    <w:p>
      <w:pPr>
        <w:pStyle w:val="TextBody"/>
        <w:spacing w:before="0" w:after="0"/>
        <w:jc w:val="both"/>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***CEDE &amp; Co.***</w:t>
      </w:r>
    </w:p>
    <w:p>
      <w:pPr>
        <w:pStyle w:val="TextBody"/>
        <w:spacing w:before="0" w:after="0"/>
        <w:jc w:val="center"/>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or its registered assigns, the principal sum of DOLLARS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September 1, 2023, and at Stated Maturity, at the Interest Rate per annum </w:t>
      </w:r>
    </w:p>
    <w:p>
      <w:pPr>
        <w:pStyle w:val="TextBody"/>
        <w:spacing w:lineRule="auto" w:line="240" w:before="0" w:after="0"/>
        <w:rPr/>
      </w:pPr>
      <w:r>
        <w:rPr>
          <w:rFonts w:ascii="Times New Roman;sans-serif" w:hAnsi="Times New Roman;sans-serif"/>
          <w:b w:val="false"/>
          <w:color w:val="000000"/>
          <w:sz w:val="16"/>
        </w:rPr>
        <w:t>2</w:t>
      </w:r>
      <w:r>
        <w:rPr>
          <w:rFonts w:ascii="Times New Roman;sans-serif" w:hAnsi="Times New Roman;sans-serif"/>
          <w:b w:val="false"/>
          <w:color w:val="000000"/>
          <w:sz w:val="20"/>
        </w:rPr>
        <w:t>Reference is made to Schedule A attached hereto with respect to decreases and increases in the aggregate principal amount of Securities evidenced hereby.</w:t>
      </w:r>
    </w:p>
    <w:p>
      <w:pPr>
        <w:pStyle w:val="TextBody"/>
        <w:rPr/>
      </w:pPr>
      <w:r>
        <w:rPr/>
      </w:r>
      <w:r>
        <w:br w:type="page"/>
      </w:r>
    </w:p>
    <w:p>
      <w:pPr>
        <w:pStyle w:val="TextBody"/>
        <w:spacing w:before="0" w:after="2"/>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00"/>
          <w:sz w:val="24"/>
        </w:rPr>
        <w:t xml:space="preserve">specified above, until the principal hereof is paid or made available for payment,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any principal and premium, and any such installment of interest, which is overdue shall bear interest at the rate of 5.40% per annum (to the extent permitted by applicable law), from the dates such amounts are due until they are paid or made available for payment, and such interest shall be payable on demand.  The amount of interest payable for any period shall be computed on the basis of twelve 30-day months and a 360-day year. The amount of interest payable for any partial period shall be computed on the basis of a 360-day year of twelve 30-day months and the days elapsed in any partial month. In the event that any date on which interest is payable on this Security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payable. A “</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shall mean any day other than a Saturday, a Sunday or a day on which banking institutions in The City of New York are authorized or required by law, regulation or executive order to close.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February 15 or August 15 (whether or not a Business Day), as the case may be, next preceding such Interest Payment Date.  Any such interest not so punctually paid or duly provided for shall forthwith cease to be payable to the Holder on such Regular Record Date and shall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or automated quotation system on which the Securities of this series may be listed or traded, and upon such notice as may be required by such exchange or automated quotation system, all as more fully provided in said Indenture.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Payment of the principal of (and premium, if any) and any such interest on this Security will be made at the Corporate Trust Office of the Trustee, in such coin or currency of the United States of America as at the time of payment is legal tender for payment of public and private debts;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at the option of the Company payment of interest may be made (i) 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Reference is hereby made to the further provisions of this Security set forth on the reverse hereof, which further provisions shall for all purposes have the same effect as if set forth at this place.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Unless the certificate of authentication hereon has been executed by the Trustee referred to on the reverse hereof by manual signature, this Security shall not be entitled to any benefit under the Indenture or be valid or obligatory for any purpose.</w:t>
      </w:r>
    </w:p>
    <w:p>
      <w:pPr>
        <w:pStyle w:val="TextBody"/>
        <w:spacing w:before="0" w:after="0"/>
        <w:rPr/>
      </w:pPr>
      <w:r>
        <w:rPr/>
      </w:r>
    </w:p>
    <w:p>
      <w:pPr>
        <w:pStyle w:val="TextBody"/>
        <w:spacing w:before="0" w:after="200"/>
        <w:rPr/>
      </w:pPr>
      <w:r>
        <w:rPr/>
      </w:r>
      <w:r>
        <w:br w:type="page"/>
      </w:r>
    </w:p>
    <w:p>
      <w:pPr>
        <w:pStyle w:val="TextBody"/>
        <w:spacing w:before="0" w:after="2"/>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Company has caused this instrument to be duly executed.</w:t>
      </w:r>
    </w:p>
    <w:p>
      <w:pPr>
        <w:pStyle w:val="TextBody"/>
        <w:spacing w:before="0" w:after="0"/>
        <w:rPr/>
      </w:pPr>
      <w:r>
        <w:rPr/>
      </w:r>
    </w:p>
    <w:p>
      <w:pPr>
        <w:pStyle w:val="TextBody"/>
        <w:spacing w:before="0" w:after="0"/>
        <w:jc w:val="both"/>
        <w:rPr/>
      </w:pPr>
      <w:r>
        <w:rPr/>
      </w:r>
    </w:p>
    <w:p>
      <w:pPr>
        <w:pStyle w:val="TextBody"/>
        <w:spacing w:lineRule="auto" w:line="240" w:before="0" w:after="0"/>
        <w:ind w:left="0" w:right="0" w:hanging="5040"/>
        <w:rPr>
          <w:rFonts w:ascii="Times New Roman;sans-serif" w:hAnsi="Times New Roman;sans-serif"/>
          <w:b w:val="false"/>
          <w:color w:val="000000"/>
          <w:sz w:val="24"/>
        </w:rPr>
      </w:pPr>
      <w:r>
        <w:rPr>
          <w:rFonts w:ascii="Times New Roman;sans-serif" w:hAnsi="Times New Roman;sans-serif"/>
          <w:b w:val="false"/>
          <w:color w:val="000000"/>
          <w:sz w:val="24"/>
        </w:rPr>
        <w:t>Dated: February 23, 2023    CENTERPOINT ENERGY RESOURCES CORP.</w:t>
      </w:r>
    </w:p>
    <w:p>
      <w:pPr>
        <w:pStyle w:val="TextBody"/>
        <w:spacing w:before="0" w:after="0"/>
        <w:rPr/>
      </w:pPr>
      <w:r>
        <w:rPr/>
      </w:r>
    </w:p>
    <w:p>
      <w:pPr>
        <w:pStyle w:val="TextBody"/>
        <w:spacing w:before="0" w:after="0"/>
        <w:rPr/>
      </w:pPr>
      <w:r>
        <w:rPr/>
      </w:r>
    </w:p>
    <w:p>
      <w:pPr>
        <w:pStyle w:val="TextBody"/>
        <w:spacing w:lineRule="auto" w:line="240" w:before="0" w:after="0"/>
        <w:ind w:left="0" w:right="0" w:firstLine="5040"/>
        <w:jc w:val="both"/>
        <w:rPr/>
      </w:pPr>
      <w:r>
        <w:rPr>
          <w:rFonts w:ascii="Times New Roman;sans-serif" w:hAnsi="Times New Roman;sans-serif"/>
          <w:b w:val="false"/>
          <w:color w:val="000000"/>
          <w:sz w:val="24"/>
        </w:rPr>
        <w:t>By:</w:t>
      </w:r>
      <w:r>
        <w:rPr>
          <w:color w:val="000000"/>
          <w:u w:val="single"/>
        </w:rPr>
        <w:t>                    </w:t>
      </w:r>
    </w:p>
    <w:p>
      <w:pPr>
        <w:pStyle w:val="TextBody"/>
        <w:spacing w:lineRule="auto" w:line="240" w:before="0" w:after="0"/>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Name: Jason P. Wells </w:t>
      </w:r>
    </w:p>
    <w:p>
      <w:pPr>
        <w:pStyle w:val="TextBody"/>
        <w:spacing w:lineRule="auto" w:line="240" w:before="0" w:after="0"/>
        <w:ind w:left="0" w:right="0" w:hanging="630"/>
        <w:jc w:val="both"/>
        <w:rPr>
          <w:rFonts w:ascii="Times New Roman;sans-serif" w:hAnsi="Times New Roman;sans-serif"/>
          <w:b w:val="false"/>
          <w:color w:val="000000"/>
          <w:sz w:val="24"/>
        </w:rPr>
      </w:pPr>
      <w:r>
        <w:rPr>
          <w:rFonts w:ascii="Times New Roman;sans-serif" w:hAnsi="Times New Roman;sans-serif"/>
          <w:b w:val="false"/>
          <w:color w:val="000000"/>
          <w:sz w:val="24"/>
        </w:rPr>
        <w:t>Title: President, Chief Executive Officer and Chief Financial Officer</w:t>
      </w:r>
    </w:p>
    <w:p>
      <w:pPr>
        <w:pStyle w:val="TextBody"/>
        <w:spacing w:before="0" w:after="0"/>
        <w:rPr/>
      </w:pPr>
      <w:r>
        <w:rPr/>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Attest:</w:t>
      </w:r>
    </w:p>
    <w:p>
      <w:pPr>
        <w:pStyle w:val="TextBody"/>
        <w:spacing w:before="0" w:after="0"/>
        <w:rPr/>
      </w:pPr>
      <w:r>
        <w:rPr/>
      </w:r>
    </w:p>
    <w:p>
      <w:pPr>
        <w:pStyle w:val="TextBody"/>
        <w:spacing w:lineRule="auto" w:line="240" w:before="0" w:after="0"/>
        <w:jc w:val="both"/>
        <w:rPr>
          <w:color w:val="000000"/>
          <w:u w:val="single"/>
        </w:rPr>
      </w:pPr>
      <w:r>
        <w:rPr>
          <w:color w:val="000000"/>
          <w:u w:val="single"/>
        </w:rPr>
        <w:t>                 </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Vincent A. Mercaldi</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Title: Secretary </w:t>
      </w:r>
    </w:p>
    <w:p>
      <w:pPr>
        <w:pStyle w:val="TextBody"/>
        <w:spacing w:before="0" w:after="0"/>
        <w:rPr/>
      </w:pPr>
      <w:r>
        <w:rPr/>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CERTIFICATE OF AUTHENTICATION</w:t>
      </w:r>
    </w:p>
    <w:p>
      <w:pPr>
        <w:pStyle w:val="TextBody"/>
        <w:spacing w:before="0" w:after="0"/>
        <w:ind w:left="0" w:right="0" w:firstLine="1440"/>
        <w:jc w:val="both"/>
        <w:rPr/>
      </w:pPr>
      <w:r>
        <w:rPr/>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is one of the Securities of the series designated therein referred to in the within-mentioned Indenture.</w:t>
      </w:r>
    </w:p>
    <w:p>
      <w:pPr>
        <w:pStyle w:val="TextBody"/>
        <w:spacing w:before="0" w:after="0"/>
        <w:ind w:left="0" w:right="0" w:firstLine="1440"/>
        <w:jc w:val="both"/>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 TRUST COMPANY, N.A.,</w:t>
      </w:r>
    </w:p>
    <w:p>
      <w:pPr>
        <w:pStyle w:val="TextBody"/>
        <w:spacing w:lineRule="auto" w:line="240" w:before="0" w:after="0"/>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As Trustee</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Dated: February 23, 2023</w:t>
      </w:r>
    </w:p>
    <w:p>
      <w:pPr>
        <w:pStyle w:val="TextBody"/>
        <w:spacing w:lineRule="auto" w:line="240" w:before="0" w:after="0"/>
        <w:ind w:left="0" w:right="0" w:firstLine="5040"/>
        <w:jc w:val="both"/>
        <w:rPr/>
      </w:pPr>
      <w:r>
        <w:rPr>
          <w:rFonts w:ascii="Times New Roman;sans-serif" w:hAnsi="Times New Roman;sans-serif"/>
          <w:b w:val="false"/>
          <w:color w:val="000000"/>
          <w:sz w:val="24"/>
        </w:rPr>
        <w:t>By:</w:t>
      </w:r>
      <w:r>
        <w:rPr>
          <w:color w:val="000000"/>
          <w:u w:val="single"/>
        </w:rPr>
        <w:t>                    </w:t>
      </w:r>
    </w:p>
    <w:p>
      <w:pPr>
        <w:pStyle w:val="TextBody"/>
        <w:spacing w:lineRule="auto" w:line="240" w:before="0" w:after="0"/>
        <w:ind w:left="0" w:right="0" w:firstLine="5760"/>
        <w:jc w:val="both"/>
        <w:rPr>
          <w:rFonts w:ascii="Times New Roman;sans-serif" w:hAnsi="Times New Roman;sans-serif"/>
          <w:b w:val="false"/>
          <w:color w:val="000000"/>
          <w:sz w:val="24"/>
        </w:rPr>
      </w:pPr>
      <w:r>
        <w:rPr>
          <w:rFonts w:ascii="Times New Roman;sans-serif" w:hAnsi="Times New Roman;sans-serif"/>
          <w:b w:val="false"/>
          <w:color w:val="000000"/>
          <w:sz w:val="24"/>
        </w:rPr>
        <w:t>Authorized Signatory</w:t>
      </w:r>
    </w:p>
    <w:p>
      <w:pPr>
        <w:pStyle w:val="TextBody"/>
        <w:spacing w:before="0" w:after="0"/>
        <w:rPr/>
      </w:pPr>
      <w:r>
        <w:rPr/>
      </w:r>
    </w:p>
    <w:p>
      <w:pPr>
        <w:pStyle w:val="TextBody"/>
        <w:spacing w:before="0" w:after="200"/>
        <w:rPr/>
      </w:pPr>
      <w:r>
        <w:rPr/>
      </w:r>
      <w:r>
        <w:br w:type="page"/>
      </w:r>
    </w:p>
    <w:p>
      <w:pPr>
        <w:pStyle w:val="TextBody"/>
        <w:spacing w:before="0" w:after="2"/>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r>
    </w:p>
    <w:p>
      <w:pPr>
        <w:pStyle w:val="TextBody"/>
        <w:spacing w:before="0" w:after="0"/>
        <w:jc w:val="center"/>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 xml:space="preserve">The initial aggregate principal amount of Securities evidenced by the Certificate to which this Schedule is attached is $ . The notations on the following table evidence decreases and increases in the aggregate principal amount of Securities evidenced by such Certificate. </w:t>
      </w:r>
    </w:p>
    <w:tbl>
      <w:tblPr>
        <w:tblW w:w="10205" w:type="dxa"/>
        <w:jc w:val="left"/>
        <w:tblInd w:w="0" w:type="dxa"/>
        <w:tblCellMar>
          <w:top w:w="28" w:type="dxa"/>
          <w:left w:w="28" w:type="dxa"/>
          <w:bottom w:w="28" w:type="dxa"/>
          <w:right w:w="28" w:type="dxa"/>
        </w:tblCellMar>
      </w:tblPr>
      <w:tblGrid>
        <w:gridCol w:w="440"/>
        <w:gridCol w:w="385"/>
        <w:gridCol w:w="391"/>
        <w:gridCol w:w="109"/>
        <w:gridCol w:w="109"/>
        <w:gridCol w:w="109"/>
        <w:gridCol w:w="737"/>
        <w:gridCol w:w="737"/>
        <w:gridCol w:w="739"/>
        <w:gridCol w:w="109"/>
        <w:gridCol w:w="109"/>
        <w:gridCol w:w="109"/>
        <w:gridCol w:w="709"/>
        <w:gridCol w:w="709"/>
        <w:gridCol w:w="711"/>
        <w:gridCol w:w="109"/>
        <w:gridCol w:w="109"/>
        <w:gridCol w:w="109"/>
        <w:gridCol w:w="691"/>
        <w:gridCol w:w="689"/>
        <w:gridCol w:w="691"/>
        <w:gridCol w:w="109"/>
        <w:gridCol w:w="109"/>
        <w:gridCol w:w="109"/>
        <w:gridCol w:w="369"/>
        <w:gridCol w:w="368"/>
        <w:gridCol w:w="531"/>
      </w:tblGrid>
      <w:tr>
        <w:trPr/>
        <w:tc>
          <w:tcPr>
            <w:tcW w:w="44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213"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129"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07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1268"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213"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129"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07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Aggregate Principal</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1268"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213"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129"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07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Amount of Securities</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1268"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213"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Decrease in Aggregate</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129"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Increase in Aggregate</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07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Remaining After</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1268"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Notation by</w:t>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Date of</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213"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Principal Amount of</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129"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Principal Amount of</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071"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Such Decrease or</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1268"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Security</w:t>
            </w:r>
          </w:p>
        </w:tc>
      </w:tr>
      <w:tr>
        <w:trPr/>
        <w:tc>
          <w:tcPr>
            <w:tcW w:w="1216"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Adjustment</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213"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Securities</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129"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Securities</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2071"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Increase</w:t>
            </w:r>
          </w:p>
        </w:tc>
        <w:tc>
          <w:tcPr>
            <w:tcW w:w="327"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color w:val="000000"/>
              </w:rPr>
            </w:pPr>
            <w:r>
              <w:rPr>
                <w:color w:val="000000"/>
              </w:rPr>
              <w:t> </w:t>
            </w:r>
          </w:p>
        </w:tc>
        <w:tc>
          <w:tcPr>
            <w:tcW w:w="1268"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319"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Registrar</w:t>
            </w:r>
          </w:p>
        </w:tc>
      </w:tr>
    </w:tbl>
    <w:p>
      <w:pPr>
        <w:pStyle w:val="TextBody"/>
        <w:spacing w:before="0" w:after="0"/>
        <w:jc w:val="center"/>
        <w:rPr/>
      </w:pPr>
      <w:r>
        <w:rPr/>
      </w:r>
    </w:p>
    <w:p>
      <w:pPr>
        <w:pStyle w:val="TextBody"/>
        <w:jc w:val="center"/>
        <w:rPr/>
      </w:pPr>
      <w:r>
        <w:rPr/>
      </w:r>
      <w:r>
        <w:br w:type="page"/>
      </w:r>
    </w:p>
    <w:p>
      <w:pPr>
        <w:pStyle w:val="TextBody"/>
        <w:spacing w:before="0" w:after="2"/>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[FORM OF REVERSE SIDE OF SECURITY]</w: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CENTERPOINT ENERGY RESOURCES CORP.</w: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5.40% SENIOR NOTES DUE 2033</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This Security is one of a duly authorized issue of securities of the Company (herein called the “</w:t>
      </w:r>
      <w:r>
        <w:rPr>
          <w:rFonts w:ascii="Times New Roman;sans-serif" w:hAnsi="Times New Roman;sans-serif"/>
          <w:b w:val="false"/>
          <w:color w:val="000000"/>
          <w:sz w:val="24"/>
          <w:u w:val="single"/>
        </w:rPr>
        <w:t>Securities</w:t>
      </w:r>
      <w:r>
        <w:rPr>
          <w:color w:val="000000"/>
        </w:rPr>
        <w:t>”</w:t>
      </w:r>
      <w:r>
        <w:rPr>
          <w:rFonts w:ascii="Times New Roman;sans-serif" w:hAnsi="Times New Roman;sans-serif"/>
          <w:b w:val="false"/>
          <w:color w:val="000000"/>
          <w:sz w:val="24"/>
        </w:rPr>
        <w:t>), issued and to be issued in one or more series under an Indenture, dated as of February 1, 1998</w:t>
      </w:r>
      <w:r>
        <w:rPr>
          <w:rFonts w:ascii="Calibri;sans-serif" w:hAnsi="Calibri;sans-serif"/>
          <w:b w:val="false"/>
          <w:color w:val="000000"/>
          <w:sz w:val="22"/>
        </w:rPr>
        <w:t xml:space="preserve">, </w:t>
      </w:r>
      <w:r>
        <w:rPr>
          <w:rFonts w:ascii="Times New Roman;sans-serif" w:hAnsi="Times New Roman;sans-serif"/>
          <w:b w:val="false"/>
          <w:color w:val="000000"/>
          <w:sz w:val="24"/>
        </w:rPr>
        <w:t>as previously supplemented and amended including by the Supplemental Indenture No. 23, dated as of February 23, 2023 (collectively herein called the “</w:t>
      </w:r>
      <w:r>
        <w:rPr>
          <w:rFonts w:ascii="Times New Roman;sans-serif" w:hAnsi="Times New Roman;sans-serif"/>
          <w:b w:val="false"/>
          <w:color w:val="000000"/>
          <w:sz w:val="24"/>
          <w:u w:val="single"/>
        </w:rPr>
        <w:t>Indenture</w:t>
      </w:r>
      <w:r>
        <w:rPr>
          <w:rFonts w:ascii="Times New Roman;sans-serif" w:hAnsi="Times New Roman;sans-serif"/>
          <w:b w:val="false"/>
          <w:color w:val="000000"/>
          <w:sz w:val="24"/>
        </w:rPr>
        <w:t>,” which term shall have the meaning assigned to it in such instrument), between the Company and The Bank of New York Mellon Trust Company, N.A. (successor to JPMorgan Chase Bank, National Association (formerly Chase Bank of Texas, National Association)), as Trustee (herein called the “</w:t>
      </w:r>
      <w:r>
        <w:rPr>
          <w:rFonts w:ascii="Times New Roman;sans-serif" w:hAnsi="Times New Roman;sans-serif"/>
          <w:b w:val="false"/>
          <w:color w:val="000000"/>
          <w:sz w:val="24"/>
          <w:u w:val="single"/>
        </w:rPr>
        <w:t>Trustee</w:t>
      </w:r>
      <w:r>
        <w:rPr>
          <w:rFonts w:ascii="Times New Roman;sans-serif" w:hAnsi="Times New Roman;sans-serif"/>
          <w:b w:val="false"/>
          <w:color w:val="000000"/>
          <w:sz w:val="24"/>
        </w:rPr>
        <w:t xml:space="preserv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$600,000,000;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the authorized aggregate principal amount of the Securities may be increased above such amount by a Board Resolution to such effect.</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Prior to December 1, 2032 (the “</w:t>
      </w:r>
      <w:r>
        <w:rPr>
          <w:rFonts w:ascii="Times New Roman;sans-serif" w:hAnsi="Times New Roman;sans-serif"/>
          <w:b w:val="false"/>
          <w:color w:val="000000"/>
          <w:sz w:val="24"/>
          <w:u w:val="single"/>
        </w:rPr>
        <w:t>Par Call Date</w:t>
      </w:r>
      <w:r>
        <w:rPr>
          <w:color w:val="000000"/>
        </w:rPr>
        <w:t>”</w:t>
      </w:r>
      <w:r>
        <w:rPr>
          <w:rFonts w:ascii="Times New Roman;sans-serif" w:hAnsi="Times New Roman;sans-serif"/>
          <w:b w:val="false"/>
          <w:color w:val="000000"/>
          <w:sz w:val="24"/>
        </w:rPr>
        <w:t xml:space="preserve">), the Company may redeem this Security at its option, in whole or in part, at any time and from time to time, at a redemption price (expressed as a percentage of principal amount and rounded to three decimal places) equal to the greater of: (1)(a) the sum of the present values of the remaining scheduled payments of principal and interest thereon discounted to the Redemption Date (assuming this Security, or such portion to be redeemed, matured on the Par Call Date) on a semi-annual basis (assuming a 360-day year consisting of twelve 30-day months) at the Treasury Rate plus 25 basis points less (b) interest accrued to the date of redemption, and (2) 100% of the principal amount of this Security to be redeemed; plus, in each case, accrued and unpaid interest thereon to, but excluding, the Redemption Date.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On or after the Par Call Date, the Company may redeem this Security, in whole or in part, at any time and from time to time, at a redemption price equal to 100% of the principal amount of this Security (or such portion to be redeemed) plus accrued and unpaid interest on the principal amount being redeemed, if any, to, but excluding, the Redemption Date. The Trustee shall have no responsibility for the calculation of such amount.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val="false"/>
          <w:color w:val="000000"/>
          <w:sz w:val="24"/>
          <w:u w:val="single"/>
        </w:rPr>
        <w:t>Treasury Rate</w:t>
      </w:r>
      <w:r>
        <w:rPr>
          <w:color w:val="000000"/>
        </w:rPr>
        <w:t xml:space="preserve">” </w:t>
      </w:r>
      <w:r>
        <w:rPr>
          <w:rFonts w:ascii="Times New Roman;sans-serif" w:hAnsi="Times New Roman;sans-serif"/>
          <w:b w:val="false"/>
          <w:color w:val="000000"/>
          <w:sz w:val="24"/>
        </w:rPr>
        <w:t>means, with respect to any Redemption Date, the yield determined by the Company in accordance with the following two paragraphs.</w:t>
      </w:r>
    </w:p>
    <w:p>
      <w:pPr>
        <w:pStyle w:val="TextBody"/>
        <w:spacing w:before="0" w:after="0"/>
        <w:ind w:left="0" w:right="0" w:firstLine="720"/>
        <w:jc w:val="both"/>
        <w:rPr/>
      </w:pPr>
      <w:r>
        <w:rPr/>
      </w:r>
    </w:p>
    <w:p>
      <w:pPr>
        <w:pStyle w:val="TextBody"/>
        <w:spacing w:lineRule="auto" w:line="240"/>
        <w:ind w:left="0" w:right="0" w:firstLine="720"/>
        <w:jc w:val="both"/>
        <w:rPr/>
      </w:pPr>
      <w:r>
        <w:rPr>
          <w:rFonts w:ascii="Times New Roman;sans-serif" w:hAnsi="Times New Roman;sans-serif"/>
          <w:b w:val="false"/>
          <w:color w:val="000000"/>
          <w:sz w:val="24"/>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sans-serif" w:hAnsi="Times New Roman;sans-serif"/>
          <w:b w:val="false"/>
          <w:color w:val="000000"/>
          <w:sz w:val="24"/>
          <w:u w:val="single"/>
        </w:rPr>
        <w:t>H.15</w:t>
      </w:r>
      <w:r>
        <w:rPr>
          <w:color w:val="000000"/>
        </w:rPr>
        <w:t>”</w:t>
      </w:r>
      <w:r>
        <w:rPr>
          <w:rFonts w:ascii="Times New Roman;sans-serif" w:hAnsi="Times New Roman;sans-serif"/>
          <w:b w:val="false"/>
          <w:color w:val="000000"/>
          <w:sz w:val="24"/>
        </w:rPr>
        <w:t>) under the caption “U.S. government securities–Treasury constant maturities–Nominal” (or any successor caption or heading) (“</w:t>
      </w:r>
      <w:r>
        <w:rPr>
          <w:rFonts w:ascii="Times New Roman;sans-serif" w:hAnsi="Times New Roman;sans-serif"/>
          <w:b w:val="false"/>
          <w:color w:val="000000"/>
          <w:sz w:val="24"/>
          <w:u w:val="single"/>
        </w:rPr>
        <w:t>H.15 TCM</w:t>
      </w:r>
      <w:r>
        <w:rPr>
          <w:color w:val="000000"/>
        </w:rPr>
        <w:t>”</w:t>
      </w:r>
      <w:r>
        <w:rPr>
          <w:rFonts w:ascii="Times New Roman;sans-serif" w:hAnsi="Times New Roman;sans-serif"/>
          <w:b w:val="false"/>
          <w:color w:val="000000"/>
          <w:sz w:val="24"/>
        </w:rPr>
        <w:t>). In determining the Treasury Rate, the Company shall select, as applicable: (1) the yield for the Treasury constant maturity on H.15 exactly equal to the period from the Redemption Date to the Par Call Date (the “</w:t>
      </w:r>
      <w:r>
        <w:rPr>
          <w:rFonts w:ascii="Times New Roman;sans-serif" w:hAnsi="Times New Roman;sans-serif"/>
          <w:b w:val="false"/>
          <w:color w:val="000000"/>
          <w:sz w:val="24"/>
          <w:u w:val="single"/>
        </w:rPr>
        <w:t>Remaining Life</w:t>
      </w:r>
      <w:r>
        <w:rPr>
          <w:color w:val="000000"/>
        </w:rPr>
        <w:t>”</w:t>
      </w:r>
      <w:r>
        <w:rPr>
          <w:rFonts w:ascii="Times New Roman;sans-serif" w:hAnsi="Times New Roman;sans-serif"/>
          <w:b w:val="false"/>
          <w:color w:val="000000"/>
          <w:sz w:val="24"/>
        </w:rPr>
        <w:t xml:space="preserve">); or (2) if there is no such Treasury constant maturity on H.15 exactly equal to the Remaining Life, the two yields – one yield corresponding to the </w:t>
      </w:r>
      <w:r>
        <w:br w:type="page"/>
      </w:r>
    </w:p>
    <w:p>
      <w:pPr>
        <w:pStyle w:val="TextBody"/>
        <w:spacing w:before="0" w:after="2"/>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Company’s actions and determinations in determining the redemption price shall be conclusive and binding for all purposes, absent manifest error. The Trustee shall have no responsibility for the calculation of such amount.</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of redemption of this Security in part only, a new Security or Securities of this series and of like tenor for the unredeemed portion hereof will be issued in the name of the Holder hereof upon the cancellation hereof.</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Securities of this series are not entitled to the benefit of any sinking fund.</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Indenture contains provisions for satisfaction and discharge of the entire indebtedness of this Security upon compliance by the Company with certain conditions set forth in the Indenture.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 Event of Default with respect to Securities of this series shall occur and be continuing, the principal of the Securities of this series may be declared due and payable in the manner and with the effect provided in the Indenture.</w:t>
      </w:r>
    </w:p>
    <w:p>
      <w:pPr>
        <w:pStyle w:val="TextBody"/>
        <w:spacing w:lineRule="auto" w:line="240" w:before="0" w:after="0"/>
        <w:jc w:val="both"/>
        <w:rPr>
          <w:color w:val="000000"/>
        </w:rPr>
      </w:pPr>
      <w:r>
        <w:rPr>
          <w:color w:val="000000"/>
        </w:rPr>
        <w:t> </w:t>
      </w:r>
    </w:p>
    <w:p>
      <w:pPr>
        <w:pStyle w:val="TextBody"/>
        <w:spacing w:lineRule="auto" w:line="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Indenture permits, with certain exceptions as therein provided, the amendment thereof and the modification of the rights and obligations of the Company and the rights of the </w:t>
      </w:r>
      <w:r>
        <w:br w:type="page"/>
      </w:r>
    </w:p>
    <w:p>
      <w:pPr>
        <w:pStyle w:val="TextBody"/>
        <w:spacing w:before="0" w:after="2"/>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spacing w:before="0" w:after="0"/>
        <w:ind w:left="0" w:right="0" w:firstLine="720"/>
        <w:jc w:val="both"/>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33%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No service charge shall be made for any such registration of transfer or exchange, but the Company may require payment of a sum sufficient to cover any tax or other governmental charge payable in connection therewith.</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pStyle w:val="TextBody"/>
        <w:spacing w:lineRule="auto" w:line="240" w:before="0" w:after="0"/>
        <w:jc w:val="both"/>
        <w:rPr>
          <w:color w:val="000000"/>
        </w:rPr>
      </w:pPr>
      <w:r>
        <w:rPr>
          <w:color w:val="000000"/>
        </w:rPr>
        <w:t> </w:t>
      </w:r>
    </w:p>
    <w:p>
      <w:pPr>
        <w:pStyle w:val="TextBody"/>
        <w:spacing w:lineRule="auto" w:line="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Securities of this series are issuable only in registered form without coupons in minimum denominations of $2,000 principal amount and integral multiples of $1,000 principal amount in excess thereof.  As provided in the Indenture and subject to certain limitations therein set forth, Securities of this series are exchangeable for a like aggregate principal amount of </w:t>
      </w:r>
      <w:r>
        <w:br w:type="page"/>
      </w:r>
    </w:p>
    <w:p>
      <w:pPr>
        <w:pStyle w:val="TextBody"/>
        <w:spacing w:before="0" w:after="2"/>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Securities of this series and of like tenor of a different authorized denomination, as requested by the Holder surrendering the same.</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terms used in this Security which are defined in the Indenture shall have the meanings assigned to them in the Indenture.</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INDENTURE AND THIS SECURITY SHALL BE GOVERNED BY AND CONSTRUED IN ACCORDANCE WITH THE LAWS OF THE STATE OF NEW YORK.</w:t>
      </w:r>
    </w:p>
    <w:p>
      <w:pPr>
        <w:pStyle w:val="TextBody"/>
        <w:spacing w:before="0" w:after="0"/>
        <w:ind w:left="0" w:right="0" w:firstLine="720"/>
        <w:jc w:val="both"/>
        <w:rPr/>
      </w:pPr>
      <w:r>
        <w:rPr/>
      </w:r>
    </w:p>
    <w:p>
      <w:pPr>
        <w:pStyle w:val="TextBody"/>
        <w:ind w:left="0" w:right="0" w:firstLine="72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4.11</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CENTERPOINT ENERGY HOUSTON ELECTRIC, LLC</w:t>
        <w:br/>
        <w:br/>
        <w:t>OFFICER’S CERTIFICATE</w:t>
      </w:r>
    </w:p>
    <w:p>
      <w:pPr>
        <w:pStyle w:val="TextBody"/>
        <w:spacing w:before="0" w:after="0"/>
        <w:jc w:val="center"/>
        <w:rPr/>
      </w:pPr>
      <w:r>
        <w:rPr/>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March 23, 2023</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undersigned officer of CenterPoint Energy Houston Electric, LLC, a Texas limited liability company (the “Company”), do hereby certify that I am an Authorized Officer of the Company as such term is defined in the Indenture (as defined herein). I am delivering this certificate pursuant to the authority granted in the Resolutions adopted by written consent of the sole Manager of the Company dated February 28, 2023, and Sections 105, 201, 301, 401(1), 401(5) and 1403 of the General Mortgage Indenture, dated as of October 10, 2002, as heretofore supplemented to the date hereof (as heretofore supplemented, the “Indenture”), between the Company and The Bank of New York Mellon Trust Company, National Association (successor in trust to JPMorgan Chase Bank), as Trustee (the “Trustee”). Terms used herein and not otherwise defined herein shall have the meanings assigned to them in the Indenture, unless the context clearly requires otherwise. Based upon the foregoing, I hereby certify on behalf of the Company as follows:</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    The terms and conditions of the Securities of the series described in this Officer’s Certificate are as follows (the numbered subdivisions set forth in this Paragraph 1 corresponding to the numbered subdivisions of Section 301 of the Indenture):</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(1)    The Securities of the thirty-seventh series to be issued under the Indenture shall be designated as the “4.95% General Mortgage Bonds, Series AK, due 2033” (the “Series AK Mortgage Bonds”), as set forth in the Thirty-Third Supplemental Indenture, dated as of the date hereof, between the Company and the Trustee. The Securities of the thirty-eighth series to be issued under the Indenture shall be designated as the “5.30% General Mortgage Bonds, Series AL, due 2053” (the “Series AL Mortgage Bonds” and together with the Series AK Mortgage Bonds, the “Bonds”), as set forth in the Thirty-Third Supplemental Indenture, dated as of the date hereof, between the Company and the Trustee.</w:t>
      </w:r>
    </w:p>
    <w:p>
      <w:pPr>
        <w:pStyle w:val="TextBody"/>
        <w:spacing w:lineRule="auto" w:line="240" w:before="0" w:after="120"/>
        <w:jc w:val="both"/>
        <w:rPr/>
      </w:pPr>
      <w:r>
        <w:rPr>
          <w:rFonts w:ascii="Times New Roman;sans-serif" w:hAnsi="Times New Roman;sans-serif"/>
          <w:b w:val="false"/>
          <w:color w:val="000000"/>
          <w:sz w:val="24"/>
        </w:rPr>
        <w:t xml:space="preserve">(2)    The Trustee shall authenticate and deliver the Series AK Mortgage Bonds and Series AL Mortgage Bonds for original issue on March 23, 2023 (the “Issue Date”) in the aggregate principal amount of $600,000,000 and $300,000,000, respectively, upon a Company Order for the authentication and delivery thereof and satisfaction of Section 401 of the Indenture; </w:t>
      </w:r>
      <w:r>
        <w:rPr>
          <w:rFonts w:ascii="Times New Roman;sans-serif" w:hAnsi="Times New Roman;sans-serif"/>
          <w:b w:val="false"/>
          <w:color w:val="000000"/>
          <w:sz w:val="24"/>
          <w:highlight w:val="white"/>
        </w:rPr>
        <w:t>provided, however, that, as contemplated in the second paragraph of Section 301 of the Indenture and the definition of “Tranche” in Section 101 of the Indenture, additional Securities of a series or Tranche may be subsequently issued from time to time, without any consent of Holders of the Securities of such series, pursuant to Section 1401(4) of the Indenture</w:t>
      </w:r>
      <w:r>
        <w:rPr>
          <w:rFonts w:ascii="Times New Roman;sans-serif" w:hAnsi="Times New Roman;sans-serif"/>
          <w:b w:val="false"/>
          <w:color w:val="000000"/>
          <w:sz w:val="24"/>
        </w:rPr>
        <w:t>.</w:t>
      </w:r>
    </w:p>
    <w:p>
      <w:pPr>
        <w:pStyle w:val="TextBody"/>
        <w:spacing w:lineRule="auto" w:line="240" w:before="0" w:after="120"/>
        <w:jc w:val="both"/>
        <w:rPr/>
      </w:pPr>
      <w:r>
        <w:rPr>
          <w:rFonts w:ascii="Times New Roman;sans-serif" w:hAnsi="Times New Roman;sans-serif"/>
          <w:b w:val="false"/>
          <w:color w:val="000000"/>
          <w:sz w:val="24"/>
        </w:rPr>
        <w:t xml:space="preserve">(3)    Interest on the Bonds shall be payable to the Persons in whose names such Securities are registered at the close of business on the Regular Record Date for such interest (as specified in (5) below), except as otherwise expressly provided in the form of such Securities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The Series AK Mortgage Bonds shall mature and the principal thereof shall be due and payable together with all accrued and unpaid interest thereon on April 1, 2033. The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Series AL Mortgage Bonds shall mature and the principal thereof shall be due and payable together with all accrued and unpaid interest thereon on April 1, 2053.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(5)    The Series AK Mortgage Bonds shall bear interest at the rate of 4.95% per annum. The Series AL Mortgage Bonds shall bear interest at the rate of 5.30% per annum. Interest shall accrue on the Bonds from the Issue Date, or the most recent date to which interest has been paid or duly provided for. The Interest Payment Dates for the Bonds shall be April 1 and October 1 in each year commencing October 1, 2023, and the Regular Record Dates with respect to the Interest Payment Dates for the Bonds shall be the March 15 and September 15, respectively, immediately preceding each Interest Payment Date (whether or not a Business Day); provided however that interest payable at maturity, upon redemption or when principal is otherwise due will be payable to the Holder to whom principal is payable.</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(6)    The Corporate Trust Office of The Bank of New York Mellon Trust Company, National Association in New York, New York shall be the place at which (i) the principal of and premium, if any, and interest on the Bonds shall be payable, (ii) registration of transfer of the Bonds may be effected, (iii) exchanges of the Bonds may be effected, and (iv) notices and demands to or upon the Company in respect of the Bonds and the Indenture may be served; and The Bank of New York Mellon Trust Company, National Association shall be the Security Registrar and Paying Agent for the Bonds; provided, however, that the Company reserves the right to change, by one or more Officer’s Certificates, any such place or the Security Registrar; and provided, further, that the Company reserves the right to designate, by one or more Officer’s Certificates, its principal office in Houston, Texas as any such place or itself as the Security Registrar; provided, however, that there shall be only a single Security Registrar for each series of Bonds.</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(7)    Prior to January 1, 2033, in the case of the Series AK Mortgage Bonds (the “Series AK Par Call Date”), or October 1, 2052, in the case of the Series AL Mortgage Bonds (the “Series AL Par Call Date”; the Series AK Par Call Date and the Series AL Par Call Date are each a “Par Call Date”), the Company may redeem the Series AK Mortgage Bonds or the Series AL Mortgage Bonds, respectively, in whole or in part, at any time and from time to time, at a redemption price (expressed as a percentage of principal amount and rounded to three decimal places) equal to the greater of:</w:t>
      </w:r>
    </w:p>
    <w:p>
      <w:pPr>
        <w:pStyle w:val="TextBody"/>
        <w:spacing w:lineRule="auto" w:line="240" w:before="0" w:after="120"/>
        <w:ind w:left="0" w:right="0" w:hanging="360"/>
        <w:jc w:val="both"/>
        <w:rPr/>
      </w:pPr>
      <w:r>
        <w:rPr>
          <w:color w:val="000000"/>
        </w:rPr>
        <w:t>•</w:t>
      </w:r>
      <w:r>
        <w:rPr>
          <w:rFonts w:ascii="Times New Roman;sans-serif" w:hAnsi="Times New Roman;sans-serif"/>
          <w:b w:val="false"/>
          <w:color w:val="000000"/>
          <w:sz w:val="24"/>
        </w:rPr>
        <w:t xml:space="preserve">(1)(a) the sum of the present values of the remaining scheduled payments of principal and interest on the Bonds of such series to be redeemed discounted to the Redemption Date (assuming the Bonds to be redeemed matured on the applicable Par Call Date) on a semi-annual basis (assuming a 360-day year consisting of twelve 30-day months) at the Treasury Rate plus 25 basis points in the case of the Series AK Mortgage Bonds and 25 basis points in the case of the Series AL Mortgage Bonds; less (b) interest accrued to the Redemption Date; and </w:t>
      </w:r>
    </w:p>
    <w:p>
      <w:pPr>
        <w:pStyle w:val="TextBody"/>
        <w:spacing w:lineRule="auto" w:line="240" w:before="0" w:after="120"/>
        <w:ind w:left="0" w:right="0" w:hanging="360"/>
        <w:jc w:val="both"/>
        <w:rPr/>
      </w:pPr>
      <w:r>
        <w:rPr>
          <w:color w:val="000000"/>
        </w:rPr>
        <w:t>•</w:t>
      </w:r>
      <w:r>
        <w:rPr>
          <w:rFonts w:ascii="Times New Roman;sans-serif" w:hAnsi="Times New Roman;sans-serif"/>
          <w:b w:val="false"/>
          <w:color w:val="000000"/>
          <w:sz w:val="24"/>
        </w:rPr>
        <w:t>(2) 100% of the principal amount of the Bonds to be redeemed;</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plus, in each case, accrued and unpaid interest thereon to, but excluding, the Redemption Date.</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On or after the Series AK Par Call Date, in the case of the Series AK Mortgage Bonds, or the Series AL Par Call Date, in the case of the Series AL Mortgage Bonds, the Company may redeem the Series AK Mortgage Bonds or the Series AL Mortgage Bonds, respectively, in whole or in part, at any time and from time to time, at a redemption price equal to 100% of the principal amount of Bonds being redeemed plus, in each case, accrued and unpaid interest thereon to, but excluding, the Redemption Date.</w:t>
      </w:r>
    </w:p>
    <w:p>
      <w:pPr>
        <w:pStyle w:val="TextBody"/>
        <w:spacing w:lineRule="auto" w:line="240" w:before="0" w:after="120"/>
        <w:ind w:left="0" w:right="0" w:firstLine="720"/>
        <w:jc w:val="both"/>
        <w:rPr>
          <w:color w:val="000000"/>
        </w:rPr>
      </w:pPr>
      <w:r>
        <w:rPr>
          <w:color w:val="000000"/>
        </w:rPr>
        <w:t>“</w:t>
      </w:r>
      <w:r>
        <w:rPr>
          <w:rFonts w:ascii="Times New Roman;sans-serif" w:hAnsi="Times New Roman;sans-serif"/>
          <w:b w:val="false"/>
          <w:color w:val="000000"/>
          <w:sz w:val="24"/>
        </w:rPr>
        <w:t>Treasury Rate” means, with respect to any Redemption Date, the yield determined by the Company in accordance with the following two paragraphs.</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Treasury Rate shall be determined by the Company after 4:15 p.m., New York City time (or after such time as yields on U.S. government securities are posted </w:t>
      </w:r>
      <w:r>
        <w:br w:type="page"/>
      </w:r>
    </w:p>
    <w:p>
      <w:pPr>
        <w:pStyle w:val="TextBody"/>
        <w:spacing w:before="0" w:after="0"/>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50520"/>
                <wp:effectExtent l="0" t="0" r="0" b="0"/>
                <wp:wrapNone/>
                <wp:docPr id="122" name="Frame12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Company’s actions and determinations in determining the redemption price shall be conclusive and binding for all purposes, absent manifest error.</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Trustee, at the written direction of the Company, will send a notice of redemption to each holder of Bonds to be redeemed by first-class mail (or in accordance with the procedures of The Depository Trust Company with respect to Bonds registered in the name of Cede &amp; Co.) at least 10 and not more than 60 days prior to the date fixed for redemption. Unless the Company defaults on payment of the redemption price, interest will cease to accrue on the Bonds or portions thereof called for redemption on the Redemption Date. If fewer than all of the Bonds of a series are to be redeemed, not more </w:t>
      </w:r>
      <w:r>
        <w:br w:type="page"/>
      </w:r>
    </w:p>
    <w:p>
      <w:pPr>
        <w:pStyle w:val="TextBody"/>
        <w:spacing w:before="0" w:after="0"/>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50520"/>
                <wp:effectExtent l="0" t="0" r="0" b="0"/>
                <wp:wrapNone/>
                <wp:docPr id="123" name="Frame12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than 60 days prior to the Redemption Date, the particular Bonds of that series or portions thereof called for redemption will be selected from the outstanding Bonds of that series not previously called by lot by the Trustee. The Trustee may select for redemption Bonds and portions of Bonds in amounts of $2,000 or whole multiples of $1,000. In the case of a partial redemption of Bonds registered in the name of Cede &amp; Co., the Bonds to be redeemed will be determined in accordance with the procedures of The Depository Trust Company.</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(8)    Not applicable.</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(9)    The Bonds will be issued in minimum denominations of $2,000 and integral multiples of $1,000 in excess thereof.</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(10)    Not applicable.</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(11)    Not applicable.</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(12)    Not applicable.</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(13)    See subsection (7) above.</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(14)    Not applicable.</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(15)    Not applicable.</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(16)    Not applicable.</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(17)    The Bonds shall be issuable in whole or in part in the form of one or more Global Securities (as defined below). The Depository Trust Company shall initially serve as Depositary (as defined below) with respect to the Global Securities. “Depositary” means, with respect to Securities of any series issuable in whole or in part in the form of one or more Global Securities, a clearing agency registered under the Exchange Act that is designated to act as depositary for such Securities. “Global Security” means a Security that evidences all or part of the Securities of a series and bears a legend in substantially the following form:</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provisions of Clauses (1), (2), (3) and (4) below shall apply only to Global Securities:</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Each Global Security authenticated under the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the Indenture.</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Notwithstanding any other provision in the Indenture, no Global Security may be exchanged in whole or in part for Securities registered, and no transfer of a Global Security in whole or in part may be registered, in the name of any Person other than the Depositary for such Global Security or a nominee thereof unless (A) the Company has notified the Trustee that the Depositary is unwilling or unable to continue as Depositary for such Global Security, the Depositary defaults in the performance of its duties as </w:t>
      </w:r>
      <w:r>
        <w:br w:type="page"/>
      </w:r>
    </w:p>
    <w:p>
      <w:pPr>
        <w:pStyle w:val="TextBody"/>
        <w:spacing w:before="0" w:after="0"/>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50520"/>
                <wp:effectExtent l="0" t="0" r="0" b="0"/>
                <wp:wrapNone/>
                <wp:docPr id="124" name="Frame12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Depositary, or the Depositary has ceased to be a clearing agency registered under the Exchange Act, in each case, unless the Company has approved a successor Depositary within 90 days, (B) the Company in its sole discretion determines that such Global Security will be so exchangeable or transferable or (C) there shall exist such circumstances, if any, in addition to or in lieu of the foregoing as have been specified for this purpose as contemplated by the Indenture.</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 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pStyle w:val="TextBody"/>
        <w:spacing w:lineRule="auto" w:line="240"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(4) Every Security authenticated and delivered upon registration of transfer of, or in exchange for or in lieu of, a Global Security or any portion thereof, whether pursuant to Sections 304, 305, 306, 507 or 1406 of the Indenture or otherwise, shall be authenticated and delivered in the form of, and shall be, a Global Security, unless such Security is registered in the name of a Person other than the Depositary for such Global Security or a nominee thereof.</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(18)    Not applicable.</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(19)    Not applicable.</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(20)    For purposes of the Bonds, “Business Day” shall mean any day, other than Saturday or Sunday, on which commercial banks and foreign exchange markets are open for business, including dealings in deposits in U.S. dollars, in New York, New York.</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(21)    Not applicable.</w:t>
      </w:r>
    </w:p>
    <w:p>
      <w:pPr>
        <w:pStyle w:val="TextBody"/>
        <w:spacing w:lineRule="auto" w:line="240" w:before="0" w:after="120"/>
        <w:jc w:val="both"/>
        <w:rPr/>
      </w:pPr>
      <w:r>
        <w:rPr>
          <w:rFonts w:ascii="Times New Roman;sans-serif" w:hAnsi="Times New Roman;sans-serif"/>
          <w:b w:val="false"/>
          <w:color w:val="000000"/>
          <w:sz w:val="24"/>
        </w:rPr>
        <w:t xml:space="preserve">(22)    The Bonds shall have such other terms and provisions as are provided in the forms thereof attached hereto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and shall be issued in substantially such forms.</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2.    The undersigned has read all of the covenants and conditions contained in the Indenture, and the definitions in the Indenture relating thereto, relating to the authentication, delivery and issuance of the Bonds and the execution and delivery of the Thirty-Third Supplemental Indenture and in respect of compliance with which this certificate is made.</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3.    The statements contained in this certificate are based upon the familiarity of the undersigned with the Indenture, the documents accompanying this certificate, and upon discussions by the undersigned with officers and employees of the Company familiar with the matters set forth herein.</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4.    In the opinion of the undersigned, she has made such examination or investigation as is necessary to enable her to express an informed opinion as to whether or not such covenants and conditions have been complied with.</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5.    In the opinion of the undersigned, such conditions and covenants have been complied with.</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6.    To my knowledge, no Event of Default has occurred and is continuing.</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7.    The execution of the Thirty-Third Supplemental Indenture, dated as of the date hereof, between the Company and the Trustee, is authorized or permitted by the Indenture.</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8.    With respect to Section 403(2)(B) of the Indenture, General Mortgage Bonds, Series L2, due 2023, having an aggregate principal amount of $200,000,000 (the “Retired Mortgage Bonds”), have heretofore been authenticated and delivered and as of the date of this certificate, constitute Retired Securities. $200,000,000 aggregate principal amount of such Retired Mortgage Bonds are the basis for the authentication and delivery of $200,000,000 aggregate principal amount of the Series AK Mortgage Bonds.</w:t>
      </w:r>
      <w:r>
        <w:br w:type="page"/>
      </w:r>
    </w:p>
    <w:p>
      <w:pPr>
        <w:pStyle w:val="TextBody"/>
        <w:spacing w:before="0" w:after="0"/>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50520"/>
                <wp:effectExtent l="0" t="0" r="0" b="0"/>
                <wp:wrapNone/>
                <wp:docPr id="125" name="Frame12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9.    With respect to Section 402(2)(B) of the Indenture, Property Additions of $5,728,821,544.85 are the basis for authentication and delivery of $400,000,000 aggregate principal amount of the Series AK Mortgage Bonds and $300,000,000 aggregate principal amount of the Series AL Mortgage Bonds.</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10.    The First Mortgage Collateralization Date has not occurred.</w:t>
      </w:r>
    </w:p>
    <w:p>
      <w:pPr>
        <w:pStyle w:val="TextBody"/>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11.    No certificate of an Independent Accountant pursuant to Section 104 of the Indenture is required in connection with the authentication and delivery of the Bonds because (i) the Net Earnings Certificate covers a period different from that required to be covered by annual reports required to be filed by the Company and (ii) an Independent Accountant has provided the Company with a letter addressed to the Company containing the results of procedures on financial information included in the Net Earnings Certificate that are agreed upon by the Authorized Officer signing the Net Earnings Certificate.</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12.     Pursuant to the resolutions adopted by the Sole Manager of the Company by written consent on February 28, 2023, Jacqueline M. Richert, Vice President, Investor Relations &amp; Treasurer, has been named an Authorized Officer, as defined under the Indenture, including for purposes of executing the Net Earnings Certificate.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0520"/>
                <wp:effectExtent l="0" t="0" r="0" b="0"/>
                <wp:wrapNone/>
                <wp:docPr id="126" name="Frame12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undersigned has executed this Officer’s Certificate as of the date first written above.</w:t>
      </w:r>
    </w:p>
    <w:p>
      <w:pPr>
        <w:pStyle w:val="TextBody"/>
        <w:spacing w:lineRule="auto" w:line="240" w:before="0" w:after="0"/>
        <w:rPr/>
      </w:pPr>
      <w:r>
        <w:rPr>
          <w:rFonts w:ascii="Times New Roman;sans-serif" w:hAnsi="Times New Roman;sans-serif"/>
          <w:b w:val="false"/>
          <w:color w:val="000000"/>
          <w:sz w:val="24"/>
        </w:rPr>
        <w:br/>
        <w:br/>
      </w:r>
      <w:r>
        <w:rPr>
          <w:rFonts w:ascii="Times New Roman;sans-serif" w:hAnsi="Times New Roman;sans-serif"/>
          <w:b w:val="false"/>
          <w:color w:val="000000"/>
          <w:sz w:val="24"/>
          <w:u w:val="single"/>
        </w:rPr>
        <w:t>/s/ Jacqueline M. Richert    </w:t>
      </w:r>
      <w:r>
        <w:rPr>
          <w:rFonts w:ascii="Times New Roman;sans-serif" w:hAnsi="Times New Roman;sans-serif"/>
          <w:b w:val="false"/>
          <w:color w:val="000000"/>
          <w:sz w:val="24"/>
        </w:rPr>
        <w:br/>
        <w:t>Jacqueline M. Richert</w:t>
        <w:br/>
        <w:t>Vice President, Investor Relations &amp; Treasurer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Acknowledged and Received as</w:t>
        <w:br/>
        <w:t>of the date first written above</w:t>
        <w:br/>
        <w:br/>
        <w:t>THE BANK OF NEW YORK MELLON TRUST COMPANY,</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NATIONAL ASSOCIATION,</w:t>
      </w:r>
    </w:p>
    <w:p>
      <w:pPr>
        <w:pStyle w:val="TextBody"/>
        <w:spacing w:lineRule="auto" w:line="240" w:before="0" w:after="0"/>
        <w:rPr/>
      </w:pPr>
      <w:r>
        <w:rPr>
          <w:rFonts w:ascii="Times New Roman;sans-serif" w:hAnsi="Times New Roman;sans-serif"/>
          <w:b w:val="false"/>
          <w:color w:val="000000"/>
          <w:sz w:val="24"/>
        </w:rPr>
        <w:t>As Trustee</w:t>
        <w:br/>
        <w:br/>
        <w:br/>
        <w:br/>
      </w:r>
      <w:r>
        <w:rPr>
          <w:rFonts w:ascii="Times New Roman;sans-serif" w:hAnsi="Times New Roman;sans-serif"/>
          <w:b w:val="false"/>
          <w:color w:val="000000"/>
          <w:sz w:val="24"/>
          <w:u w:val="single"/>
        </w:rPr>
        <w:t>/s/ April Bradley    </w:t>
      </w:r>
      <w:r>
        <w:rPr>
          <w:rFonts w:ascii="Times New Roman;sans-serif" w:hAnsi="Times New Roman;sans-serif"/>
          <w:b w:val="false"/>
          <w:color w:val="000000"/>
          <w:sz w:val="24"/>
        </w:rPr>
        <w:br/>
        <w:t>April Bradley</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Vice President</w:t>
      </w:r>
    </w:p>
    <w:p>
      <w:pPr>
        <w:pStyle w:val="TextBody"/>
        <w:spacing w:before="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pPr>
                            <w:r>
                              <w:rPr>
                                <w:color w:val="000000"/>
                              </w:rPr>
                              <w:t>    </w:t>
                            </w:r>
                            <w:r>
                              <w:rPr>
                                <w:rFonts w:ascii="Times New Roman;sans-serif" w:hAnsi="Times New Roman;sans-serif"/>
                                <w:b w:val="false"/>
                                <w:color w:val="000000"/>
                                <w:sz w:val="20"/>
                              </w:rPr>
                              <w:t>Signature Page to Officer’s Certificate Under the Indenture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pPr>
                      <w:r>
                        <w:rPr>
                          <w:color w:val="000000"/>
                        </w:rPr>
                        <w:t>    </w:t>
                      </w:r>
                      <w:r>
                        <w:rPr>
                          <w:rFonts w:ascii="Times New Roman;sans-serif" w:hAnsi="Times New Roman;sans-serif"/>
                          <w:b w:val="false"/>
                          <w:color w:val="000000"/>
                          <w:sz w:val="20"/>
                        </w:rPr>
                        <w:t>Signature Page to Officer’s Certificate Under the Indenture</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br/>
        <w:br/>
        <w:t>FORM OF BONDS</w:t>
      </w:r>
    </w:p>
    <w:p>
      <w:pPr>
        <w:pStyle w:val="TextBody"/>
        <w:spacing w:before="0" w:after="240"/>
        <w:jc w:val="both"/>
        <w:rPr/>
      </w:pPr>
      <w:r>
        <w:rPr/>
      </w:r>
    </w:p>
    <w:p>
      <w:pPr>
        <w:pStyle w:val="TextBody"/>
        <w:spacing w:before="0" w:after="240"/>
        <w:jc w:val="both"/>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Unless this certificate is presented by an authorized representative of The Depository Trust Company, a New York corporation (“DTC”), to CenterPoint Energy Houston Electric, LLC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spacing w:lineRule="auto" w:line="240" w:before="0" w:after="240"/>
        <w:jc w:val="center"/>
        <w:rPr/>
      </w:pPr>
      <w:r>
        <w:rPr>
          <w:rFonts w:ascii="Times New Roman;sans-serif" w:hAnsi="Times New Roman;sans-serif"/>
          <w:b/>
          <w:color w:val="000000"/>
          <w:sz w:val="20"/>
        </w:rPr>
        <w:t>CENTERPOINT ENERGY HOUSTON ELECTRIC, LLC</w:t>
        <w:br/>
      </w:r>
      <w:r>
        <w:rPr>
          <w:rFonts w:ascii="Times New Roman;sans-serif" w:hAnsi="Times New Roman;sans-serif"/>
          <w:b w:val="false"/>
          <w:color w:val="000000"/>
          <w:sz w:val="20"/>
        </w:rPr>
        <w:t>4.95% General Mortgage Bonds, Series AK, due 2033</w:t>
      </w:r>
    </w:p>
    <w:tbl>
      <w:tblPr>
        <w:tblW w:w="10205" w:type="dxa"/>
        <w:jc w:val="left"/>
        <w:tblInd w:w="0" w:type="dxa"/>
        <w:tblCellMar>
          <w:top w:w="28" w:type="dxa"/>
          <w:left w:w="28" w:type="dxa"/>
          <w:bottom w:w="28" w:type="dxa"/>
          <w:right w:w="28" w:type="dxa"/>
        </w:tblCellMar>
      </w:tblPr>
      <w:tblGrid>
        <w:gridCol w:w="658"/>
        <w:gridCol w:w="577"/>
        <w:gridCol w:w="581"/>
        <w:gridCol w:w="2449"/>
        <w:gridCol w:w="2449"/>
        <w:gridCol w:w="3491"/>
      </w:tblGrid>
      <w:tr>
        <w:trPr/>
        <w:tc>
          <w:tcPr>
            <w:tcW w:w="658"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2449" w:type="dxa"/>
            <w:tcBorders/>
            <w:shd w:fill="auto" w:val="clear"/>
            <w:vAlign w:val="center"/>
          </w:tcPr>
          <w:p>
            <w:pPr>
              <w:pStyle w:val="TableContents"/>
              <w:spacing w:before="0" w:after="283"/>
              <w:rPr>
                <w:sz w:val="4"/>
                <w:szCs w:val="4"/>
              </w:rPr>
            </w:pPr>
            <w:r>
              <w:rPr>
                <w:sz w:val="4"/>
                <w:szCs w:val="4"/>
              </w:rPr>
            </w:r>
          </w:p>
        </w:tc>
        <w:tc>
          <w:tcPr>
            <w:tcW w:w="2449" w:type="dxa"/>
            <w:tcBorders/>
            <w:shd w:fill="auto" w:val="clear"/>
            <w:vAlign w:val="center"/>
          </w:tcPr>
          <w:p>
            <w:pPr>
              <w:pStyle w:val="TableContents"/>
              <w:spacing w:before="0" w:after="283"/>
              <w:rPr>
                <w:sz w:val="4"/>
                <w:szCs w:val="4"/>
              </w:rPr>
            </w:pPr>
            <w:r>
              <w:rPr>
                <w:sz w:val="4"/>
                <w:szCs w:val="4"/>
              </w:rPr>
            </w:r>
          </w:p>
        </w:tc>
        <w:tc>
          <w:tcPr>
            <w:tcW w:w="3491" w:type="dxa"/>
            <w:tcBorders/>
            <w:shd w:fill="auto" w:val="clear"/>
            <w:vAlign w:val="center"/>
          </w:tcPr>
          <w:p>
            <w:pPr>
              <w:pStyle w:val="TableContents"/>
              <w:spacing w:before="0" w:after="283"/>
              <w:rPr>
                <w:sz w:val="4"/>
                <w:szCs w:val="4"/>
              </w:rPr>
            </w:pPr>
            <w:r>
              <w:rPr>
                <w:sz w:val="4"/>
                <w:szCs w:val="4"/>
              </w:rPr>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Original Interest Accrual Date: March 23, 2023</w:t>
            </w:r>
          </w:p>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Stated Maturity: April 1, 2033</w:t>
            </w:r>
          </w:p>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4.95%</w:t>
            </w:r>
          </w:p>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Payment Dates: April 1 and October 1</w:t>
            </w:r>
          </w:p>
          <w:p>
            <w:pPr>
              <w:pStyle w:val="TableContents"/>
              <w:spacing w:lineRule="auto" w:line="240" w:before="0" w:after="240"/>
              <w:ind w:left="0" w:right="0" w:hanging="228"/>
              <w:jc w:val="both"/>
              <w:rPr>
                <w:rFonts w:ascii="Times New Roman;sans-serif" w:hAnsi="Times New Roman;sans-serif"/>
                <w:b w:val="false"/>
                <w:color w:val="000000"/>
                <w:sz w:val="20"/>
              </w:rPr>
            </w:pPr>
            <w:r>
              <w:rPr>
                <w:rFonts w:ascii="Times New Roman;sans-serif" w:hAnsi="Times New Roman;sans-serif"/>
                <w:b w:val="false"/>
                <w:color w:val="000000"/>
                <w:sz w:val="20"/>
              </w:rPr>
              <w:t>Regular Record Dates: March 15 and September 15 immediately preceding the respective Interest Payment Date</w:t>
            </w:r>
          </w:p>
        </w:tc>
        <w:tc>
          <w:tcPr>
            <w:tcW w:w="838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88"/>
              <w:jc w:val="both"/>
              <w:rPr>
                <w:rFonts w:ascii="Times New Roman;sans-serif" w:hAnsi="Times New Roman;sans-serif"/>
                <w:b w:val="false"/>
                <w:color w:val="000000"/>
                <w:sz w:val="20"/>
              </w:rPr>
            </w:pPr>
            <w:r>
              <w:rPr>
                <w:rFonts w:ascii="Times New Roman;sans-serif" w:hAnsi="Times New Roman;sans-serif"/>
                <w:b w:val="false"/>
                <w:color w:val="000000"/>
                <w:sz w:val="20"/>
              </w:rPr>
              <w:t>Redeemable: Yes [X] No [ ]</w:t>
            </w:r>
          </w:p>
          <w:p>
            <w:pPr>
              <w:pStyle w:val="TableContents"/>
              <w:spacing w:lineRule="auto" w:line="240" w:before="0" w:after="0"/>
              <w:ind w:left="0" w:right="0" w:hanging="288"/>
              <w:jc w:val="both"/>
              <w:rPr>
                <w:rFonts w:ascii="Times New Roman;sans-serif" w:hAnsi="Times New Roman;sans-serif"/>
                <w:b w:val="false"/>
                <w:color w:val="000000"/>
                <w:sz w:val="20"/>
              </w:rPr>
            </w:pPr>
            <w:r>
              <w:rPr>
                <w:rFonts w:ascii="Times New Roman;sans-serif" w:hAnsi="Times New Roman;sans-serif"/>
                <w:b w:val="false"/>
                <w:color w:val="000000"/>
                <w:sz w:val="20"/>
              </w:rPr>
              <w:t>Redemption Date: At any time.</w:t>
            </w:r>
          </w:p>
          <w:p>
            <w:pPr>
              <w:pStyle w:val="TableContents"/>
              <w:spacing w:lineRule="auto" w:line="240" w:before="0" w:after="240"/>
              <w:ind w:left="0" w:right="0" w:hanging="291"/>
              <w:jc w:val="both"/>
              <w:rPr>
                <w:rFonts w:ascii="Times New Roman;sans-serif" w:hAnsi="Times New Roman;sans-serif"/>
                <w:b w:val="false"/>
                <w:color w:val="000000"/>
                <w:sz w:val="20"/>
              </w:rPr>
            </w:pPr>
            <w:r>
              <w:rPr>
                <w:rFonts w:ascii="Times New Roman;sans-serif" w:hAnsi="Times New Roman;sans-serif"/>
                <w:b w:val="false"/>
                <w:color w:val="000000"/>
                <w:sz w:val="20"/>
              </w:rPr>
              <w:t>Redemption Price: Prior to January 1, 2033 at a redemption price equal to the greater of (i)(a)  the sum of the present values of the remaining scheduled payments of principal and interest on this Security or the portion thereof to be redeemed discounted to the Redemption Date (assuming this Security matured on the Par Call Date) on a semiannual basis at the Treasury Rate plus 25 basis points, less (b) interest accrued to the Redemption Date, and (ii) 100% of the principal amount of this Security (or such portion to be redeemed); plus, in each case, accrued and unpaid interest thereon to, but excluding, the Redemption Date; or on or after January 1, 2033, at a redemption price equal to 100% of the principal amount of this Security or the portion thereof to be redeemed plus accrued and unpaid interest thereon to, but excluding, the Redemption Date.</w:t>
            </w:r>
          </w:p>
        </w:tc>
      </w:tr>
    </w:tbl>
    <w:p>
      <w:pPr>
        <w:pStyle w:val="TextBody"/>
        <w:spacing w:lineRule="auto" w:line="240" w:before="24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This Security is not an Original Issue Discount Security</w:t>
        <w:br/>
        <w:t>within the meaning of the within-mentioned Indenture.</w:t>
        <w:br/>
        <w:t>_____________________________</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Principal Amount    Registered No. T-1</w:t>
        <w:br/>
        <w:t>$500,000,000*    CUSIP  15189X BB3</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 HOUSTON ELECTRIC, LLC, a limited liability company duly organized and existing under the laws of the State of Texas (herein called the “Company,” which term includes any successor under the Indenture referred to below), for value received, hereby promises to pay to </w:t>
      </w:r>
    </w:p>
    <w:p>
      <w:pPr>
        <w:pStyle w:val="TextBody"/>
        <w:spacing w:lineRule="auto" w:line="240" w:before="0" w:after="240"/>
        <w:jc w:val="center"/>
        <w:rPr/>
      </w:pPr>
      <w:r>
        <w:rPr>
          <w:rFonts w:ascii="Times New Roman;sans-serif" w:hAnsi="Times New Roman;sans-serif"/>
          <w:b w:val="false"/>
          <w:color w:val="000000"/>
          <w:sz w:val="20"/>
        </w:rPr>
        <w:t>***CEDE &amp; Co.***</w:t>
      </w:r>
      <w:r>
        <w:rPr/>
        <w:drawing>
          <wp:inline distT="0" distB="63500" distL="0" distR="0">
            <wp:extent cx="1266825" cy="14605"/>
            <wp:effectExtent l="0" t="0" r="0" b="0"/>
            <wp:docPr id="12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 descr=""/>
                    <pic:cNvPicPr>
                      <a:picLocks noChangeAspect="1" noChangeArrowheads="1"/>
                    </pic:cNvPicPr>
                  </pic:nvPicPr>
                  <pic:blipFill>
                    <a:blip r:embed="rId38"/>
                    <a:stretch>
                      <a:fillRect/>
                    </a:stretch>
                  </pic:blipFill>
                  <pic:spPr bwMode="auto">
                    <a:xfrm>
                      <a:off x="0" y="0"/>
                      <a:ext cx="1266825" cy="14605"/>
                    </a:xfrm>
                    <a:prstGeom prst="rect">
                      <a:avLst/>
                    </a:prstGeom>
                  </pic:spPr>
                </pic:pic>
              </a:graphicData>
            </a:graphic>
          </wp:inline>
        </w:drawing>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*Reference is made to Schedule A attached hereto with respect to decreases and increases in the aggregate principal amount of Securities evidenced hereby.</w:t>
      </w:r>
      <w:r>
        <w:br w:type="page"/>
      </w:r>
    </w:p>
    <w:p>
      <w:pPr>
        <w:pStyle w:val="TextBody"/>
        <w:spacing w:before="0" w:after="0"/>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or its registered assigns, the principal sum of FIVE HUNDRED MILLION DOLLARS,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October 1, 2023, and at Maturity, at the Interest Rate per annum specified above, until the principal hereof is paid or duly provided for. The interest so payable, and paid or duly provided for, on any Interest Payment Date shall, as provided in such Indenture, be paid to the Person in whose name this Security (or one or more Predecessor Securities) is registered at the close of business on the Regular Record Date specified above (whether or not a Business Day) next preceding such Interest Payment Date. Notwithstanding the foregoing, interest payable at Maturity shall be paid to the Person to whom principal shall be paid. Except as otherwise provided in said Indenture, any such interest not so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of which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Payment of the principal of and premium, if any, on this Security and interest hereon at Maturity shall be made upon presentation of this Security at the office of the Corporate Trust Administration of The Bank of New York Mellon Trust Company, National Association, located in New York, New York or at such other office or agency as may be designated for such purpose by the Company from time to time. Payment of interest on this Security (other than interest at Maturity) shall be made by check mailed to the address of the Person entitled thereto as such address shall appear in the Security Register, except that if such Person shall be a securities depositary, such payment may be made by such other means in lieu of check, as shall be agreed upon by the Company, the Trustee and such Person. Payment of the principal of and premium, if any, and interest on this Security, as aforesaid, shall be made in such coin or currency of the United States of America as at the time of payment shall be legal tender for the payment of public and private debts.</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Security is one of a duly authorized issue of securities of the Company (herein called the “Securities”), issued and issuable in one or more series under and equally secured by a General Mortgage Indenture, dated as of October 10, 2002, as supplemented and amended (such Indenture as originally executed and delivered and as supplemented or amended from time to time thereafter, together with any constituent instruments establishing the terms of particular Securities, being herein called the “Indenture”), between the Company and The Bank of New York Mellon Trust Company, National Association (successor in trust to JPMorgan Chase Bank), trustee (herein called the “Trustee,” which term includes any successor trustee under the Indenture), to which Indenture and all indentures supplemental thereto reference is hereby made for a description of the property mortgaged, pledged and held in trust, the nature and extent of the security and the respective rights, limitations of rights, duties and immunities of the Company, the Trustee and the Holders of the Securities thereunder and of the terms and conditions upon which the Securities are, and are to be, authenticated and delivered and secured. The acceptance of this Security shall be deemed to constitute the consent and agreement by the Holder hereof to all of the terms and provisions of the Indenture. This Security is one of the series designated above.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any Interest Payment Date, any Redemption Date or the Stated Maturity shall not be a Business Day (as hereinafter defined), payment of the amounts due on this Security on such date may be made on the next succeeding Business Day; and, if such payment is made or duly provided for on such Business Day, no interest shall accrue on such amounts for the period from and after such Interest Payment Date, Redemption Date or Stated Maturity, as the case may be, to such Business Day. Interest will be computed on the basis of a 360-day year of twelve 30-day months.</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Prior to January 1, 2033 (the “Par Call Date”), the Company may redeem this Security, in whole or in part, at any time and from time to time, at a redemption price (expressed as a percentage of principal amount and rounded to three decimal places) equal to the greater of:</w:t>
      </w:r>
    </w:p>
    <w:p>
      <w:pPr>
        <w:pStyle w:val="TextBody"/>
        <w:spacing w:lineRule="auto" w:line="240" w:before="0" w:after="240"/>
        <w:ind w:left="0" w:right="0" w:hanging="360"/>
        <w:jc w:val="both"/>
        <w:rPr/>
      </w:pPr>
      <w:r>
        <w:rPr>
          <w:color w:val="000000"/>
        </w:rPr>
        <w:t>•</w:t>
      </w:r>
      <w:r>
        <w:rPr>
          <w:rFonts w:ascii="Times New Roman;sans-serif" w:hAnsi="Times New Roman;sans-serif"/>
          <w:b w:val="false"/>
          <w:color w:val="000000"/>
          <w:sz w:val="20"/>
        </w:rPr>
        <w:t>(1)(a) the sum of the present values of the remaining scheduled payments of principal and interest on this Security (or such portion to be redeemed) discounted to the Redemption Date (assuming this Security matured on the Par Call Date) on a semi-annual basis (assuming a 360-day year consisting of twelve 30-day months) at the Treasury Rate plus 25 basis points; less (b) interest accrued to the Redemption Date; and</w:t>
      </w:r>
    </w:p>
    <w:p>
      <w:pPr>
        <w:pStyle w:val="TextBody"/>
        <w:spacing w:lineRule="auto" w:line="240" w:before="0" w:after="240"/>
        <w:ind w:left="0" w:right="0" w:hanging="360"/>
        <w:jc w:val="both"/>
        <w:rPr/>
      </w:pPr>
      <w:r>
        <w:rPr>
          <w:color w:val="000000"/>
        </w:rPr>
        <w:t>•</w:t>
      </w:r>
      <w:r>
        <w:rPr>
          <w:rFonts w:ascii="Times New Roman;sans-serif" w:hAnsi="Times New Roman;sans-serif"/>
          <w:b w:val="false"/>
          <w:color w:val="000000"/>
          <w:sz w:val="20"/>
        </w:rPr>
        <w:t xml:space="preserve">(2) 100% of the principal amount of this Security (or such portion to be redeemed); </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plus, in each case, accrued and unpaid interest thereon to, but excluding, the Redemption Date. </w:t>
      </w:r>
      <w:r>
        <w:br w:type="page"/>
      </w:r>
    </w:p>
    <w:p>
      <w:pPr>
        <w:pStyle w:val="TextBody"/>
        <w:spacing w:before="0" w:after="0"/>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On or after the Par Call Date, the Company may redeem this Security, in whole or in part, at any time and from time to time, at a redemption price equal to 100% of the principal amount of this Security (or such portion to be redeemed) plus accrued and unpaid interest thereon to, but excluding, the Redemption Date. The Trustee shall have no responsibility for the calculation of such amount.</w:t>
      </w:r>
    </w:p>
    <w:p>
      <w:pPr>
        <w:pStyle w:val="TextBody"/>
        <w:spacing w:lineRule="auto" w:line="240" w:before="0" w:after="240"/>
        <w:jc w:val="both"/>
        <w:rPr>
          <w:color w:val="000000"/>
        </w:rPr>
      </w:pPr>
      <w:r>
        <w:rPr>
          <w:color w:val="000000"/>
        </w:rPr>
        <w:t>“</w:t>
      </w:r>
      <w:r>
        <w:rPr>
          <w:rFonts w:ascii="Times New Roman;sans-serif" w:hAnsi="Times New Roman;sans-serif"/>
          <w:b w:val="false"/>
          <w:color w:val="000000"/>
          <w:sz w:val="20"/>
        </w:rPr>
        <w:t>Treasury Rate” means, with respect to any Redemption Date, the yield determined by the Company in accordance with the following two paragraphs.</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actions and determinations in determining the redemption price shall be conclusive and binding for all purposes, absent manifest error.</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Trustee, at the written direction of the Company, will send a notice of redemption to each Holder of Securities to be redeemed by first-class mail (or in accordance with the procedures of The Depository Trust Company with respect to Securities registered in the name of Cede &amp; Co.) at least 10 and not more than 60 days prior to the date fixed for redemption. Unless the Company defaults on payment of the redemption price, interest will cease to accrue on the Securities or portions thereof called for redemption on the Redemption Date. If fewer than all of the Securities of this series are to be redeemed, not more than 60 days prior to the Redemption Date, the particular Securities of this series or portions thereof for redemption will be selected from the outstanding Securities of this series not previously called by lot by the Trustee. The Trustee may select for redemption Securities of this series and portions of Securities of this series in amounts of $2,000 or whole multiples of $1,000. In the case of a partial redemption of Securities registered in the name of Cede &amp; Co, the Securities to be redeemed will be determined in accordance with the procedures of The Depository Trust Company.</w:t>
      </w:r>
    </w:p>
    <w:p>
      <w:pPr>
        <w:pStyle w:val="TextBody"/>
        <w:spacing w:lineRule="auto" w:line="240" w:before="0" w:after="240"/>
        <w:jc w:val="both"/>
        <w:rPr/>
      </w:pPr>
      <w:r>
        <w:rPr>
          <w:rFonts w:ascii="Times New Roman;sans-serif" w:hAnsi="Times New Roman;sans-serif"/>
          <w:b w:val="false"/>
          <w:color w:val="000000"/>
          <w:sz w:val="20"/>
        </w:rPr>
        <w:t xml:space="preserve">The Indenture permits, with certain exceptions as therein provided, the Trustee to enter into one or more supplemental indentures for the purpose of adding any provisions to, or changing in any manner or eliminating any of the provisions of, the Indenture with the consent of the Holders of not less than a majority in aggregate principal amount of the Securities of all series then Outstanding under the Indenture, considered as one class;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if there shall be Securities of more than one series Outstanding under the Indenture and if a proposed </w:t>
      </w:r>
      <w:r>
        <w:br w:type="page"/>
      </w:r>
    </w:p>
    <w:p>
      <w:pPr>
        <w:pStyle w:val="TextBody"/>
        <w:spacing w:before="0" w:after="0"/>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0"/>
        </w:rPr>
        <w:t xml:space="preserve">supplemental indenture shall directly affect the rights of the Holders of Securities of one or more, but less than all, of such series, then the consent only of the Holders of a majority in aggregate principal amount of the Outstanding Securities of all series so directly affected, considered as one class, shall be required; and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xml:space="preserve">, that if the Securities of any series shall have been issued in more than one Tranche and if the proposed supplemental indenture shall directly affect the rights of the Holders of Securities of one or more, but less than all, of such Tranches, then the consent only of the Holders of a majority in aggregate principal amount of the Outstanding Securities of all Tranches so directly affected, considered as one class, shall be required; and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that the Indenture permits the Trustee to enter into one or more supplemental indentures for limited purposes without the consent of any Holders of Securities. The Indenture also contains provisions permitting the Holders of a majority in principal amount of the Securities then Outstanding, on behalf of the Holders of all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therefor or in lieu hereof, whether or not notation of such consent or waiver is made upon this Security.</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provided in the Indenture and subject to certain limitations therein set forth, this Security or any portion of the principal amount hereof will be deemed to have been paid for all purposes of the Indenture and to be no longer Outstanding thereunder, and, at the election of the Company, the Company’s entire indebtedness in respect thereof will be satisfied and discharged, if there has been irrevocably deposited with the Trustee or any Paying Agent (other than the Company), in trust, money in an amount which will be sufficient and/or Eligible Obligations, the principal of and interest on which when due, without regard to any reinvestment thereof, will provide moneys which, together with moneys so deposited, will be sufficient to pay when due the principal of and interest on this Security when due.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provided in the Indenture and subject to certain limitations therein set forth, the transfer of this Security is registrable in the Security Register, upon surrender of this Security for registration of transfer at the Corporate Trust Office of The Bank of New York Mellon Trust Company, National Association in New York, New York, or such other office or agency as may be designated by the Company from time to time, duly endorsed by, or accompanied by a written instrument of transfer in form satisfactory to the Company and the Security Registrar duly executed by, the Holder hereof or his attorney duly authorized in writing, and thereupon one or more new Securities of this series of authorized denominations and of like tenor and aggregate principal amount, will be issued to the designated transferee or transferees.</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of this series are issuable only as registered Securities, without coupons, and in minimum denominations of $2,000 and integral multiples of $1,000 in excess thereof. As provided in the Indenture and subject to certain limitations therein set forth, Securities of this series are exchangeable for a like aggregate principal amount of Securities of the same series and Tranche, of any authorized denominations, as requested by the Holder surrendering the same, and of like tenor upon surrender of the Security or Securities to be exchanged at the office of The Bank of New York Mellon Trust Company, National Association in New York, New York, or such other office or agency as may be designated by the Company from time to time.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service charge shall be made for any such registration of transfer or exchange, but the Company may require payment of a sum sufficient to cover any tax or other governmental charge payable in connection therewith.</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Prior to due presentment of this Security for registration of transfer, the Company, the Trustee and any agent of the Company or the Trustee may treat the Person in whose name this Security is registered as the absolute owner hereof for all purposes, whether or not this Security be overdue, and neither the Company, the Trustee nor any such agent shall be affected by notice to the contrary.</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are not entitled to the benefit of any sinking fund.</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used herein, “Business Day” shall mean any day, other than Saturday or Sunday, on which commercial banks and foreign exchange markets are open for business, including dealings in deposits in U.S. dollars, in New York, New York. All other terms used in this Security which are defined in the Indenture shall have the meanings assigned to them in the Indenture.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provided in the Indenture, no recourse shall be had for the payment of the principal of or premium, if any, or interest on any Securities, or any part thereof, or for any claim based thereon or otherwise in respect thereof, or of the indebtedness represented thereby, or upon any obligation, covenant or agreement under the Indenture, against, and no personal liability whatsoever shall attach to, or be incurred by, any incorporator, member, manager, stockholder, officer, director or employee, as such, past, present or future of the Company or of any predecessor or successor corporation (either directly or through the Company or a predecessor or successor corporation), whether by virtue of any constitutional provision, statute or rule of law, or by the enforcement of any assessment or penalty </w:t>
      </w:r>
      <w:r>
        <w:br w:type="page"/>
      </w:r>
    </w:p>
    <w:p>
      <w:pPr>
        <w:pStyle w:val="TextBody"/>
        <w:spacing w:before="0" w:after="0"/>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or otherwise; it being expressly agreed and understood that the Indenture and all the Securities are solely corporate obligations and that any such personal liability is hereby expressly waived and released as a condition of, and as part of the consideration for, the execution of the Indenture and the issuance of the Securities.</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certificate of authentication hereon has been executed by the Trustee or an Authenticating Agent by manual or electronic signature, this Security shall not be entitled to any benefit under the Indenture or be valid or obligatory for any purpose.</w:t>
      </w:r>
    </w:p>
    <w:p>
      <w:pPr>
        <w:pStyle w:val="TextBody"/>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remainder of this page is intentionally left blank.]</w:t>
      </w:r>
    </w:p>
    <w:p>
      <w:pPr>
        <w:pStyle w:val="TextBody"/>
        <w:spacing w:before="0" w:after="240"/>
        <w:ind w:left="0" w:right="0" w:firstLine="144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Company has caused this instrument to be duly executed.</w:t>
      </w:r>
    </w:p>
    <w:tbl>
      <w:tblPr>
        <w:tblW w:w="8655" w:type="dxa"/>
        <w:jc w:val="left"/>
        <w:tblInd w:w="0" w:type="dxa"/>
        <w:tblCellMar>
          <w:top w:w="28" w:type="dxa"/>
          <w:left w:w="28" w:type="dxa"/>
          <w:bottom w:w="28" w:type="dxa"/>
          <w:right w:w="28" w:type="dxa"/>
        </w:tblCellMar>
      </w:tblPr>
      <w:tblGrid>
        <w:gridCol w:w="1321"/>
        <w:gridCol w:w="1162"/>
        <w:gridCol w:w="1162"/>
        <w:gridCol w:w="1466"/>
        <w:gridCol w:w="1466"/>
        <w:gridCol w:w="2078"/>
      </w:tblGrid>
      <w:tr>
        <w:trPr/>
        <w:tc>
          <w:tcPr>
            <w:tcW w:w="1321"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2078"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40"/>
              <w:jc w:val="both"/>
              <w:rPr/>
            </w:pPr>
            <w:r>
              <w:rPr/>
            </w:r>
          </w:p>
          <w:p>
            <w:pPr>
              <w:pStyle w:val="TableContents"/>
              <w:spacing w:lineRule="auto" w:line="240" w:before="0" w:after="240"/>
              <w:ind w:left="0" w:right="0" w:hanging="627"/>
              <w:jc w:val="left"/>
              <w:rPr>
                <w:rFonts w:ascii="Times New Roman;sans-serif" w:hAnsi="Times New Roman;sans-serif"/>
                <w:b w:val="false"/>
                <w:color w:val="000000"/>
                <w:sz w:val="20"/>
              </w:rPr>
            </w:pPr>
            <w:r>
              <w:rPr>
                <w:rFonts w:ascii="Times New Roman;sans-serif" w:hAnsi="Times New Roman;sans-serif"/>
                <w:b w:val="false"/>
                <w:color w:val="000000"/>
                <w:sz w:val="20"/>
              </w:rPr>
              <w:t>Attest: ____________________________</w:t>
              <w:br/>
              <w:t>Vincent A. Mercaldi</w:t>
              <w:br/>
              <w:t>Secretary</w:t>
            </w:r>
          </w:p>
        </w:tc>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91"/>
              <w:jc w:val="both"/>
              <w:rPr>
                <w:rFonts w:ascii="Times New Roman;sans-serif" w:hAnsi="Times New Roman;sans-serif"/>
                <w:b/>
                <w:color w:val="000000"/>
                <w:sz w:val="20"/>
              </w:rPr>
            </w:pPr>
            <w:r>
              <w:rPr>
                <w:rFonts w:ascii="Times New Roman;sans-serif" w:hAnsi="Times New Roman;sans-serif"/>
                <w:b/>
                <w:color w:val="000000"/>
                <w:sz w:val="20"/>
              </w:rPr>
              <w:t>CENTERPOINT ENERGY HOUSTON ELECTRIC, LLC</w:t>
            </w:r>
          </w:p>
          <w:p>
            <w:pPr>
              <w:pStyle w:val="TableContents"/>
              <w:spacing w:lineRule="auto" w:line="240" w:before="0" w:after="240"/>
              <w:ind w:left="0" w:right="0" w:hanging="348"/>
              <w:jc w:val="left"/>
              <w:rPr/>
            </w:pPr>
            <w:r>
              <w:rPr>
                <w:rFonts w:ascii="Times New Roman;sans-serif" w:hAnsi="Times New Roman;sans-serif"/>
                <w:b w:val="false"/>
                <w:color w:val="000000"/>
                <w:sz w:val="20"/>
              </w:rPr>
              <w:t>By:     </w:t>
            </w:r>
            <w:r>
              <w:rPr>
                <w:color w:val="000000"/>
                <w:u w:val="single"/>
              </w:rPr>
              <w:t>    </w:t>
            </w:r>
            <w:r>
              <w:rPr>
                <w:rFonts w:ascii="Times New Roman;sans-serif" w:hAnsi="Times New Roman;sans-serif"/>
                <w:b w:val="false"/>
                <w:color w:val="000000"/>
                <w:sz w:val="20"/>
                <w:u w:val="single"/>
              </w:rPr>
              <w:br/>
            </w:r>
            <w:r>
              <w:rPr>
                <w:rFonts w:ascii="Times New Roman;sans-serif" w:hAnsi="Times New Roman;sans-serif"/>
                <w:b w:val="false"/>
                <w:color w:val="000000"/>
                <w:sz w:val="20"/>
              </w:rPr>
              <w:t xml:space="preserve">Kara Gostenhofer Ryan </w:t>
              <w:br/>
              <w:t>Vice President and Chief Accounting Officer</w:t>
            </w:r>
          </w:p>
        </w:tc>
      </w:tr>
    </w:tbl>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(SEAL)</w: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CERTIFICATE OF AUTHENTICATION</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is one of the Securities of the series designated therein referred to in the within-mentioned Indenture.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Date of Authentication: March 23, 2023</w:t>
      </w:r>
    </w:p>
    <w:p>
      <w:pPr>
        <w:pStyle w:val="TextBody"/>
        <w:spacing w:lineRule="auto" w:line="240" w:before="0" w:after="0"/>
        <w:ind w:left="0" w:right="0" w:hanging="12"/>
        <w:rPr/>
      </w:pPr>
      <w:r>
        <w:rPr>
          <w:rFonts w:ascii="Times New Roman;sans-serif" w:hAnsi="Times New Roman;sans-serif"/>
          <w:b/>
          <w:color w:val="000000"/>
          <w:sz w:val="20"/>
        </w:rPr>
        <w:t>THE BANK OF NEW YORK MELLON TRUST COMPANY, NATIONAL ASSOCIATION</w:t>
      </w:r>
      <w:r>
        <w:rPr>
          <w:rFonts w:ascii="Times New Roman;sans-serif" w:hAnsi="Times New Roman;sans-serif"/>
          <w:b w:val="false"/>
          <w:color w:val="000000"/>
          <w:sz w:val="20"/>
        </w:rPr>
        <w:t>, as Trustee</w:t>
      </w:r>
    </w:p>
    <w:p>
      <w:pPr>
        <w:pStyle w:val="TextBody"/>
        <w:spacing w:before="0" w:after="0"/>
        <w:ind w:left="0" w:right="0" w:hanging="468"/>
        <w:rPr/>
      </w:pPr>
      <w:r>
        <w:rPr/>
      </w:r>
    </w:p>
    <w:p>
      <w:pPr>
        <w:pStyle w:val="TextBody"/>
        <w:spacing w:before="0" w:after="0"/>
        <w:ind w:left="0" w:right="0" w:hanging="468"/>
        <w:rPr/>
      </w:pPr>
      <w:r>
        <w:rPr/>
      </w:r>
    </w:p>
    <w:p>
      <w:pPr>
        <w:pStyle w:val="TextBody"/>
        <w:spacing w:lineRule="auto" w:line="240" w:before="0" w:after="0"/>
        <w:ind w:left="0" w:right="0" w:hanging="468"/>
        <w:rPr/>
      </w:pPr>
      <w:r>
        <w:rPr>
          <w:rFonts w:ascii="Times New Roman;sans-serif" w:hAnsi="Times New Roman;sans-serif"/>
          <w:b w:val="false"/>
          <w:color w:val="000000"/>
          <w:sz w:val="20"/>
        </w:rPr>
        <w:t xml:space="preserve">By: </w:t>
      </w:r>
      <w:r>
        <w:rPr>
          <w:color w:val="000000"/>
          <w:u w:val="single"/>
        </w:rPr>
        <w:t>        </w:t>
      </w:r>
    </w:p>
    <w:p>
      <w:pPr>
        <w:pStyle w:val="TextBody"/>
        <w:spacing w:before="0" w:after="0"/>
        <w:ind w:left="0" w:right="0" w:hanging="468"/>
        <w:rPr/>
      </w:pPr>
      <w:r>
        <w:rPr/>
      </w:r>
    </w:p>
    <w:p>
      <w:pPr>
        <w:pStyle w:val="TextBody"/>
        <w:spacing w:before="0" w:after="0"/>
        <w:ind w:left="0" w:right="0" w:hanging="468"/>
        <w:rPr/>
      </w:pPr>
      <w:r>
        <w:rPr/>
      </w:r>
    </w:p>
    <w:p>
      <w:pPr>
        <w:pStyle w:val="TextBody"/>
        <w:ind w:left="0" w:right="0" w:hanging="468"/>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A</w:t>
      </w:r>
    </w:p>
    <w:p>
      <w:pPr>
        <w:pStyle w:val="TextBody"/>
        <w:spacing w:before="0" w:after="0"/>
        <w:jc w:val="center"/>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 xml:space="preserve">The initial aggregate principal amount of Securities evidenced by the Certificate to which this Schedule is attached is $500,000,000. The notations on the following table evidence decreases and increases in the aggregate principal amount of Securities evidenced by such Certificate. </w:t>
      </w:r>
    </w:p>
    <w:tbl>
      <w:tblPr>
        <w:tblW w:w="9090" w:type="dxa"/>
        <w:jc w:val="left"/>
        <w:tblInd w:w="0" w:type="dxa"/>
        <w:tblCellMar>
          <w:top w:w="28" w:type="dxa"/>
          <w:left w:w="28" w:type="dxa"/>
          <w:bottom w:w="28" w:type="dxa"/>
          <w:right w:w="28" w:type="dxa"/>
        </w:tblCellMar>
      </w:tblPr>
      <w:tblGrid>
        <w:gridCol w:w="384"/>
        <w:gridCol w:w="339"/>
        <w:gridCol w:w="343"/>
        <w:gridCol w:w="109"/>
        <w:gridCol w:w="109"/>
        <w:gridCol w:w="109"/>
        <w:gridCol w:w="639"/>
        <w:gridCol w:w="639"/>
        <w:gridCol w:w="641"/>
        <w:gridCol w:w="109"/>
        <w:gridCol w:w="109"/>
        <w:gridCol w:w="109"/>
        <w:gridCol w:w="619"/>
        <w:gridCol w:w="619"/>
        <w:gridCol w:w="621"/>
        <w:gridCol w:w="109"/>
        <w:gridCol w:w="109"/>
        <w:gridCol w:w="109"/>
        <w:gridCol w:w="604"/>
        <w:gridCol w:w="604"/>
        <w:gridCol w:w="606"/>
        <w:gridCol w:w="109"/>
        <w:gridCol w:w="109"/>
        <w:gridCol w:w="109"/>
        <w:gridCol w:w="329"/>
        <w:gridCol w:w="329"/>
        <w:gridCol w:w="466"/>
      </w:tblGrid>
      <w:tr>
        <w:trPr/>
        <w:tc>
          <w:tcPr>
            <w:tcW w:w="38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Aggregate Principal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 of Securities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Decrease in Aggregate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 in Aggregate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Remaining After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Notation by</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Amount of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Amount of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Such Decrease 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Security</w:t>
            </w:r>
          </w:p>
        </w:tc>
      </w:tr>
      <w:tr>
        <w:trPr/>
        <w:tc>
          <w:tcPr>
            <w:tcW w:w="1066"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Adjustment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19"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59"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14"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4"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Registrar</w:t>
            </w:r>
          </w:p>
        </w:tc>
      </w:tr>
    </w:tbl>
    <w:p>
      <w:pPr>
        <w:pStyle w:val="TextBody"/>
        <w:spacing w:before="0" w:after="0"/>
        <w:jc w:val="center"/>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Unless this certificate is presented by an authorized representative of The Depository Trust Company, a New York corporation (“DTC”), to CenterPoint Energy Houston Electric, LLC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spacing w:lineRule="auto" w:line="240" w:before="0" w:after="240"/>
        <w:jc w:val="center"/>
        <w:rPr/>
      </w:pPr>
      <w:r>
        <w:rPr>
          <w:rFonts w:ascii="Times New Roman;sans-serif" w:hAnsi="Times New Roman;sans-serif"/>
          <w:b/>
          <w:color w:val="000000"/>
          <w:sz w:val="20"/>
        </w:rPr>
        <w:t>CENTERPOINT ENERGY HOUSTON ELECTRIC, LLC</w:t>
        <w:br/>
      </w:r>
      <w:r>
        <w:rPr>
          <w:rFonts w:ascii="Times New Roman;sans-serif" w:hAnsi="Times New Roman;sans-serif"/>
          <w:b w:val="false"/>
          <w:color w:val="000000"/>
          <w:sz w:val="20"/>
        </w:rPr>
        <w:t>4.95% General Mortgage Bonds, Series AK, due 2033</w:t>
      </w:r>
    </w:p>
    <w:tbl>
      <w:tblPr>
        <w:tblW w:w="10205" w:type="dxa"/>
        <w:jc w:val="left"/>
        <w:tblInd w:w="0" w:type="dxa"/>
        <w:tblCellMar>
          <w:top w:w="28" w:type="dxa"/>
          <w:left w:w="28" w:type="dxa"/>
          <w:bottom w:w="28" w:type="dxa"/>
          <w:right w:w="28" w:type="dxa"/>
        </w:tblCellMar>
      </w:tblPr>
      <w:tblGrid>
        <w:gridCol w:w="658"/>
        <w:gridCol w:w="577"/>
        <w:gridCol w:w="581"/>
        <w:gridCol w:w="2449"/>
        <w:gridCol w:w="2449"/>
        <w:gridCol w:w="3491"/>
      </w:tblGrid>
      <w:tr>
        <w:trPr/>
        <w:tc>
          <w:tcPr>
            <w:tcW w:w="658"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2449" w:type="dxa"/>
            <w:tcBorders/>
            <w:shd w:fill="auto" w:val="clear"/>
            <w:vAlign w:val="center"/>
          </w:tcPr>
          <w:p>
            <w:pPr>
              <w:pStyle w:val="TableContents"/>
              <w:spacing w:before="0" w:after="283"/>
              <w:rPr>
                <w:sz w:val="4"/>
                <w:szCs w:val="4"/>
              </w:rPr>
            </w:pPr>
            <w:r>
              <w:rPr>
                <w:sz w:val="4"/>
                <w:szCs w:val="4"/>
              </w:rPr>
            </w:r>
          </w:p>
        </w:tc>
        <w:tc>
          <w:tcPr>
            <w:tcW w:w="2449" w:type="dxa"/>
            <w:tcBorders/>
            <w:shd w:fill="auto" w:val="clear"/>
            <w:vAlign w:val="center"/>
          </w:tcPr>
          <w:p>
            <w:pPr>
              <w:pStyle w:val="TableContents"/>
              <w:spacing w:before="0" w:after="283"/>
              <w:rPr>
                <w:sz w:val="4"/>
                <w:szCs w:val="4"/>
              </w:rPr>
            </w:pPr>
            <w:r>
              <w:rPr>
                <w:sz w:val="4"/>
                <w:szCs w:val="4"/>
              </w:rPr>
            </w:r>
          </w:p>
        </w:tc>
        <w:tc>
          <w:tcPr>
            <w:tcW w:w="3491" w:type="dxa"/>
            <w:tcBorders/>
            <w:shd w:fill="auto" w:val="clear"/>
            <w:vAlign w:val="center"/>
          </w:tcPr>
          <w:p>
            <w:pPr>
              <w:pStyle w:val="TableContents"/>
              <w:spacing w:before="0" w:after="283"/>
              <w:rPr>
                <w:sz w:val="4"/>
                <w:szCs w:val="4"/>
              </w:rPr>
            </w:pPr>
            <w:r>
              <w:rPr>
                <w:sz w:val="4"/>
                <w:szCs w:val="4"/>
              </w:rPr>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Original Interest Accrual Date: March 23, 2023</w:t>
            </w:r>
          </w:p>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Stated Maturity: April 1, 2033</w:t>
            </w:r>
          </w:p>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4.95%</w:t>
            </w:r>
          </w:p>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Payment Dates: April 1 and October 1</w:t>
            </w:r>
          </w:p>
          <w:p>
            <w:pPr>
              <w:pStyle w:val="TableContents"/>
              <w:spacing w:lineRule="auto" w:line="240" w:before="0" w:after="240"/>
              <w:ind w:left="0" w:right="0" w:hanging="228"/>
              <w:jc w:val="both"/>
              <w:rPr>
                <w:rFonts w:ascii="Times New Roman;sans-serif" w:hAnsi="Times New Roman;sans-serif"/>
                <w:b w:val="false"/>
                <w:color w:val="000000"/>
                <w:sz w:val="20"/>
              </w:rPr>
            </w:pPr>
            <w:r>
              <w:rPr>
                <w:rFonts w:ascii="Times New Roman;sans-serif" w:hAnsi="Times New Roman;sans-serif"/>
                <w:b w:val="false"/>
                <w:color w:val="000000"/>
                <w:sz w:val="20"/>
              </w:rPr>
              <w:t>Regular Record Dates: March 15 and September 15 immediately preceding the respective Interest Payment Date</w:t>
            </w:r>
          </w:p>
        </w:tc>
        <w:tc>
          <w:tcPr>
            <w:tcW w:w="838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Yes [X] No [ ] </w:t>
            </w:r>
          </w:p>
          <w:p>
            <w:pPr>
              <w:pStyle w:val="TableContents"/>
              <w:spacing w:lineRule="auto" w:line="240" w:before="0" w:after="0"/>
              <w:ind w:left="0" w:right="0" w:hanging="288"/>
              <w:jc w:val="both"/>
              <w:rPr>
                <w:rFonts w:ascii="Times New Roman;sans-serif" w:hAnsi="Times New Roman;sans-serif"/>
                <w:b w:val="false"/>
                <w:color w:val="000000"/>
                <w:sz w:val="20"/>
              </w:rPr>
            </w:pPr>
            <w:r>
              <w:rPr>
                <w:rFonts w:ascii="Times New Roman;sans-serif" w:hAnsi="Times New Roman;sans-serif"/>
                <w:b w:val="false"/>
                <w:color w:val="000000"/>
                <w:sz w:val="20"/>
              </w:rPr>
              <w:t>Redemption Date: At any time.</w:t>
            </w:r>
          </w:p>
          <w:p>
            <w:pPr>
              <w:pStyle w:val="TableContents"/>
              <w:spacing w:lineRule="auto" w:line="240" w:before="0" w:after="240"/>
              <w:ind w:left="0" w:right="0" w:hanging="291"/>
              <w:jc w:val="both"/>
              <w:rPr>
                <w:rFonts w:ascii="Times New Roman;sans-serif" w:hAnsi="Times New Roman;sans-serif"/>
                <w:b w:val="false"/>
                <w:color w:val="000000"/>
                <w:sz w:val="20"/>
              </w:rPr>
            </w:pPr>
            <w:r>
              <w:rPr>
                <w:rFonts w:ascii="Times New Roman;sans-serif" w:hAnsi="Times New Roman;sans-serif"/>
                <w:b w:val="false"/>
                <w:color w:val="000000"/>
                <w:sz w:val="20"/>
              </w:rPr>
              <w:t>Redemption Price: Prior to January 1, 2033 at a redemption price equal to the greater of (i)(a)  the sum of the present values of the remaining scheduled payments of principal and interest on this Security or the portion thereof to be redeemed discounted to the Redemption Date (assuming this Security matured on the Par Call Date) on a semiannual basis at the Treasury Rate plus 25 basis points, less (b) interest accrued to the Redemption Date, and (ii) 100% of the principal amount of this Security (or such portion to be redeemed); plus, in each case, accrued and unpaid interest thereon to, but excluding, the Redemption Date; or on or after January 1, 2033, at a redemption price equal to 100% of the principal amount of this Security or the portion thereof to be redeemed plus accrued and unpaid interest thereon to, but excluding, the Redemption Date.</w:t>
            </w:r>
          </w:p>
        </w:tc>
      </w:tr>
    </w:tbl>
    <w:p>
      <w:pPr>
        <w:pStyle w:val="TextBody"/>
        <w:spacing w:lineRule="auto" w:line="240" w:before="24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This Security is not an Original Issue Discount Security</w:t>
        <w:br/>
        <w:t>within the meaning of the within-mentioned Indenture.</w:t>
        <w:br/>
        <w:t>_____________________________</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Principal Amount    Registered No. T-2</w:t>
        <w:br/>
        <w:t>$100,000,000*    CUSIP  15189X BB3</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 HOUSTON ELECTRIC, LLC, a limited liability company duly organized and existing under the laws of the State of Texas (herein called the “Company,” which term includes any successor under the Indenture referred to below), for value received, hereby promises to pay to </w:t>
      </w:r>
    </w:p>
    <w:p>
      <w:pPr>
        <w:pStyle w:val="TextBody"/>
        <w:spacing w:lineRule="auto" w:line="240" w:before="0" w:after="240"/>
        <w:jc w:val="center"/>
        <w:rPr/>
      </w:pPr>
      <w:r>
        <w:rPr>
          <w:rFonts w:ascii="Times New Roman;sans-serif" w:hAnsi="Times New Roman;sans-serif"/>
          <w:b w:val="false"/>
          <w:color w:val="000000"/>
          <w:sz w:val="20"/>
        </w:rPr>
        <w:t>***CEDE &amp; Co.***</w:t>
      </w:r>
      <w:r>
        <w:rPr/>
        <w:drawing>
          <wp:inline distT="0" distB="63500" distL="0" distR="0">
            <wp:extent cx="1266825" cy="14605"/>
            <wp:effectExtent l="0" t="0" r="0" b="0"/>
            <wp:docPr id="13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2" descr=""/>
                    <pic:cNvPicPr>
                      <a:picLocks noChangeAspect="1" noChangeArrowheads="1"/>
                    </pic:cNvPicPr>
                  </pic:nvPicPr>
                  <pic:blipFill>
                    <a:blip r:embed="rId39"/>
                    <a:stretch>
                      <a:fillRect/>
                    </a:stretch>
                  </pic:blipFill>
                  <pic:spPr bwMode="auto">
                    <a:xfrm>
                      <a:off x="0" y="0"/>
                      <a:ext cx="1266825" cy="14605"/>
                    </a:xfrm>
                    <a:prstGeom prst="rect">
                      <a:avLst/>
                    </a:prstGeom>
                  </pic:spPr>
                </pic:pic>
              </a:graphicData>
            </a:graphic>
          </wp:inline>
        </w:drawing>
      </w:r>
    </w:p>
    <w:p>
      <w:pPr>
        <w:pStyle w:val="TextBody"/>
        <w:spacing w:lineRule="auto" w:line="240" w:before="0" w:after="240"/>
        <w:jc w:val="both"/>
        <w:rPr>
          <w:rFonts w:ascii="Times New Roman;sans-serif" w:hAnsi="Times New Roman;sans-serif"/>
          <w:b w:val="false"/>
          <w:color w:val="000000"/>
          <w:sz w:val="18"/>
        </w:rPr>
      </w:pPr>
      <w:r>
        <w:rPr>
          <w:rFonts w:ascii="Times New Roman;sans-serif" w:hAnsi="Times New Roman;sans-serif"/>
          <w:b w:val="false"/>
          <w:color w:val="000000"/>
          <w:sz w:val="18"/>
        </w:rPr>
        <w:t>*Reference is made to Schedule A attached hereto with respect to decreases and increases in the aggregate principal amount of Securities evidenced hereby.</w:t>
      </w:r>
      <w:r>
        <w:br w:type="page"/>
      </w:r>
    </w:p>
    <w:p>
      <w:pPr>
        <w:pStyle w:val="TextBody"/>
        <w:spacing w:before="0" w:after="0"/>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8" name="Frame1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or its registered assigns, the principal sum of ONE HUNDRED MILLION DOLLARS,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October 1, 2023, and at Maturity, at the Interest Rate per annum specified above, until the principal hereof is paid or duly provided for. The interest so payable, and paid or duly provided for, on any Interest Payment Date shall, as provided in such Indenture, be paid to the Person in whose name this Security (or one or more Predecessor Securities) is registered at the close of business on the Regular Record Date specified above (whether or not a Business Day) next preceding such Interest Payment Date. Notwithstanding the foregoing, interest payable at Maturity shall be paid to the Person to whom principal shall be paid. Except as otherwise provided in said Indenture, any such interest not so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of which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Payment of the principal of and premium, if any, on this Security and interest hereon at Maturity shall be made upon presentation of this Security at the office of the Corporate Trust Administration of The Bank of New York Mellon Trust Company, National Association, located in New York, New York or at such other office or agency as may be designated for such purpose by the Company from time to time. Payment of interest on this Security (other than interest at Maturity) shall be made by check mailed to the address of the Person entitled thereto as such address shall appear in the Security Register, except that if such Person shall be a securities depositary, such payment may be made by such other means in lieu of check, as shall be agreed upon by the Company, the Trustee and such Person. Payment of the principal of and premium, if any, and interest on this Security, as aforesaid, shall be made in such coin or currency of the United States of America as at the time of payment shall be legal tender for the payment of public and private debts.</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Security is one of a duly authorized issue of securities of the Company (herein called the “Securities”), issued and issuable in one or more series under and equally secured by a General Mortgage Indenture, dated as of October 10, 2002, as supplemented and amended (such Indenture as originally executed and delivered and as supplemented or amended from time to time thereafter, together with any constituent instruments establishing the terms of particular Securities, being herein called the “Indenture”), between the Company and The Bank of New York Mellon Trust Company, National Association (successor in trust to JPMorgan Chase Bank), trustee (herein called the “Trustee,” which term includes any successor trustee under the Indenture), to which Indenture and all indentures supplemental thereto reference is hereby made for a description of the property mortgaged, pledged and held in trust, the nature and extent of the security and the respective rights, limitations of rights, duties and immunities of the Company, the Trustee and the Holders of the Securities thereunder and of the terms and conditions upon which the Securities are, and are to be, authenticated and delivered and secured. The acceptance of this Security shall be deemed to constitute the consent and agreement by the Holder hereof to all of the terms and provisions of the Indenture. This Security is one of the series designated above.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any Interest Payment Date, any Redemption Date or the Stated Maturity shall not be a Business Day (as hereinafter defined), payment of the amounts due on this Security on such date may be made on the next succeeding Business Day; and, if such payment is made or duly provided for on such Business Day, no interest shall accrue on such amounts for the period from and after such Interest Payment Date, Redemption Date or Stated Maturity, as the case may be, to such Business Day. Interest will be computed on the basis of a 360-day year of twelve 30-day months.</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Prior to January 1, 2033 (the “Par Call Date”), the Company may redeem this Security, in whole or in part, at any time and from time to time, at a redemption price (expressed as a percentage of principal amount and rounded to three decimal places) equal to the greater of:</w:t>
      </w:r>
    </w:p>
    <w:p>
      <w:pPr>
        <w:pStyle w:val="TextBody"/>
        <w:spacing w:lineRule="auto" w:line="240" w:before="0" w:after="240"/>
        <w:ind w:left="0" w:right="0" w:hanging="360"/>
        <w:jc w:val="both"/>
        <w:rPr/>
      </w:pPr>
      <w:r>
        <w:rPr>
          <w:color w:val="000000"/>
        </w:rPr>
        <w:t>•</w:t>
      </w:r>
      <w:r>
        <w:rPr>
          <w:rFonts w:ascii="Times New Roman;sans-serif" w:hAnsi="Times New Roman;sans-serif"/>
          <w:b w:val="false"/>
          <w:color w:val="000000"/>
          <w:sz w:val="20"/>
        </w:rPr>
        <w:t>(1)(a) the sum of the present values of the remaining scheduled payments of principal and interest on this Security (or such portion to be redeemed) discounted to the Redemption Date (assuming this Security matured on the Par Call Date) on a semi-annual basis (assuming a 360-day year consisting of twelve 30-day months) at the Treasury Rate plus 25 basis points; less (b) interest accrued to the Redemption Date; and</w:t>
      </w:r>
    </w:p>
    <w:p>
      <w:pPr>
        <w:pStyle w:val="TextBody"/>
        <w:spacing w:lineRule="auto" w:line="240" w:before="0" w:after="240"/>
        <w:ind w:left="0" w:right="0" w:hanging="360"/>
        <w:jc w:val="both"/>
        <w:rPr/>
      </w:pPr>
      <w:r>
        <w:rPr>
          <w:color w:val="000000"/>
        </w:rPr>
        <w:t>•</w:t>
      </w:r>
      <w:r>
        <w:rPr>
          <w:rFonts w:ascii="Times New Roman;sans-serif" w:hAnsi="Times New Roman;sans-serif"/>
          <w:b w:val="false"/>
          <w:color w:val="000000"/>
          <w:sz w:val="20"/>
        </w:rPr>
        <w:t xml:space="preserve">(2) 100% of the principal amount of this Security (or such portion to be redeemed); </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plus, in each case, accrued and unpaid interest thereon to, but excluding, the Redemption Date. </w:t>
      </w:r>
      <w:r>
        <w:br w:type="page"/>
      </w:r>
    </w:p>
    <w:p>
      <w:pPr>
        <w:pStyle w:val="TextBody"/>
        <w:spacing w:before="0" w:after="0"/>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9" name="Frame1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On or after the Par Call Date, the Company may redeem this Security, in whole or in part, at any time and from time to time, at a redemption price equal to 100% of the principal amount of this Security (or such portion to be redeemed) plus accrued and unpaid interest thereon to, but excluding, the Redemption Date. The Trustee shall have no responsibility for the calculation of such amount.</w:t>
      </w:r>
    </w:p>
    <w:p>
      <w:pPr>
        <w:pStyle w:val="TextBody"/>
        <w:spacing w:lineRule="auto" w:line="240" w:before="0" w:after="240"/>
        <w:jc w:val="both"/>
        <w:rPr>
          <w:color w:val="000000"/>
        </w:rPr>
      </w:pPr>
      <w:r>
        <w:rPr>
          <w:color w:val="000000"/>
        </w:rPr>
        <w:t>“</w:t>
      </w:r>
      <w:r>
        <w:rPr>
          <w:rFonts w:ascii="Times New Roman;sans-serif" w:hAnsi="Times New Roman;sans-serif"/>
          <w:b w:val="false"/>
          <w:color w:val="000000"/>
          <w:sz w:val="20"/>
        </w:rPr>
        <w:t>Treasury Rate” means, with respect to any Redemption Date, the yield determined by the Company in accordance with the following two paragraphs.</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actions and determinations in determining the redemption price shall be conclusive and binding for all purposes, absent manifest error.</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Trustee, at the written direction of the Company, will send a notice of redemption to each Holder of Securities to be redeemed by first-class mail (or in accordance with the procedures of The Depository Trust Company with respect to Securities registered in the name of Cede &amp; Co.) at least 10 and not more than 60 days prior to the date fixed for redemption. Unless the Company defaults on payment of the redemption price, interest will cease to accrue on the Securities or portions thereof called for redemption on the Redemption Date. If fewer than all of the Securities of this series are to be redeemed, not more than 60 days prior to the Redemption Date, the particular Securities of this series or portions thereof for redemption will be selected from the outstanding Securities of this series not previously called by lot by the Trustee. The Trustee may select for redemption Securities of this series and portions of Securities of this series in amounts of $2,000 or whole multiples of $1,000. In the case of a partial redemption of Securities registered in the name of Cede &amp; Co, the Securities to be redeemed will be determined in accordance with the procedures of The Depository Trust Company.</w:t>
      </w:r>
    </w:p>
    <w:p>
      <w:pPr>
        <w:pStyle w:val="TextBody"/>
        <w:spacing w:lineRule="auto" w:line="240" w:before="0" w:after="240"/>
        <w:jc w:val="both"/>
        <w:rPr/>
      </w:pPr>
      <w:r>
        <w:rPr>
          <w:rFonts w:ascii="Times New Roman;sans-serif" w:hAnsi="Times New Roman;sans-serif"/>
          <w:b w:val="false"/>
          <w:color w:val="000000"/>
          <w:sz w:val="20"/>
        </w:rPr>
        <w:t xml:space="preserve">The Indenture permits, with certain exceptions as therein provided, the Trustee to enter into one or more supplemental indentures for the purpose of adding any provisions to, or changing in any manner or eliminating any of the provisions of, the Indenture with the consent of the Holders of not less than a majority in aggregate principal amount of the Securities of all series then Outstanding under the Indenture, considered as one class;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if there shall be Securities of more than one series Outstanding under the Indenture and if a proposed </w:t>
      </w:r>
      <w:r>
        <w:br w:type="page"/>
      </w:r>
    </w:p>
    <w:p>
      <w:pPr>
        <w:pStyle w:val="TextBody"/>
        <w:spacing w:before="0" w:after="0"/>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0" name="Frame1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0"/>
        </w:rPr>
        <w:t xml:space="preserve">supplemental indenture shall directly affect the rights of the Holders of Securities of one or more, but less than all, of such series, then the consent only of the Holders of a majority in aggregate principal amount of the Outstanding Securities of all series so directly affected, considered as one class, shall be required; and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xml:space="preserve">, that if the Securities of any series shall have been issued in more than one Tranche and if the proposed supplemental indenture shall directly affect the rights of the Holders of Securities of one or more, but less than all, of such Tranches, then the consent only of the Holders of a majority in aggregate principal amount of the Outstanding Securities of all Tranches so directly affected, considered as one class, shall be required; and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that the Indenture permits the Trustee to enter into one or more supplemental indentures for limited purposes without the consent of any Holders of Securities. The Indenture also contains provisions permitting the Holders of a majority in principal amount of the Securities then Outstanding, on behalf of the Holders of all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therefor or in lieu hereof, whether or not notation of such consent or waiver is made upon this Security.</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provided in the Indenture and subject to certain limitations therein set forth, this Security or any portion of the principal amount hereof will be deemed to have been paid for all purposes of the Indenture and to be no longer Outstanding thereunder, and, at the election of the Company, the Company’s entire indebtedness in respect thereof will be satisfied and discharged, if there has been irrevocably deposited with the Trustee or any Paying Agent (other than the Company), in trust, money in an amount which will be sufficient and/or Eligible Obligations, the principal of and interest on which when due, without regard to any reinvestment thereof, will provide moneys which, together with moneys so deposited, will be sufficient to pay when due the principal of and interest on this Security when due.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provided in the Indenture and subject to certain limitations therein set forth, the transfer of this Security is registrable in the Security Register, upon surrender of this Security for registration of transfer at the Corporate Trust Office of The Bank of New York Mellon Trust Company, National Association in New York, New York, or such other office or agency as may be designated by the Company from time to time, duly endorsed by, or accompanied by a written instrument of transfer in form satisfactory to the Company and the Security Registrar duly executed by, the Holder hereof or his attorney duly authorized in writing, and thereupon one or more new Securities of this series of authorized denominations and of like tenor and aggregate principal amount, will be issued to the designated transferee or transferees.</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of this series are issuable only as registered Securities, without coupons, and in minimum denominations of $2,000 and integral multiples of $1,000 in excess thereof. As provided in the Indenture and subject to certain limitations therein set forth, Securities of this series are exchangeable for a like aggregate principal amount of Securities of the same series and Tranche, of any authorized denominations, as requested by the Holder surrendering the same, and of like tenor upon surrender of the Security or Securities to be exchanged at the office of The Bank of New York Mellon Trust Company, National Association in New York, New York, or such other office or agency as may be designated by the Company from time to time.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service charge shall be made for any such registration of transfer or exchange, but the Company may require payment of a sum sufficient to cover any tax or other governmental charge payable in connection therewith.</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Prior to due presentment of this Security for registration of transfer, the Company, the Trustee and any agent of the Company or the Trustee may treat the Person in whose name this Security is registered as the absolute owner hereof for all purposes, whether or not this Security be overdue, and neither the Company, the Trustee nor any such agent shall be affected by notice to the contrary.</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are not entitled to the benefit of any sinking fund.</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used herein, “Business Day” shall mean any day, other than Saturday or Sunday, on which commercial banks and foreign exchange markets are open for business, including dealings in deposits in U.S. dollars, in New York, New York. All other terms used in this Security which are defined in the Indenture shall have the meanings assigned to them in the Indenture.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provided in the Indenture, no recourse shall be had for the payment of the principal of or premium, if any, or interest on any Securities, or any part thereof, or for any claim based thereon or otherwise in respect thereof, or of the indebtedness represented thereby, or upon any obligation, covenant or agreement under the Indenture, against, and no personal liability whatsoever shall attach to, or be incurred by, any incorporator, member, manager, stockholder, officer, director or employee, as such, past, present or future of the Company or of any predecessor or successor corporation (either directly or through the Company or a predecessor or successor corporation), whether by virtue of any constitutional provision, statute or rule of law, or by the enforcement of any assessment or penalty </w:t>
      </w:r>
      <w:r>
        <w:br w:type="page"/>
      </w:r>
    </w:p>
    <w:p>
      <w:pPr>
        <w:pStyle w:val="TextBody"/>
        <w:spacing w:before="0" w:after="0"/>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1" name="Frame1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or otherwise; it being expressly agreed and understood that the Indenture and all the Securities are solely corporate obligations and that any such personal liability is hereby expressly waived and released as a condition of, and as part of the consideration for, the execution of the Indenture and the issuance of the Securities.</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certificate of authentication hereon has been executed by the Trustee or an Authenticating Agent by manual or electronic signature, this Security shall not be entitled to any benefit under the Indenture or be valid or obligatory for any purpose.</w:t>
      </w:r>
    </w:p>
    <w:p>
      <w:pPr>
        <w:pStyle w:val="TextBody"/>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remainder of this page is intentionally left blank.]</w:t>
      </w:r>
    </w:p>
    <w:p>
      <w:pPr>
        <w:pStyle w:val="TextBody"/>
        <w:spacing w:before="0" w:after="240"/>
        <w:ind w:left="0" w:right="0" w:firstLine="741"/>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2" name="Frame1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Company has caused this instrument to be duly executed.</w:t>
      </w:r>
    </w:p>
    <w:tbl>
      <w:tblPr>
        <w:tblW w:w="8655" w:type="dxa"/>
        <w:jc w:val="left"/>
        <w:tblInd w:w="0" w:type="dxa"/>
        <w:tblCellMar>
          <w:top w:w="28" w:type="dxa"/>
          <w:left w:w="28" w:type="dxa"/>
          <w:bottom w:w="28" w:type="dxa"/>
          <w:right w:w="28" w:type="dxa"/>
        </w:tblCellMar>
      </w:tblPr>
      <w:tblGrid>
        <w:gridCol w:w="1321"/>
        <w:gridCol w:w="1162"/>
        <w:gridCol w:w="1162"/>
        <w:gridCol w:w="1466"/>
        <w:gridCol w:w="1466"/>
        <w:gridCol w:w="2078"/>
      </w:tblGrid>
      <w:tr>
        <w:trPr/>
        <w:tc>
          <w:tcPr>
            <w:tcW w:w="1321"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2078"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40"/>
              <w:jc w:val="both"/>
              <w:rPr/>
            </w:pPr>
            <w:r>
              <w:rPr/>
            </w:r>
          </w:p>
          <w:p>
            <w:pPr>
              <w:pStyle w:val="TableContents"/>
              <w:spacing w:lineRule="auto" w:line="240" w:before="0" w:after="240"/>
              <w:ind w:left="0" w:right="0" w:hanging="627"/>
              <w:jc w:val="left"/>
              <w:rPr>
                <w:rFonts w:ascii="Times New Roman;sans-serif" w:hAnsi="Times New Roman;sans-serif"/>
                <w:b w:val="false"/>
                <w:color w:val="000000"/>
                <w:sz w:val="20"/>
              </w:rPr>
            </w:pPr>
            <w:r>
              <w:rPr>
                <w:rFonts w:ascii="Times New Roman;sans-serif" w:hAnsi="Times New Roman;sans-serif"/>
                <w:b w:val="false"/>
                <w:color w:val="000000"/>
                <w:sz w:val="20"/>
              </w:rPr>
              <w:t>Attest: ____________________________</w:t>
              <w:br/>
              <w:t>Vincent A. Mercaldi</w:t>
              <w:br/>
              <w:t>Secretary</w:t>
            </w:r>
          </w:p>
        </w:tc>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91"/>
              <w:jc w:val="both"/>
              <w:rPr>
                <w:rFonts w:ascii="Times New Roman;sans-serif" w:hAnsi="Times New Roman;sans-serif"/>
                <w:b/>
                <w:color w:val="000000"/>
                <w:sz w:val="20"/>
              </w:rPr>
            </w:pPr>
            <w:r>
              <w:rPr>
                <w:rFonts w:ascii="Times New Roman;sans-serif" w:hAnsi="Times New Roman;sans-serif"/>
                <w:b/>
                <w:color w:val="000000"/>
                <w:sz w:val="20"/>
              </w:rPr>
              <w:t>CENTERPOINT ENERGY HOUSTON ELECTRIC, LLC</w:t>
            </w:r>
          </w:p>
          <w:p>
            <w:pPr>
              <w:pStyle w:val="TableContents"/>
              <w:spacing w:lineRule="auto" w:line="240" w:before="0" w:after="240"/>
              <w:ind w:left="0" w:right="0" w:hanging="348"/>
              <w:jc w:val="left"/>
              <w:rPr/>
            </w:pPr>
            <w:r>
              <w:rPr>
                <w:rFonts w:ascii="Times New Roman;sans-serif" w:hAnsi="Times New Roman;sans-serif"/>
                <w:b w:val="false"/>
                <w:color w:val="000000"/>
                <w:sz w:val="20"/>
              </w:rPr>
              <w:t>By:     </w:t>
            </w:r>
            <w:r>
              <w:rPr>
                <w:color w:val="000000"/>
                <w:u w:val="single"/>
              </w:rPr>
              <w:t>    </w:t>
            </w:r>
            <w:r>
              <w:rPr>
                <w:rFonts w:ascii="Times New Roman;sans-serif" w:hAnsi="Times New Roman;sans-serif"/>
                <w:b w:val="false"/>
                <w:color w:val="000000"/>
                <w:sz w:val="20"/>
                <w:u w:val="single"/>
              </w:rPr>
              <w:br/>
            </w:r>
            <w:r>
              <w:rPr>
                <w:rFonts w:ascii="Times New Roman;sans-serif" w:hAnsi="Times New Roman;sans-serif"/>
                <w:b w:val="false"/>
                <w:color w:val="000000"/>
                <w:sz w:val="20"/>
              </w:rPr>
              <w:t xml:space="preserve">Kara Gostenhofer Ryan </w:t>
              <w:br/>
              <w:t>Vice President and Chief Accounting Officer</w:t>
            </w:r>
          </w:p>
        </w:tc>
      </w:tr>
    </w:tbl>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(SEAL)</w: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CERTIFICATE OF AUTHENTICATION</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is one of the Securities of the series designated therein referred to in the within-mentioned Indenture.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Date of Authentication: March 23, 2023</w:t>
      </w:r>
    </w:p>
    <w:p>
      <w:pPr>
        <w:pStyle w:val="TextBody"/>
        <w:spacing w:lineRule="auto" w:line="240" w:before="0" w:after="0"/>
        <w:ind w:left="0" w:right="0" w:hanging="12"/>
        <w:rPr/>
      </w:pPr>
      <w:r>
        <w:rPr>
          <w:rFonts w:ascii="Times New Roman;sans-serif" w:hAnsi="Times New Roman;sans-serif"/>
          <w:b/>
          <w:color w:val="000000"/>
          <w:sz w:val="20"/>
        </w:rPr>
        <w:t>THE BANK OF NEW YORK MELLON TRUST COMPANY, NATIONAL ASSOCIATION</w:t>
      </w:r>
      <w:r>
        <w:rPr>
          <w:rFonts w:ascii="Times New Roman;sans-serif" w:hAnsi="Times New Roman;sans-serif"/>
          <w:b w:val="false"/>
          <w:color w:val="000000"/>
          <w:sz w:val="20"/>
        </w:rPr>
        <w:t>, as Trustee</w:t>
      </w:r>
    </w:p>
    <w:p>
      <w:pPr>
        <w:pStyle w:val="TextBody"/>
        <w:spacing w:before="0" w:after="0"/>
        <w:ind w:left="0" w:right="0" w:hanging="468"/>
        <w:rPr/>
      </w:pPr>
      <w:r>
        <w:rPr/>
      </w:r>
    </w:p>
    <w:p>
      <w:pPr>
        <w:pStyle w:val="TextBody"/>
        <w:spacing w:before="0" w:after="0"/>
        <w:ind w:left="0" w:right="0" w:hanging="468"/>
        <w:rPr/>
      </w:pPr>
      <w:r>
        <w:rPr/>
      </w:r>
    </w:p>
    <w:p>
      <w:pPr>
        <w:pStyle w:val="TextBody"/>
        <w:spacing w:lineRule="auto" w:line="240" w:before="0" w:after="0"/>
        <w:ind w:left="0" w:right="0" w:hanging="468"/>
        <w:rPr/>
      </w:pPr>
      <w:r>
        <w:rPr>
          <w:rFonts w:ascii="Times New Roman;sans-serif" w:hAnsi="Times New Roman;sans-serif"/>
          <w:b w:val="false"/>
          <w:color w:val="000000"/>
          <w:sz w:val="20"/>
        </w:rPr>
        <w:t xml:space="preserve">By: </w:t>
      </w:r>
      <w:r>
        <w:rPr>
          <w:color w:val="000000"/>
          <w:u w:val="single"/>
        </w:rPr>
        <w:t>        </w:t>
      </w:r>
    </w:p>
    <w:p>
      <w:pPr>
        <w:pStyle w:val="TextBody"/>
        <w:spacing w:before="0" w:after="0"/>
        <w:ind w:left="0" w:right="0" w:hanging="468"/>
        <w:rPr/>
      </w:pPr>
      <w:r>
        <w:rPr/>
      </w:r>
    </w:p>
    <w:p>
      <w:pPr>
        <w:pStyle w:val="TextBody"/>
        <w:spacing w:before="0" w:after="0"/>
        <w:ind w:left="0" w:right="0" w:hanging="468"/>
        <w:rPr/>
      </w:pPr>
      <w:r>
        <w:rPr/>
      </w:r>
    </w:p>
    <w:p>
      <w:pPr>
        <w:pStyle w:val="TextBody"/>
        <w:spacing w:before="0" w:after="0"/>
        <w:ind w:left="0" w:right="0" w:hanging="468"/>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color w:val="000000"/>
        </w:rPr>
      </w:pPr>
      <w:r>
        <w:rPr>
          <w:color w:val="000000"/>
        </w:rPr>
        <w:t>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3" name="Frame1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A</w:t>
      </w:r>
    </w:p>
    <w:p>
      <w:pPr>
        <w:pStyle w:val="TextBody"/>
        <w:spacing w:before="0" w:after="0"/>
        <w:jc w:val="center"/>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 xml:space="preserve">The initial aggregate principal amount of Securities evidenced by the Certificate to which this Schedule is attached is $100,000,000. The notations on the following table evidence decreases and increases in the aggregate principal amount of Securities evidenced by such Certificate. </w:t>
      </w:r>
    </w:p>
    <w:tbl>
      <w:tblPr>
        <w:tblW w:w="9090" w:type="dxa"/>
        <w:jc w:val="left"/>
        <w:tblInd w:w="0" w:type="dxa"/>
        <w:tblCellMar>
          <w:top w:w="28" w:type="dxa"/>
          <w:left w:w="28" w:type="dxa"/>
          <w:bottom w:w="28" w:type="dxa"/>
          <w:right w:w="28" w:type="dxa"/>
        </w:tblCellMar>
      </w:tblPr>
      <w:tblGrid>
        <w:gridCol w:w="384"/>
        <w:gridCol w:w="339"/>
        <w:gridCol w:w="343"/>
        <w:gridCol w:w="109"/>
        <w:gridCol w:w="109"/>
        <w:gridCol w:w="109"/>
        <w:gridCol w:w="639"/>
        <w:gridCol w:w="639"/>
        <w:gridCol w:w="641"/>
        <w:gridCol w:w="109"/>
        <w:gridCol w:w="109"/>
        <w:gridCol w:w="109"/>
        <w:gridCol w:w="619"/>
        <w:gridCol w:w="619"/>
        <w:gridCol w:w="621"/>
        <w:gridCol w:w="109"/>
        <w:gridCol w:w="109"/>
        <w:gridCol w:w="109"/>
        <w:gridCol w:w="604"/>
        <w:gridCol w:w="604"/>
        <w:gridCol w:w="606"/>
        <w:gridCol w:w="109"/>
        <w:gridCol w:w="109"/>
        <w:gridCol w:w="109"/>
        <w:gridCol w:w="329"/>
        <w:gridCol w:w="329"/>
        <w:gridCol w:w="466"/>
      </w:tblGrid>
      <w:tr>
        <w:trPr/>
        <w:tc>
          <w:tcPr>
            <w:tcW w:w="38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Aggregate Principal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 of Securities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Decrease in Aggregate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 in Aggregate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Remaining After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Notation by</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Amount of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Amount of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Such Decrease 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Security</w:t>
            </w:r>
          </w:p>
        </w:tc>
      </w:tr>
      <w:tr>
        <w:trPr/>
        <w:tc>
          <w:tcPr>
            <w:tcW w:w="1066"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Adjustment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19"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59"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14"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4"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Registrar</w:t>
            </w:r>
          </w:p>
        </w:tc>
      </w:tr>
    </w:tbl>
    <w:p>
      <w:pPr>
        <w:pStyle w:val="TextBody"/>
        <w:spacing w:before="0" w:after="0"/>
        <w:jc w:val="center"/>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4" name="Frame1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5" name="Frame1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SECURITY IS IN GLOBAL FORM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Unless this certificate is presented by an authorized representative of The Depository Trust Company, a New York corporation (“DTC”), to CenterPoint Energy Houston Electric, LLC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spacing w:lineRule="auto" w:line="240" w:before="0" w:after="240"/>
        <w:jc w:val="center"/>
        <w:rPr/>
      </w:pPr>
      <w:r>
        <w:rPr>
          <w:rFonts w:ascii="Times New Roman;sans-serif" w:hAnsi="Times New Roman;sans-serif"/>
          <w:b/>
          <w:color w:val="000000"/>
          <w:sz w:val="20"/>
        </w:rPr>
        <w:t>CENTERPOINT ENERGY HOUSTON ELECTRIC, LLC</w:t>
        <w:br/>
      </w:r>
      <w:r>
        <w:rPr>
          <w:rFonts w:ascii="Times New Roman;sans-serif" w:hAnsi="Times New Roman;sans-serif"/>
          <w:b w:val="false"/>
          <w:color w:val="000000"/>
          <w:sz w:val="20"/>
        </w:rPr>
        <w:t>5.30% General Mortgage Bonds, Series AL, due 2053</w:t>
      </w:r>
    </w:p>
    <w:tbl>
      <w:tblPr>
        <w:tblW w:w="10205" w:type="dxa"/>
        <w:jc w:val="left"/>
        <w:tblInd w:w="0" w:type="dxa"/>
        <w:tblCellMar>
          <w:top w:w="28" w:type="dxa"/>
          <w:left w:w="28" w:type="dxa"/>
          <w:bottom w:w="28" w:type="dxa"/>
          <w:right w:w="28" w:type="dxa"/>
        </w:tblCellMar>
      </w:tblPr>
      <w:tblGrid>
        <w:gridCol w:w="658"/>
        <w:gridCol w:w="577"/>
        <w:gridCol w:w="581"/>
        <w:gridCol w:w="2449"/>
        <w:gridCol w:w="2449"/>
        <w:gridCol w:w="3491"/>
      </w:tblGrid>
      <w:tr>
        <w:trPr/>
        <w:tc>
          <w:tcPr>
            <w:tcW w:w="658"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2449" w:type="dxa"/>
            <w:tcBorders/>
            <w:shd w:fill="auto" w:val="clear"/>
            <w:vAlign w:val="center"/>
          </w:tcPr>
          <w:p>
            <w:pPr>
              <w:pStyle w:val="TableContents"/>
              <w:spacing w:before="0" w:after="283"/>
              <w:rPr>
                <w:sz w:val="4"/>
                <w:szCs w:val="4"/>
              </w:rPr>
            </w:pPr>
            <w:r>
              <w:rPr>
                <w:sz w:val="4"/>
                <w:szCs w:val="4"/>
              </w:rPr>
            </w:r>
          </w:p>
        </w:tc>
        <w:tc>
          <w:tcPr>
            <w:tcW w:w="2449" w:type="dxa"/>
            <w:tcBorders/>
            <w:shd w:fill="auto" w:val="clear"/>
            <w:vAlign w:val="center"/>
          </w:tcPr>
          <w:p>
            <w:pPr>
              <w:pStyle w:val="TableContents"/>
              <w:spacing w:before="0" w:after="283"/>
              <w:rPr>
                <w:sz w:val="4"/>
                <w:szCs w:val="4"/>
              </w:rPr>
            </w:pPr>
            <w:r>
              <w:rPr>
                <w:sz w:val="4"/>
                <w:szCs w:val="4"/>
              </w:rPr>
            </w:r>
          </w:p>
        </w:tc>
        <w:tc>
          <w:tcPr>
            <w:tcW w:w="3491" w:type="dxa"/>
            <w:tcBorders/>
            <w:shd w:fill="auto" w:val="clear"/>
            <w:vAlign w:val="center"/>
          </w:tcPr>
          <w:p>
            <w:pPr>
              <w:pStyle w:val="TableContents"/>
              <w:spacing w:before="0" w:after="283"/>
              <w:rPr>
                <w:sz w:val="4"/>
                <w:szCs w:val="4"/>
              </w:rPr>
            </w:pPr>
            <w:r>
              <w:rPr>
                <w:sz w:val="4"/>
                <w:szCs w:val="4"/>
              </w:rPr>
            </w:r>
          </w:p>
        </w:tc>
      </w:tr>
      <w:tr>
        <w:trPr/>
        <w:tc>
          <w:tcPr>
            <w:tcW w:w="181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Original Interest Accrual Date: March 23, 2023</w:t>
            </w:r>
          </w:p>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Stated Maturity: April 1, 2053</w:t>
            </w:r>
          </w:p>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5.30%</w:t>
            </w:r>
          </w:p>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Payment Dates: April 1 and October 1</w:t>
            </w:r>
          </w:p>
          <w:p>
            <w:pPr>
              <w:pStyle w:val="TableContents"/>
              <w:spacing w:lineRule="auto" w:line="240" w:before="0" w:after="240"/>
              <w:ind w:left="0" w:right="0" w:hanging="228"/>
              <w:jc w:val="both"/>
              <w:rPr>
                <w:rFonts w:ascii="Times New Roman;sans-serif" w:hAnsi="Times New Roman;sans-serif"/>
                <w:b w:val="false"/>
                <w:color w:val="000000"/>
                <w:sz w:val="20"/>
              </w:rPr>
            </w:pPr>
            <w:r>
              <w:rPr>
                <w:rFonts w:ascii="Times New Roman;sans-serif" w:hAnsi="Times New Roman;sans-serif"/>
                <w:b w:val="false"/>
                <w:color w:val="000000"/>
                <w:sz w:val="20"/>
              </w:rPr>
              <w:t>Regular Record Dates: March 15 and September 15 immediately preceding the respective Interest Payment Date</w:t>
            </w:r>
          </w:p>
        </w:tc>
        <w:tc>
          <w:tcPr>
            <w:tcW w:w="838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88"/>
              <w:jc w:val="both"/>
              <w:rPr>
                <w:rFonts w:ascii="Times New Roman;sans-serif" w:hAnsi="Times New Roman;sans-serif"/>
                <w:b w:val="false"/>
                <w:color w:val="000000"/>
                <w:sz w:val="20"/>
              </w:rPr>
            </w:pPr>
            <w:r>
              <w:rPr>
                <w:rFonts w:ascii="Times New Roman;sans-serif" w:hAnsi="Times New Roman;sans-serif"/>
                <w:b w:val="false"/>
                <w:color w:val="000000"/>
                <w:sz w:val="20"/>
              </w:rPr>
              <w:t>Redeemable: Yes [X] No [ ]</w:t>
            </w:r>
          </w:p>
          <w:p>
            <w:pPr>
              <w:pStyle w:val="TableContents"/>
              <w:spacing w:lineRule="auto" w:line="240" w:before="0" w:after="0"/>
              <w:ind w:left="0" w:right="0" w:hanging="288"/>
              <w:jc w:val="both"/>
              <w:rPr>
                <w:rFonts w:ascii="Times New Roman;sans-serif" w:hAnsi="Times New Roman;sans-serif"/>
                <w:b w:val="false"/>
                <w:color w:val="000000"/>
                <w:sz w:val="20"/>
              </w:rPr>
            </w:pPr>
            <w:r>
              <w:rPr>
                <w:rFonts w:ascii="Times New Roman;sans-serif" w:hAnsi="Times New Roman;sans-serif"/>
                <w:b w:val="false"/>
                <w:color w:val="000000"/>
                <w:sz w:val="20"/>
              </w:rPr>
              <w:t>Redemption Date: At any time.</w:t>
            </w:r>
          </w:p>
          <w:p>
            <w:pPr>
              <w:pStyle w:val="TableContents"/>
              <w:spacing w:lineRule="auto" w:line="240" w:before="0" w:after="240"/>
              <w:ind w:left="0" w:right="0" w:hanging="291"/>
              <w:jc w:val="both"/>
              <w:rPr>
                <w:rFonts w:ascii="Times New Roman;sans-serif" w:hAnsi="Times New Roman;sans-serif"/>
                <w:b w:val="false"/>
                <w:color w:val="000000"/>
                <w:sz w:val="20"/>
              </w:rPr>
            </w:pPr>
            <w:r>
              <w:rPr>
                <w:rFonts w:ascii="Times New Roman;sans-serif" w:hAnsi="Times New Roman;sans-serif"/>
                <w:b w:val="false"/>
                <w:color w:val="000000"/>
                <w:sz w:val="20"/>
              </w:rPr>
              <w:t>Redemption Price: Prior to October 1, 2052 at a redemption price equal to the greater of (i)(a)  the sum of the present values of the remaining scheduled payments of principal and interest on this Security or the portion thereof to be redeemed discounted to the Redemption Date (assuming this Security matured on the Par Call Date) on a semiannual basis at the Treasury Rate plus 25 basis points, less (b) interest accrued to the Redemption Date, and (ii) 100% of the principal amount of this Security (or such portion to be redeemed); plus, in each case, accrued and unpaid interest thereon to, but excluding, the Redemption Date; or on or after October 1, 2052, at a redemption price equal to 100% of the principal amount of this Security or the portion thereof to be redeemed plus accrued and unpaid interest thereon to, but excluding, the Redemption Date.</w:t>
            </w:r>
          </w:p>
        </w:tc>
      </w:tr>
    </w:tbl>
    <w:p>
      <w:pPr>
        <w:pStyle w:val="TextBody"/>
        <w:spacing w:lineRule="auto" w:line="240" w:before="24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This Security is not an Original Issue Discount Security</w:t>
        <w:br/>
        <w:t>within the meaning of the within-mentioned Indenture.</w:t>
        <w:br/>
        <w:t>_____________________________</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Principal Amount    Registered No. T-1</w:t>
        <w:br/>
        <w:t>$300,000,000*    CUSIP  15189X BC1</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CENTERPOINT ENERGY HOUSTON ELECTRIC, LLC, a limited liability company duly organized and existing under the laws of the State of Texas (herein called the “Company,” which term includes any successor under the Indenture referred to below), for value received, hereby promises to pay to </w:t>
      </w:r>
    </w:p>
    <w:p>
      <w:pPr>
        <w:pStyle w:val="TextBody"/>
        <w:spacing w:lineRule="auto" w:line="240" w:before="0" w:after="240"/>
        <w:jc w:val="center"/>
        <w:rPr/>
      </w:pPr>
      <w:r>
        <w:rPr>
          <w:rFonts w:ascii="Times New Roman;sans-serif" w:hAnsi="Times New Roman;sans-serif"/>
          <w:b w:val="false"/>
          <w:color w:val="000000"/>
          <w:sz w:val="20"/>
        </w:rPr>
        <w:t>***CEDE &amp; Co.***</w:t>
      </w:r>
      <w:r>
        <w:rPr/>
        <w:drawing>
          <wp:inline distT="0" distB="63500" distL="0" distR="0">
            <wp:extent cx="1266825" cy="14605"/>
            <wp:effectExtent l="0" t="0" r="0" b="0"/>
            <wp:docPr id="14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3" descr=""/>
                    <pic:cNvPicPr>
                      <a:picLocks noChangeAspect="1" noChangeArrowheads="1"/>
                    </pic:cNvPicPr>
                  </pic:nvPicPr>
                  <pic:blipFill>
                    <a:blip r:embed="rId40"/>
                    <a:stretch>
                      <a:fillRect/>
                    </a:stretch>
                  </pic:blipFill>
                  <pic:spPr bwMode="auto">
                    <a:xfrm>
                      <a:off x="0" y="0"/>
                      <a:ext cx="1266825" cy="14605"/>
                    </a:xfrm>
                    <a:prstGeom prst="rect">
                      <a:avLst/>
                    </a:prstGeom>
                  </pic:spPr>
                </pic:pic>
              </a:graphicData>
            </a:graphic>
          </wp:inline>
        </w:drawing>
      </w:r>
      <w:r>
        <w:br w:type="page"/>
      </w:r>
    </w:p>
    <w:p>
      <w:pPr>
        <w:pStyle w:val="TextBody"/>
        <w:spacing w:before="0" w:after="0"/>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18"/>
        </w:rPr>
      </w:pPr>
      <w:r>
        <w:rPr>
          <w:rFonts w:ascii="Times New Roman;sans-serif" w:hAnsi="Times New Roman;sans-serif"/>
          <w:b w:val="false"/>
          <w:color w:val="000000"/>
          <w:sz w:val="18"/>
        </w:rPr>
        <w:t>*Reference is made to Schedule A attached hereto with respect to decreases and increases in the aggregate principal amount of Securities evidenced hereby.</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or its registered assigns, the principal sum of THREE HUNDRED MILLION DOLLARS, on the Stated Maturity specified above, and to pay interest thereon from the Original Interest Accrual Date specified above or from the most recent Interest Payment Date to which interest has been paid or duly provided for, semi-annually in arrears on the Interest Payment Dates specified above in each year, commencing on October 1, 2023, and at Maturity, at the Interest Rate per annum specified above, until the principal hereof is paid or duly provided for. The interest so payable, and paid or duly provided for, on any Interest Payment Date shall, as provided in such Indenture, be paid to the Person in whose name this Security (or one or more Predecessor Securities) is registered at the close of business on the Regular Record Date specified above (whether or not a Business Day) next preceding such Interest Payment Date. Notwithstanding the foregoing, interest payable at Maturity shall be paid to the Person to whom principal shall be paid. Except as otherwise provided in said Indenture, any such interest not so paid or duly provided for shall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of which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Payment of the principal of and premium, if any, on this Security and interest hereon at Maturity shall be made upon presentation of this Security at the office of the Corporate Trust Administration of The Bank of New York Mellon Trust Company, National Association, located in New York, New York or at such other office or agency as may be designated for such purpose by the Company from time to time. Payment of interest on this Security (other than interest at Maturity) shall be made by check mailed to the address of the Person entitled thereto as such address shall appear in the Security Register, except that if such Person shall be a securities depositary, such payment may be made by such other means in lieu of check, as shall be agreed upon by the Company, the Trustee and such Person. Payment of the principal of and premium, if any, and interest on this Security, as aforesaid, shall be made in such coin or currency of the United States of America as at the time of payment shall be legal tender for the payment of public and private debts.</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Security is one of a duly authorized issue of securities of the Company (herein called the “Securities”), issued and issuable in one or more series under and equally secured by a General Mortgage Indenture, dated as of October 10, 2002, as supplemented and amended (such Indenture as originally executed and delivered and as supplemented or amended from time to time thereafter, together with any constituent instruments establishing the terms of particular Securities, being herein called the “Indenture”), between the Company and The Bank of New York Mellon Trust Company, National Association (successor in trust to JPMorgan Chase Bank), trustee (herein called the “Trustee,” which term includes any successor trustee under the Indenture), to which Indenture and all indentures supplemental thereto reference is hereby made for a description of the property mortgaged, pledged and held in trust, the nature and extent of the security and the respective rights, limitations of rights, duties and immunities of the Company, the Trustee and the Holders of the Securities thereunder and of the terms and conditions upon which the Securities are, and are to be, authenticated and delivered and secured. The acceptance of this Security shall be deemed to constitute the consent and agreement by the Holder hereof to all of the terms and provisions of the Indenture. This Security is one of the series designated above.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If any Interest Payment Date, any Redemption Date or the Stated Maturity shall not be a Business Day (as hereinafter defined), payment of the amounts due on this Security on such date may be made on the next succeeding Business Day; and, if such payment is made or duly provided for on such Business Day, no interest shall accrue on such amounts for the period from and after such Interest Payment Date, Redemption Date or Stated Maturity, as the case may be, to such Business Day. Interest will be computed on the basis of a 360-day year of twelve 30-day months.</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Prior to October 1, 2052 (the “Par Call Date”), the Company may redeem this Security, in whole or in part, at any time and from time to time, at a redemption price (expressed as a percentage of principal amount and rounded to three decimal places) equal to the greater of:</w:t>
      </w:r>
    </w:p>
    <w:p>
      <w:pPr>
        <w:pStyle w:val="TextBody"/>
        <w:spacing w:lineRule="auto" w:line="240" w:before="0" w:after="240"/>
        <w:ind w:left="0" w:right="0" w:hanging="360"/>
        <w:jc w:val="both"/>
        <w:rPr/>
      </w:pPr>
      <w:r>
        <w:rPr>
          <w:color w:val="000000"/>
        </w:rPr>
        <w:t>•</w:t>
      </w:r>
      <w:r>
        <w:rPr>
          <w:rFonts w:ascii="Times New Roman;sans-serif" w:hAnsi="Times New Roman;sans-serif"/>
          <w:b w:val="false"/>
          <w:color w:val="000000"/>
          <w:sz w:val="20"/>
        </w:rPr>
        <w:t>(1)(a) the sum of the present values of the remaining scheduled payments of principal and interest on this Security (or such portion to be redeemed) discounted to the Redemption Date (assuming this Security matured on the Par Call Date) on a semi-annual basis (assuming a 360-day year consisting of twelve 30-day months) at the Treasury Rate plus 25 basis points; less (b) interest accrued to the Redemption Date; and</w:t>
      </w:r>
      <w:r>
        <w:br w:type="page"/>
      </w:r>
    </w:p>
    <w:p>
      <w:pPr>
        <w:pStyle w:val="TextBody"/>
        <w:spacing w:before="0" w:after="0"/>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240"/>
        <w:ind w:left="0" w:right="0" w:hanging="360"/>
        <w:jc w:val="both"/>
        <w:rPr/>
      </w:pPr>
      <w:r>
        <w:rPr>
          <w:color w:val="000000"/>
        </w:rPr>
        <w:t>•</w:t>
      </w:r>
      <w:r>
        <w:rPr>
          <w:rFonts w:ascii="Times New Roman;sans-serif" w:hAnsi="Times New Roman;sans-serif"/>
          <w:b w:val="false"/>
          <w:color w:val="000000"/>
          <w:sz w:val="20"/>
        </w:rPr>
        <w:t xml:space="preserve">(2) 100% of the principal amount of this Security (or such portion to be redeemed); </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plus, in each case, accrued and unpaid interest thereon to, but excluding, the Redemption Date. </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On or after the Par Call Date, the Company may redeem this Security, in whole or in part, at any time and from time to time, at a redemption price equal to 100% of the principal amount of this Security (or such portion to be redeemed) plus accrued and unpaid interest thereon to, but excluding, the Redemption Date. The Trustee shall have no responsibility for the calculation of such amount.</w:t>
      </w:r>
    </w:p>
    <w:p>
      <w:pPr>
        <w:pStyle w:val="TextBody"/>
        <w:spacing w:lineRule="auto" w:line="240" w:before="0" w:after="240"/>
        <w:jc w:val="both"/>
        <w:rPr>
          <w:color w:val="000000"/>
        </w:rPr>
      </w:pPr>
      <w:r>
        <w:rPr>
          <w:color w:val="000000"/>
        </w:rPr>
        <w:t>“</w:t>
      </w:r>
      <w:r>
        <w:rPr>
          <w:rFonts w:ascii="Times New Roman;sans-serif" w:hAnsi="Times New Roman;sans-serif"/>
          <w:b w:val="false"/>
          <w:color w:val="000000"/>
          <w:sz w:val="20"/>
        </w:rPr>
        <w:t>Treasury Rate” means, with respect to any Redemption Date, the yield determined by the Company in accordance with the following two paragraphs.</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actions and determinations in determining the redemption price shall be conclusive and binding for all purposes, absent manifest error.</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Trustee, at the written direction of the Company, will send a notice of redemption to each Holder of Securities to be redeemed by first-class mail (or in accordance with the procedures of The Depository Trust Company with respect to Securities registered in the name of Cede &amp; Co.) at least 10 and not more than 60 days prior to the date fixed for redemption. Unless the Company defaults on payment of the redemption price, interest will cease to accrue on the Securities or portions thereof called for redemption on the Redemption Date. If fewer than all of the Securities of this series are to be redeemed, not more than 60 days prior to the Redemption Date, the particular Securities of this series or portions thereof for redemption will be selected from the outstanding Securities of this series not previously called by lot by the Trustee. The Trustee may select for redemption Securities of this series and portions of Securities of this series in amounts of $2,000 or whole multiples of $1,000. In the case of a partial redemption of Securities registered in the name of Cede &amp; Co, the Securities to be redeemed will be determined in accordance with the procedures of The Depository Trust Company.</w:t>
      </w:r>
      <w:r>
        <w:br w:type="page"/>
      </w:r>
    </w:p>
    <w:p>
      <w:pPr>
        <w:pStyle w:val="TextBody"/>
        <w:spacing w:before="0" w:after="0"/>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0"/>
        </w:rPr>
        <w:t xml:space="preserve">The Indenture permits, with certain exceptions as therein provided, the Trustee to enter into one or more supplemental indentures for the purpose of adding any provisions to, or changing in any manner or eliminating any of the provisions of, the Indenture with the consent of the Holders of not less than a majority in aggregate principal amount of the Securities of all series then Outstanding under the Indenture, considered as one class;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if there shall be Securities of more than one series Outstanding under the Indenture and if a proposed supplemental indenture shall directly affect the rights of the Holders of Securities of one or more, but less than all, of such series, then the consent only of the Holders of a majority in aggregate principal amount of the Outstanding Securities of all series so directly affected, considered as one class, shall be required; and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xml:space="preserve">, that if the Securities of any series shall have been issued in more than one Tranche and if the proposed supplemental indenture shall directly affect the rights of the Holders of Securities of one or more, but less than all, of such Tranches, then the consent only of the Holders of a majority in aggregate principal amount of the Outstanding Securities of all Tranches so directly affected, considered as one class, shall be required; and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that the Indenture permits the Trustee to enter into one or more supplemental indentures for limited purposes without the consent of any Holders of Securities. The Indenture also contains provisions permitting the Holders of a majority in principal amount of the Securities then Outstanding, on behalf of the Holders of all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therefor or in lieu hereof, whether or not notation of such consent or waiver is made upon this Security.</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provided in the Indenture and subject to certain limitations therein set forth, this Security or any portion of the principal amount hereof will be deemed to have been paid for all purposes of the Indenture and to be no longer Outstanding thereunder, and, at the election of the Company, the Company’s entire indebtedness in respect thereof will be satisfied and discharged, if there has been irrevocably deposited with the Trustee or any Paying Agent (other than the Company), in trust, money in an amount which will be sufficient and/or Eligible Obligations, the principal of and interest on which when due, without regard to any reinvestment thereof, will provide moneys which, together with moneys so deposited, will be sufficient to pay when due the principal of and interest on this Security when due.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provided in the Indenture and subject to certain limitations therein set forth, the transfer of this Security is registrable in the Security Register, upon surrender of this Security for registration of transfer at the Corporate Trust Office of The Bank of New York Mellon Trust Company, National Association in New York, New York, or such other office or agency as may be designated by the Company from time to time, duly endorsed by, or accompanied by a written instrument of transfer in form satisfactory to the Company and the Security Registrar duly executed by, the Holder hereof or his attorney duly authorized in writing, and thereupon one or more new Securities of this series of authorized denominations and of like tenor and aggregate principal amount, will be issued to the designated transferee or transferees.</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of this series are issuable only as registered Securities, without coupons, and in minimum denominations of $2,000 and integral multiples of $1,000 in excess thereof. As provided in the Indenture and subject to certain limitations therein set forth, Securities of this series are exchangeable for a like aggregate principal amount of Securities of the same series and Tranche, of any authorized denominations, as requested by the Holder surrendering the same, and of like tenor upon surrender of the Security or Securities to be exchanged at the office of The Bank of New York Mellon Trust Company, National Association in New York, New York, or such other office or agency as may be designated by the Company from time to time.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service charge shall be made for any such registration of transfer or exchange, but the Company may require payment of a sum sufficient to cover any tax or other governmental charge payable in connection therewith.</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Prior to due presentment of this Security for registration of transfer, the Company, the Trustee and any agent of the Company or the Trustee may treat the Person in whose name this Security is registered as the absolute owner hereof for all purposes, whether or not this Security be overdue, and neither the Company, the Trustee nor any such agent shall be affected by notice to the contrary.</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are not entitled to the benefit of any sinking fund.</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used herein, “Business Day” shall mean any day, other than Saturday or Sunday, on which commercial banks and foreign exchange markets are open for business, including dealings in deposits in U.S. dollars, in New York, New York. All other terms used in this Security which are defined in the Indenture shall have the meanings assigned to them in the Indenture.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provided in the Indenture, no recourse shall be had for the payment of the principal of or premium, if any, or interest on any Securities, or any part thereof, or for any claim based thereon or otherwise in respect thereof, or of </w:t>
      </w:r>
      <w:r>
        <w:br w:type="page"/>
      </w:r>
    </w:p>
    <w:p>
      <w:pPr>
        <w:pStyle w:val="TextBody"/>
        <w:spacing w:before="0" w:after="0"/>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indebtedness represented thereby, or upon any obligation, covenant or agreement under the Indenture, against, and no personal liability whatsoever shall attach to, or be incurred by, any incorporator, member, manager, stockholder, officer, director or employee, as such, past, present or future of the Company or of any predecessor or successor corporation (either directly or through the Company or a predecessor or successor corporation), whether by virtue of any constitutional provision, statute or rule of law, or by the enforcement of any assessment or penalty or otherwise; it being expressly agreed and understood that the Indenture and all the Securities are solely corporate obligations and that any such personal liability is hereby expressly waived and released as a condition of, and as part of the consideration for, the execution of the Indenture and the issuance of the Securities.</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certificate of authentication hereon has been executed by the Trustee or an Authenticating Agent by manual or electronic signature, this Security shall not be entitled to any benefit under the Indenture or be valid or obligatory for any purpose.</w:t>
      </w:r>
    </w:p>
    <w:p>
      <w:pPr>
        <w:pStyle w:val="TextBody"/>
        <w:spacing w:lineRule="auto" w:line="240"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[The remainder of this page is intentionally left blank.]</w:t>
      </w:r>
    </w:p>
    <w:p>
      <w:pPr>
        <w:pStyle w:val="TextBody"/>
        <w:spacing w:before="0" w:after="240"/>
        <w:ind w:left="0" w:right="0" w:firstLine="741"/>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Company has caused this instrument to be duly executed.</w:t>
      </w:r>
    </w:p>
    <w:tbl>
      <w:tblPr>
        <w:tblW w:w="8655" w:type="dxa"/>
        <w:jc w:val="left"/>
        <w:tblInd w:w="0" w:type="dxa"/>
        <w:tblCellMar>
          <w:top w:w="28" w:type="dxa"/>
          <w:left w:w="28" w:type="dxa"/>
          <w:bottom w:w="28" w:type="dxa"/>
          <w:right w:w="28" w:type="dxa"/>
        </w:tblCellMar>
      </w:tblPr>
      <w:tblGrid>
        <w:gridCol w:w="1321"/>
        <w:gridCol w:w="1162"/>
        <w:gridCol w:w="1162"/>
        <w:gridCol w:w="1466"/>
        <w:gridCol w:w="1466"/>
        <w:gridCol w:w="2078"/>
      </w:tblGrid>
      <w:tr>
        <w:trPr/>
        <w:tc>
          <w:tcPr>
            <w:tcW w:w="1321"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2078"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40"/>
              <w:jc w:val="both"/>
              <w:rPr/>
            </w:pPr>
            <w:r>
              <w:rPr/>
            </w:r>
          </w:p>
          <w:p>
            <w:pPr>
              <w:pStyle w:val="TableContents"/>
              <w:spacing w:lineRule="auto" w:line="240" w:before="0" w:after="240"/>
              <w:ind w:left="0" w:right="0" w:hanging="627"/>
              <w:jc w:val="left"/>
              <w:rPr>
                <w:rFonts w:ascii="Times New Roman;sans-serif" w:hAnsi="Times New Roman;sans-serif"/>
                <w:b w:val="false"/>
                <w:color w:val="000000"/>
                <w:sz w:val="20"/>
              </w:rPr>
            </w:pPr>
            <w:r>
              <w:rPr>
                <w:rFonts w:ascii="Times New Roman;sans-serif" w:hAnsi="Times New Roman;sans-serif"/>
                <w:b w:val="false"/>
                <w:color w:val="000000"/>
                <w:sz w:val="20"/>
              </w:rPr>
              <w:t>Attest: ____________________________</w:t>
              <w:br/>
              <w:t>Vincent A. Mercaldi</w:t>
              <w:br/>
              <w:t>Secretary</w:t>
            </w:r>
          </w:p>
        </w:tc>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91"/>
              <w:jc w:val="both"/>
              <w:rPr>
                <w:rFonts w:ascii="Times New Roman;sans-serif" w:hAnsi="Times New Roman;sans-serif"/>
                <w:b/>
                <w:color w:val="000000"/>
                <w:sz w:val="20"/>
              </w:rPr>
            </w:pPr>
            <w:r>
              <w:rPr>
                <w:rFonts w:ascii="Times New Roman;sans-serif" w:hAnsi="Times New Roman;sans-serif"/>
                <w:b/>
                <w:color w:val="000000"/>
                <w:sz w:val="20"/>
              </w:rPr>
              <w:t>CENTERPOINT ENERGY HOUSTON ELECTRIC, LLC</w:t>
            </w:r>
          </w:p>
          <w:p>
            <w:pPr>
              <w:pStyle w:val="TableContents"/>
              <w:spacing w:lineRule="auto" w:line="240" w:before="0" w:after="240"/>
              <w:ind w:left="0" w:right="0" w:hanging="348"/>
              <w:jc w:val="left"/>
              <w:rPr/>
            </w:pPr>
            <w:r>
              <w:rPr>
                <w:rFonts w:ascii="Times New Roman;sans-serif" w:hAnsi="Times New Roman;sans-serif"/>
                <w:b w:val="false"/>
                <w:color w:val="000000"/>
                <w:sz w:val="20"/>
              </w:rPr>
              <w:t>By:     </w:t>
            </w:r>
            <w:r>
              <w:rPr>
                <w:color w:val="000000"/>
                <w:u w:val="single"/>
              </w:rPr>
              <w:t>    </w:t>
            </w:r>
            <w:r>
              <w:rPr>
                <w:rFonts w:ascii="Times New Roman;sans-serif" w:hAnsi="Times New Roman;sans-serif"/>
                <w:b w:val="false"/>
                <w:color w:val="000000"/>
                <w:sz w:val="20"/>
                <w:u w:val="single"/>
              </w:rPr>
              <w:br/>
            </w:r>
            <w:r>
              <w:rPr>
                <w:rFonts w:ascii="Times New Roman;sans-serif" w:hAnsi="Times New Roman;sans-serif"/>
                <w:b w:val="false"/>
                <w:color w:val="000000"/>
                <w:sz w:val="20"/>
              </w:rPr>
              <w:t xml:space="preserve">Kara Gostenhofer Ryan </w:t>
              <w:br/>
              <w:t>Vice President and Chief Accounting Officer</w:t>
            </w:r>
          </w:p>
        </w:tc>
      </w:tr>
    </w:tbl>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(SEAL)</w: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CERTIFICATE OF AUTHENTICATION</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is one of the Securities of the series designated therein referred to in the within-mentioned Indenture.</w:t>
      </w:r>
    </w:p>
    <w:p>
      <w:pPr>
        <w:pStyle w:val="TextBody"/>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Date of Authentication: March 23, 2023</w:t>
      </w:r>
    </w:p>
    <w:p>
      <w:pPr>
        <w:pStyle w:val="TextBody"/>
        <w:spacing w:lineRule="auto" w:line="240" w:before="0" w:after="0"/>
        <w:ind w:left="0" w:right="0" w:hanging="12"/>
        <w:rPr/>
      </w:pPr>
      <w:r>
        <w:rPr>
          <w:rFonts w:ascii="Times New Roman;sans-serif" w:hAnsi="Times New Roman;sans-serif"/>
          <w:b/>
          <w:color w:val="000000"/>
          <w:sz w:val="20"/>
        </w:rPr>
        <w:t>THE BANK OF NEW YORK MELLON TRUST COMPANY, NATIONAL ASSOCIATION</w:t>
      </w:r>
      <w:r>
        <w:rPr>
          <w:rFonts w:ascii="Times New Roman;sans-serif" w:hAnsi="Times New Roman;sans-serif"/>
          <w:b w:val="false"/>
          <w:color w:val="000000"/>
          <w:sz w:val="20"/>
        </w:rPr>
        <w:t>, as Trustee</w:t>
      </w:r>
    </w:p>
    <w:p>
      <w:pPr>
        <w:pStyle w:val="TextBody"/>
        <w:spacing w:before="0" w:after="0"/>
        <w:ind w:left="0" w:right="0" w:hanging="468"/>
        <w:rPr/>
      </w:pPr>
      <w:r>
        <w:rPr/>
      </w:r>
    </w:p>
    <w:p>
      <w:pPr>
        <w:pStyle w:val="TextBody"/>
        <w:spacing w:before="0" w:after="0"/>
        <w:ind w:left="0" w:right="0" w:hanging="468"/>
        <w:rPr/>
      </w:pPr>
      <w:r>
        <w:rPr/>
      </w:r>
    </w:p>
    <w:p>
      <w:pPr>
        <w:pStyle w:val="TextBody"/>
        <w:spacing w:lineRule="auto" w:line="240" w:before="0" w:after="0"/>
        <w:ind w:left="0" w:right="0" w:hanging="468"/>
        <w:rPr/>
      </w:pPr>
      <w:r>
        <w:rPr>
          <w:rFonts w:ascii="Times New Roman;sans-serif" w:hAnsi="Times New Roman;sans-serif"/>
          <w:b w:val="false"/>
          <w:color w:val="000000"/>
          <w:sz w:val="20"/>
        </w:rPr>
        <w:t xml:space="preserve">By: </w:t>
      </w:r>
      <w:r>
        <w:rPr>
          <w:color w:val="000000"/>
          <w:u w:val="single"/>
        </w:rPr>
        <w:t>        </w:t>
      </w:r>
    </w:p>
    <w:p>
      <w:pPr>
        <w:pStyle w:val="TextBody"/>
        <w:spacing w:before="0" w:after="0"/>
        <w:ind w:left="0" w:right="0" w:hanging="468"/>
        <w:rPr/>
      </w:pPr>
      <w:r>
        <w:rPr/>
      </w:r>
    </w:p>
    <w:p>
      <w:pPr>
        <w:pStyle w:val="TextBody"/>
        <w:spacing w:before="0" w:after="0"/>
        <w:ind w:left="0" w:right="0" w:hanging="468"/>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jc w:val="both"/>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both"/>
                        <w:rPr>
                          <w:color w:val="000000"/>
                        </w:rPr>
                      </w:pPr>
                      <w:r>
                        <w:rPr>
                          <w:color w:val="000000"/>
                        </w:rPr>
                        <w:t>    </w:t>
                      </w:r>
                    </w:p>
                  </w:txbxContent>
                </v:textbox>
              </v:rect>
            </w:pict>
          </mc:Fallback>
        </mc:AlternateConten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A</w:t>
      </w:r>
    </w:p>
    <w:p>
      <w:pPr>
        <w:pStyle w:val="TextBody"/>
        <w:spacing w:before="0" w:after="0"/>
        <w:jc w:val="center"/>
        <w:rPr/>
      </w:pPr>
      <w:r>
        <w:rPr/>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 xml:space="preserve">The initial aggregate principal amount of Securities evidenced by the Certificate to which this Schedule is attached is $300,000,000. The notations on the following table evidence decreases and increases in the aggregate principal amount of Securities evidenced by such Certificate. </w:t>
      </w:r>
    </w:p>
    <w:tbl>
      <w:tblPr>
        <w:tblW w:w="9090" w:type="dxa"/>
        <w:jc w:val="left"/>
        <w:tblInd w:w="0" w:type="dxa"/>
        <w:tblCellMar>
          <w:top w:w="28" w:type="dxa"/>
          <w:left w:w="28" w:type="dxa"/>
          <w:bottom w:w="28" w:type="dxa"/>
          <w:right w:w="28" w:type="dxa"/>
        </w:tblCellMar>
      </w:tblPr>
      <w:tblGrid>
        <w:gridCol w:w="384"/>
        <w:gridCol w:w="339"/>
        <w:gridCol w:w="343"/>
        <w:gridCol w:w="109"/>
        <w:gridCol w:w="109"/>
        <w:gridCol w:w="109"/>
        <w:gridCol w:w="639"/>
        <w:gridCol w:w="639"/>
        <w:gridCol w:w="641"/>
        <w:gridCol w:w="109"/>
        <w:gridCol w:w="109"/>
        <w:gridCol w:w="109"/>
        <w:gridCol w:w="619"/>
        <w:gridCol w:w="619"/>
        <w:gridCol w:w="621"/>
        <w:gridCol w:w="109"/>
        <w:gridCol w:w="109"/>
        <w:gridCol w:w="109"/>
        <w:gridCol w:w="604"/>
        <w:gridCol w:w="604"/>
        <w:gridCol w:w="606"/>
        <w:gridCol w:w="109"/>
        <w:gridCol w:w="109"/>
        <w:gridCol w:w="109"/>
        <w:gridCol w:w="329"/>
        <w:gridCol w:w="329"/>
        <w:gridCol w:w="466"/>
      </w:tblGrid>
      <w:tr>
        <w:trPr/>
        <w:tc>
          <w:tcPr>
            <w:tcW w:w="38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Aggregate Principal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 of Securities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Decrease in Aggregate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 in Aggregate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Remaining After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Notation by</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Amount of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Amount of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Such Decrease or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Security</w:t>
            </w:r>
          </w:p>
        </w:tc>
      </w:tr>
      <w:tr>
        <w:trPr/>
        <w:tc>
          <w:tcPr>
            <w:tcW w:w="1066"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Adjustment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19"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59"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14"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24"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Registrar</w:t>
            </w:r>
          </w:p>
        </w:tc>
      </w:tr>
    </w:tbl>
    <w:p>
      <w:pPr>
        <w:pStyle w:val="TextBody"/>
        <w:spacing w:before="0" w:after="0"/>
        <w:jc w:val="center"/>
        <w:rPr/>
      </w:pPr>
      <w:r>
        <w:rPr/>
      </w:r>
    </w:p>
    <w:p>
      <w:pPr>
        <w:pStyle w:val="TextBody"/>
        <w:spacing w:before="0" w:after="24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31.1.1</w:t>
      </w:r>
    </w:p>
    <w:p>
      <w:pPr>
        <w:pStyle w:val="TextBody"/>
        <w:spacing w:lineRule="auto" w:line="288" w:before="0" w:after="0"/>
        <w:jc w:val="both"/>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David J. Lesar, certify that:</w:t>
      </w:r>
    </w:p>
    <w:p>
      <w:pPr>
        <w:pStyle w:val="TextBody"/>
        <w:spacing w:lineRule="auto" w:line="288" w:before="0" w:after="0"/>
        <w:jc w:val="both"/>
        <w:rPr>
          <w:color w:val="000000"/>
        </w:rPr>
      </w:pPr>
      <w:r>
        <w:rPr>
          <w:color w:val="000000"/>
        </w:rPr>
        <w:t> </w:t>
      </w:r>
    </w:p>
    <w:p>
      <w:pPr>
        <w:pStyle w:val="TextBody"/>
        <w:spacing w:lineRule="auto" w:line="288" w:before="0" w:after="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quarterly report on Form 10-Q of CenterPoint Energy, Inc.;</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72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72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27, 2023 </w:t>
      </w:r>
    </w:p>
    <w:p>
      <w:pPr>
        <w:pStyle w:val="TextBody"/>
        <w:spacing w:lineRule="auto" w:line="288" w:before="0" w:after="0"/>
        <w:jc w:val="both"/>
        <w:rPr>
          <w:color w:val="000000"/>
        </w:rPr>
      </w:pPr>
      <w:r>
        <w:rPr>
          <w:color w:val="000000"/>
        </w:rPr>
        <w:t> </w:t>
      </w:r>
    </w:p>
    <w:tbl>
      <w:tblPr>
        <w:tblW w:w="2412" w:type="dxa"/>
        <w:jc w:val="left"/>
        <w:tblInd w:w="0" w:type="dxa"/>
        <w:tblCellMar>
          <w:top w:w="28" w:type="dxa"/>
          <w:left w:w="28" w:type="dxa"/>
          <w:bottom w:w="28" w:type="dxa"/>
          <w:right w:w="28" w:type="dxa"/>
        </w:tblCellMar>
      </w:tblPr>
      <w:tblGrid>
        <w:gridCol w:w="124"/>
        <w:gridCol w:w="109"/>
        <w:gridCol w:w="109"/>
        <w:gridCol w:w="604"/>
        <w:gridCol w:w="604"/>
        <w:gridCol w:w="8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David J. Lesar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David J. Lesar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31.1.2</w:t>
      </w:r>
    </w:p>
    <w:p>
      <w:pPr>
        <w:pStyle w:val="TextBody"/>
        <w:spacing w:lineRule="auto" w:line="288" w:before="0" w:after="0"/>
        <w:jc w:val="both"/>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Jason P. Wells, certify that:</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CenterPoint Energy Houston Electric, LLC;</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27, 2023 </w:t>
      </w:r>
    </w:p>
    <w:p>
      <w:pPr>
        <w:pStyle w:val="TextBody"/>
        <w:spacing w:lineRule="auto" w:line="288" w:before="0" w:after="0"/>
        <w:jc w:val="both"/>
        <w:rPr>
          <w:color w:val="000000"/>
        </w:rPr>
      </w:pPr>
      <w:r>
        <w:rPr>
          <w:color w:val="000000"/>
        </w:rPr>
        <w:t> </w:t>
      </w:r>
    </w:p>
    <w:tbl>
      <w:tblPr>
        <w:tblW w:w="5502" w:type="dxa"/>
        <w:jc w:val="left"/>
        <w:tblInd w:w="0" w:type="dxa"/>
        <w:tblCellMar>
          <w:top w:w="28" w:type="dxa"/>
          <w:left w:w="28" w:type="dxa"/>
          <w:bottom w:w="28" w:type="dxa"/>
          <w:right w:w="28" w:type="dxa"/>
        </w:tblCellMar>
      </w:tblPr>
      <w:tblGrid>
        <w:gridCol w:w="124"/>
        <w:gridCol w:w="109"/>
        <w:gridCol w:w="109"/>
        <w:gridCol w:w="1510"/>
        <w:gridCol w:w="1510"/>
        <w:gridCol w:w="214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214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JASON P. WELLS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Jason P. Wells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31.1.3</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Jason P. Wells, certify that: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CenterPoint Energy Resources Corp.;</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firstLine="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firstLine="72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27, 2023 </w:t>
      </w:r>
    </w:p>
    <w:p>
      <w:pPr>
        <w:pStyle w:val="TextBody"/>
        <w:spacing w:lineRule="auto" w:line="288" w:before="0" w:after="0"/>
        <w:rPr>
          <w:color w:val="000000"/>
        </w:rPr>
      </w:pPr>
      <w:r>
        <w:rPr>
          <w:color w:val="000000"/>
        </w:rPr>
        <w:t> </w:t>
      </w:r>
    </w:p>
    <w:tbl>
      <w:tblPr>
        <w:tblW w:w="5174" w:type="dxa"/>
        <w:jc w:val="right"/>
        <w:tblInd w:w="0" w:type="dxa"/>
        <w:tblCellMar>
          <w:top w:w="28" w:type="dxa"/>
          <w:left w:w="28" w:type="dxa"/>
          <w:bottom w:w="28" w:type="dxa"/>
          <w:right w:w="28" w:type="dxa"/>
        </w:tblCellMar>
      </w:tblPr>
      <w:tblGrid>
        <w:gridCol w:w="1653"/>
        <w:gridCol w:w="1454"/>
        <w:gridCol w:w="2067"/>
      </w:tblGrid>
      <w:tr>
        <w:trPr/>
        <w:tc>
          <w:tcPr>
            <w:tcW w:w="1653"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2067" w:type="dxa"/>
            <w:tcBorders/>
            <w:shd w:fill="auto" w:val="clear"/>
            <w:vAlign w:val="center"/>
          </w:tcPr>
          <w:p>
            <w:pPr>
              <w:pStyle w:val="TableContents"/>
              <w:spacing w:before="0" w:after="283"/>
              <w:rPr>
                <w:sz w:val="4"/>
                <w:szCs w:val="4"/>
              </w:rPr>
            </w:pPr>
            <w:r>
              <w:rPr>
                <w:sz w:val="4"/>
                <w:szCs w:val="4"/>
              </w:rPr>
            </w:r>
          </w:p>
        </w:tc>
      </w:tr>
      <w:tr>
        <w:trPr/>
        <w:tc>
          <w:tcPr>
            <w:tcW w:w="51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JASON P. WELLS</w:t>
            </w:r>
          </w:p>
        </w:tc>
      </w:tr>
      <w:tr>
        <w:trPr/>
        <w:tc>
          <w:tcPr>
            <w:tcW w:w="51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P. Wells</w:t>
            </w:r>
          </w:p>
        </w:tc>
      </w:tr>
      <w:tr>
        <w:trPr/>
        <w:tc>
          <w:tcPr>
            <w:tcW w:w="5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Chief Financial Officer</w:t>
            </w:r>
          </w:p>
        </w:tc>
      </w:tr>
    </w:tbl>
    <w:p>
      <w:pPr>
        <w:pStyle w:val="TextBody"/>
        <w:spacing w:before="0" w:after="0"/>
        <w:rPr/>
      </w:pPr>
      <w:r>
        <w:rPr/>
      </w:r>
    </w:p>
    <w:p>
      <w:pPr>
        <w:pStyle w:val="TextBody"/>
        <w:spacing w:lineRule="auto" w:line="288"/>
        <w:rPr>
          <w:color w:val="000000"/>
        </w:rPr>
      </w:pPr>
      <w:r>
        <w:rPr>
          <w:color w:val="000000"/>
        </w:rPr>
        <w:t xml:space="preserve">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31.2.1</w:t>
      </w:r>
    </w:p>
    <w:p>
      <w:pPr>
        <w:pStyle w:val="TextBody"/>
        <w:spacing w:lineRule="auto" w:line="288" w:before="0" w:after="0"/>
        <w:jc w:val="both"/>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Jason P. Wells, certify that:</w:t>
      </w:r>
    </w:p>
    <w:p>
      <w:pPr>
        <w:pStyle w:val="TextBody"/>
        <w:spacing w:lineRule="auto" w:line="288" w:before="0" w:after="0"/>
        <w:jc w:val="both"/>
        <w:rPr>
          <w:color w:val="000000"/>
        </w:rPr>
      </w:pPr>
      <w:r>
        <w:rPr>
          <w:color w:val="000000"/>
        </w:rPr>
        <w:t> </w:t>
      </w:r>
    </w:p>
    <w:p>
      <w:pPr>
        <w:pStyle w:val="TextBody"/>
        <w:spacing w:lineRule="auto" w:line="288" w:before="0" w:after="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quarterly report on Form 10-Q of CenterPoint Energy, Inc.;</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72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72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27, 2023 </w:t>
      </w:r>
    </w:p>
    <w:p>
      <w:pPr>
        <w:pStyle w:val="TextBody"/>
        <w:spacing w:lineRule="auto" w:line="288" w:before="0" w:after="0"/>
        <w:jc w:val="both"/>
        <w:rPr>
          <w:color w:val="000000"/>
        </w:rPr>
      </w:pPr>
      <w:r>
        <w:rPr>
          <w:color w:val="000000"/>
        </w:rPr>
        <w:t> </w:t>
      </w:r>
    </w:p>
    <w:tbl>
      <w:tblPr>
        <w:tblW w:w="5487" w:type="dxa"/>
        <w:jc w:val="left"/>
        <w:tblInd w:w="0" w:type="dxa"/>
        <w:tblCellMar>
          <w:top w:w="28" w:type="dxa"/>
          <w:left w:w="28" w:type="dxa"/>
          <w:bottom w:w="28" w:type="dxa"/>
          <w:right w:w="28" w:type="dxa"/>
        </w:tblCellMar>
      </w:tblPr>
      <w:tblGrid>
        <w:gridCol w:w="124"/>
        <w:gridCol w:w="109"/>
        <w:gridCol w:w="109"/>
        <w:gridCol w:w="1503"/>
        <w:gridCol w:w="1503"/>
        <w:gridCol w:w="21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21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Jason P. Wells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Jason P. Wells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Chief Operating Officer and 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32.1.1</w:t>
      </w:r>
    </w:p>
    <w:p>
      <w:pPr>
        <w:pStyle w:val="TextBody"/>
        <w:spacing w:lineRule="auto" w:line="288" w:before="0" w:after="0"/>
        <w:jc w:val="both"/>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SARBANES-OXLEY ACT OF 2002</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CenterPoint Energy, Inc. (the “Company”) on Form 10-Q for the quarter ended March 31, 2023 (the “Report”), as filed with the Securities and Exchange Commission on the date hereof, I, David J. Lesar, Chief Executive Officer, certify, pursuant to 18 U.S.C. Section 1350, as adopted pursuant to Section 906 of the Sarbanes-Oxley Act of 2002, to the best of my knowledge, that:</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The Report fully complies with the requirements of section 13(a) or 15(d) of the Securities Exchange Act of 1934, as amended; and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spacing w:before="0" w:after="0"/>
        <w:ind w:left="0" w:right="0" w:firstLine="360"/>
        <w:jc w:val="both"/>
        <w:rPr/>
      </w:pPr>
      <w:r>
        <w:rPr/>
      </w:r>
    </w:p>
    <w:p>
      <w:pPr>
        <w:pStyle w:val="TextBody"/>
        <w:spacing w:before="0" w:after="0"/>
        <w:ind w:left="0" w:right="0" w:firstLine="360"/>
        <w:jc w:val="both"/>
        <w:rPr/>
      </w:pPr>
      <w:r>
        <w:rPr/>
      </w:r>
    </w:p>
    <w:tbl>
      <w:tblPr>
        <w:tblW w:w="2411" w:type="dxa"/>
        <w:jc w:val="left"/>
        <w:tblInd w:w="0" w:type="dxa"/>
        <w:tblCellMar>
          <w:top w:w="28" w:type="dxa"/>
          <w:left w:w="28" w:type="dxa"/>
          <w:bottom w:w="28" w:type="dxa"/>
          <w:right w:w="28" w:type="dxa"/>
        </w:tblCellMar>
      </w:tblPr>
      <w:tblGrid>
        <w:gridCol w:w="737"/>
        <w:gridCol w:w="649"/>
        <w:gridCol w:w="653"/>
        <w:gridCol w:w="109"/>
        <w:gridCol w:w="109"/>
        <w:gridCol w:w="154"/>
      </w:tblGrid>
      <w:tr>
        <w:trPr/>
        <w:tc>
          <w:tcPr>
            <w:tcW w:w="737"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David J. Lesar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David J. Lesar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32.1.2</w:t>
      </w:r>
    </w:p>
    <w:p>
      <w:pPr>
        <w:pStyle w:val="TextBody"/>
        <w:spacing w:lineRule="auto" w:line="288" w:before="0" w:after="0"/>
        <w:jc w:val="both"/>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SARBANES-OXLEY ACT OF 2002</w:t>
      </w:r>
    </w:p>
    <w:p>
      <w:pPr>
        <w:pStyle w:val="TextBody"/>
        <w:spacing w:lineRule="auto" w:line="288" w:before="0" w:after="0"/>
        <w:jc w:val="center"/>
        <w:rPr>
          <w:color w:val="000000"/>
        </w:rPr>
      </w:pPr>
      <w:r>
        <w:rPr>
          <w:color w:val="000000"/>
        </w:rPr>
        <w:t>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CenterPoint Energy Houston Electric, LLC (the “Company”) on Form 10-Q for the quarter ended March 31, 2023 (the “Report”), as filed with the Securities and Exchange Commission on the date hereof, I, Jason P. Wells, Chief Executive Officer and Chief Financial Officer, certify, pursuant to 18 U.S.C. Section 1350, as adopted pursuant to Section 906 of the Sarbanes-Oxley Act of 2002, to the best of my knowledge, that: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1.</w:t>
      </w:r>
      <w:r>
        <w:rPr>
          <w:rFonts w:ascii="Times New Roman;sans-serif" w:hAnsi="Times New Roman;sans-serif"/>
          <w:b w:val="false"/>
          <w:color w:val="000000"/>
          <w:sz w:val="20"/>
        </w:rPr>
        <w:t>The Report fully complies with the requirements of section 13(a) or 15(d) of the Securities Exchange Act of 1934, as amended; and</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2.</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spacing w:before="0" w:after="0"/>
        <w:ind w:left="0" w:right="0" w:firstLine="360"/>
        <w:rPr/>
      </w:pPr>
      <w:r>
        <w:rPr/>
      </w:r>
    </w:p>
    <w:p>
      <w:pPr>
        <w:pStyle w:val="TextBody"/>
        <w:spacing w:before="0" w:after="0"/>
        <w:ind w:left="0" w:right="0" w:firstLine="360"/>
        <w:rPr/>
      </w:pPr>
      <w:r>
        <w:rPr/>
      </w:r>
    </w:p>
    <w:tbl>
      <w:tblPr>
        <w:tblW w:w="5502" w:type="dxa"/>
        <w:jc w:val="left"/>
        <w:tblInd w:w="0" w:type="dxa"/>
        <w:tblCellMar>
          <w:top w:w="28" w:type="dxa"/>
          <w:left w:w="28" w:type="dxa"/>
          <w:bottom w:w="28" w:type="dxa"/>
          <w:right w:w="28" w:type="dxa"/>
        </w:tblCellMar>
      </w:tblPr>
      <w:tblGrid>
        <w:gridCol w:w="1856"/>
        <w:gridCol w:w="1634"/>
        <w:gridCol w:w="1640"/>
        <w:gridCol w:w="109"/>
        <w:gridCol w:w="109"/>
        <w:gridCol w:w="154"/>
      </w:tblGrid>
      <w:tr>
        <w:trPr/>
        <w:tc>
          <w:tcPr>
            <w:tcW w:w="1856" w:type="dxa"/>
            <w:tcBorders/>
            <w:shd w:fill="auto" w:val="clear"/>
            <w:vAlign w:val="center"/>
          </w:tcPr>
          <w:p>
            <w:pPr>
              <w:pStyle w:val="TableContents"/>
              <w:spacing w:before="0" w:after="283"/>
              <w:rPr>
                <w:sz w:val="4"/>
                <w:szCs w:val="4"/>
              </w:rPr>
            </w:pPr>
            <w:r>
              <w:rPr>
                <w:sz w:val="4"/>
                <w:szCs w:val="4"/>
              </w:rPr>
            </w:r>
          </w:p>
        </w:tc>
        <w:tc>
          <w:tcPr>
            <w:tcW w:w="1634" w:type="dxa"/>
            <w:tcBorders/>
            <w:shd w:fill="auto" w:val="clear"/>
            <w:vAlign w:val="center"/>
          </w:tcPr>
          <w:p>
            <w:pPr>
              <w:pStyle w:val="TableContents"/>
              <w:spacing w:before="0" w:after="283"/>
              <w:rPr>
                <w:sz w:val="4"/>
                <w:szCs w:val="4"/>
              </w:rPr>
            </w:pPr>
            <w:r>
              <w:rPr>
                <w:sz w:val="4"/>
                <w:szCs w:val="4"/>
              </w:rPr>
            </w:r>
          </w:p>
        </w:tc>
        <w:tc>
          <w:tcPr>
            <w:tcW w:w="16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3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JASON P. WELLS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1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Jason P. Wells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13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Chief Financial Officer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32.1.3</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CenterPoint Energy Resources Corp. (the “Company”) on Form 10-Q for the quarter ended March 31, 2023 (the “Report”), as filed with the Securities and Exchange Commission on the date hereof, I, Jason P. Wells, Chief Executive Officer and Chief Financial Officer, certify, pursuant to 18 U.S.C. Section 1350, as adopted pursuant to Section 906 of the Sarbanes-Oxley Act of 2002, to the best of my knowledge, that: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spacing w:before="0" w:after="0"/>
        <w:rPr/>
      </w:pPr>
      <w:r>
        <w:rPr/>
      </w:r>
    </w:p>
    <w:p>
      <w:pPr>
        <w:pStyle w:val="TextBody"/>
        <w:spacing w:before="0" w:after="0"/>
        <w:rPr/>
      </w:pPr>
      <w:r>
        <w:rPr/>
      </w:r>
    </w:p>
    <w:p>
      <w:pPr>
        <w:pStyle w:val="TextBody"/>
        <w:spacing w:before="0" w:after="0"/>
        <w:rPr/>
      </w:pPr>
      <w:r>
        <w:rPr/>
      </w:r>
    </w:p>
    <w:tbl>
      <w:tblPr>
        <w:tblW w:w="5174" w:type="dxa"/>
        <w:jc w:val="left"/>
        <w:tblInd w:w="0" w:type="dxa"/>
        <w:tblCellMar>
          <w:top w:w="28" w:type="dxa"/>
          <w:left w:w="28" w:type="dxa"/>
          <w:bottom w:w="28" w:type="dxa"/>
          <w:right w:w="28" w:type="dxa"/>
        </w:tblCellMar>
      </w:tblPr>
      <w:tblGrid>
        <w:gridCol w:w="1653"/>
        <w:gridCol w:w="1454"/>
        <w:gridCol w:w="2067"/>
      </w:tblGrid>
      <w:tr>
        <w:trPr/>
        <w:tc>
          <w:tcPr>
            <w:tcW w:w="1653"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2067" w:type="dxa"/>
            <w:tcBorders/>
            <w:shd w:fill="auto" w:val="clear"/>
            <w:vAlign w:val="center"/>
          </w:tcPr>
          <w:p>
            <w:pPr>
              <w:pStyle w:val="TableContents"/>
              <w:spacing w:before="0" w:after="283"/>
              <w:rPr>
                <w:sz w:val="4"/>
                <w:szCs w:val="4"/>
              </w:rPr>
            </w:pPr>
            <w:r>
              <w:rPr>
                <w:sz w:val="4"/>
                <w:szCs w:val="4"/>
              </w:rPr>
            </w:r>
          </w:p>
        </w:tc>
      </w:tr>
      <w:tr>
        <w:trPr/>
        <w:tc>
          <w:tcPr>
            <w:tcW w:w="51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JASON P. WELLS</w:t>
            </w:r>
          </w:p>
        </w:tc>
      </w:tr>
      <w:tr>
        <w:trPr/>
        <w:tc>
          <w:tcPr>
            <w:tcW w:w="51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P. Wells</w:t>
            </w:r>
          </w:p>
        </w:tc>
      </w:tr>
      <w:tr>
        <w:trPr/>
        <w:tc>
          <w:tcPr>
            <w:tcW w:w="5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Chief Financial Officer</w:t>
            </w:r>
          </w:p>
        </w:tc>
      </w:tr>
      <w:tr>
        <w:trPr/>
        <w:tc>
          <w:tcPr>
            <w:tcW w:w="5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r>
    </w:tbl>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p>
    <w:p>
      <w:pPr>
        <w:pStyle w:val="TextBody"/>
        <w:spacing w:before="0" w:after="0"/>
        <w:rPr/>
      </w:pPr>
      <w:r>
        <w:rPr/>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xml:space="preserve">  </w:t>
      </w:r>
    </w:p>
    <w:p>
      <w:pPr>
        <w:pStyle w:val="TextBody"/>
        <w:spacing w:lineRule="auto" w:line="288" w:before="0" w:after="0"/>
        <w:jc w:val="center"/>
        <w:rPr>
          <w:color w:val="000000"/>
        </w:rPr>
      </w:pPr>
      <w:r>
        <w:rPr>
          <w:color w:val="000000"/>
        </w:rPr>
        <w:t xml:space="preserve">  </w:t>
      </w:r>
    </w:p>
    <w:p>
      <w:pPr>
        <w:pStyle w:val="TextBody"/>
        <w:spacing w:before="0" w:after="0"/>
        <w:rPr/>
      </w:pPr>
      <w:r>
        <w:rPr/>
      </w:r>
    </w:p>
    <w:p>
      <w:pPr>
        <w:pStyle w:val="TextBody"/>
        <w:spacing w:before="0" w:after="0"/>
        <w:jc w:val="center"/>
        <w:rPr/>
      </w:pPr>
      <w:r>
        <w:rPr/>
      </w:r>
    </w:p>
    <w:p>
      <w:pPr>
        <w:pStyle w:val="TextBody"/>
        <w:spacing w:lineRule="auto" w:line="288" w:before="0" w:after="0"/>
        <w:jc w:val="right"/>
        <w:rPr>
          <w:color w:val="000000"/>
        </w:rPr>
      </w:pPr>
      <w:r>
        <w:rPr>
          <w:color w:val="000000"/>
        </w:rPr>
        <w:t xml:space="preserve">  </w:t>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32.2.1</w:t>
      </w:r>
    </w:p>
    <w:p>
      <w:pPr>
        <w:pStyle w:val="TextBody"/>
        <w:spacing w:lineRule="auto" w:line="288" w:before="0" w:after="0"/>
        <w:jc w:val="both"/>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906</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OF THE SARBANES-OXLEY ACT OF 2002</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CenterPoint Energy, Inc. (the “Company”) on Form 10-Q for the quarter ended March 31, 2023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The Report fully complies with the requirements of section 13(a) or 15(d) of the Securities Exchange Act of 1934, as amended; and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spacing w:before="0" w:after="0"/>
        <w:ind w:left="0" w:right="0" w:firstLine="360"/>
        <w:jc w:val="both"/>
        <w:rPr/>
      </w:pPr>
      <w:r>
        <w:rPr/>
      </w:r>
    </w:p>
    <w:p>
      <w:pPr>
        <w:pStyle w:val="TextBody"/>
        <w:spacing w:before="0" w:after="0"/>
        <w:ind w:left="0" w:right="0" w:firstLine="360"/>
        <w:jc w:val="both"/>
        <w:rPr/>
      </w:pPr>
      <w:r>
        <w:rPr/>
      </w:r>
    </w:p>
    <w:tbl>
      <w:tblPr>
        <w:tblW w:w="5531" w:type="dxa"/>
        <w:jc w:val="left"/>
        <w:tblInd w:w="0" w:type="dxa"/>
        <w:tblCellMar>
          <w:top w:w="28" w:type="dxa"/>
          <w:left w:w="28" w:type="dxa"/>
          <w:bottom w:w="28" w:type="dxa"/>
          <w:right w:w="28" w:type="dxa"/>
        </w:tblCellMar>
      </w:tblPr>
      <w:tblGrid>
        <w:gridCol w:w="1866"/>
        <w:gridCol w:w="1638"/>
        <w:gridCol w:w="1655"/>
        <w:gridCol w:w="109"/>
        <w:gridCol w:w="109"/>
        <w:gridCol w:w="154"/>
      </w:tblGrid>
      <w:tr>
        <w:trPr/>
        <w:tc>
          <w:tcPr>
            <w:tcW w:w="1866" w:type="dxa"/>
            <w:tcBorders/>
            <w:shd w:fill="auto" w:val="clear"/>
            <w:vAlign w:val="center"/>
          </w:tcPr>
          <w:p>
            <w:pPr>
              <w:pStyle w:val="TableContents"/>
              <w:spacing w:before="0" w:after="283"/>
              <w:rPr>
                <w:sz w:val="4"/>
                <w:szCs w:val="4"/>
              </w:rPr>
            </w:pPr>
            <w:r>
              <w:rPr>
                <w:sz w:val="4"/>
                <w:szCs w:val="4"/>
              </w:rPr>
            </w:r>
          </w:p>
        </w:tc>
        <w:tc>
          <w:tcPr>
            <w:tcW w:w="1638"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Jason P. Wells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Jason P. Wells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Chief Operating Officer and Chief Financial Officer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130310/000113031023000013/cnp-20221231.htm" TargetMode="External"/><Relationship Id="rId3" Type="http://schemas.openxmlformats.org/officeDocument/2006/relationships/hyperlink" Target="http://www.sec.gov/Archives/edgar/data/1130310/000119312518125804/d561804dex21.htm" TargetMode="External"/><Relationship Id="rId4" Type="http://schemas.openxmlformats.org/officeDocument/2006/relationships/hyperlink" Target="http://www.sec.gov/Archives/edgar/data/1130310/000113031020000006/exhibit21purchaseagreeme.htm" TargetMode="External"/><Relationship Id="rId5" Type="http://schemas.openxmlformats.org/officeDocument/2006/relationships/hyperlink" Target="http://www.sec.gov/Archives/edgar/data/1042773/000113031020000012/exhibit21.htm" TargetMode="External"/><Relationship Id="rId6" Type="http://schemas.openxmlformats.org/officeDocument/2006/relationships/hyperlink" Target="http://www.sec.gov/Archives/edgar/data/48732/000113031021000024/exhibit24cerc-assetpurchas.htm" TargetMode="External"/><Relationship Id="rId7" Type="http://schemas.openxmlformats.org/officeDocument/2006/relationships/hyperlink" Target="http://www.sec.gov/Archives/edgar/data/1130310/000113031008000004/ex3-2.htm" TargetMode="External"/><Relationship Id="rId8" Type="http://schemas.openxmlformats.org/officeDocument/2006/relationships/hyperlink" Target="http://www.sec.gov/Archives/edgar/data/48732/000113031011000048/ex3-1.htm" TargetMode="External"/><Relationship Id="rId9" Type="http://schemas.openxmlformats.org/officeDocument/2006/relationships/hyperlink" Target="http://www.sec.gov/Archives/edgar/data/1042773/0000950129-98-001585.txt" TargetMode="External"/><Relationship Id="rId10" Type="http://schemas.openxmlformats.org/officeDocument/2006/relationships/hyperlink" Target="http://www.sec.gov/Archives/edgar/data/1042773/0000950129-98-001585.txt" TargetMode="External"/><Relationship Id="rId11" Type="http://schemas.openxmlformats.org/officeDocument/2006/relationships/hyperlink" Target="http://www.sec.gov/Archives/edgar/data/48732/0000950129-99-001059.txt" TargetMode="External"/><Relationship Id="rId12" Type="http://schemas.openxmlformats.org/officeDocument/2006/relationships/hyperlink" Target="http://www.sec.gov/Archives/edgar/data/1042773/000095012903004183/h07971exv3wa4.txt" TargetMode="External"/><Relationship Id="rId13" Type="http://schemas.openxmlformats.org/officeDocument/2006/relationships/hyperlink" Target="http://www.sec.gov/Archives/edgar/data/1130310/000119312517056500/d354129dex31.htm" TargetMode="External"/><Relationship Id="rId14" Type="http://schemas.openxmlformats.org/officeDocument/2006/relationships/hyperlink" Target="http://www.sec.gov/Archives/edgar/data/48732/000113031011000048/ex3-2.htm" TargetMode="External"/><Relationship Id="rId15" Type="http://schemas.openxmlformats.org/officeDocument/2006/relationships/hyperlink" Target="http://www.sec.gov/Archives/edgar/data/1042773/0000950129-98-001585.txt" TargetMode="External"/><Relationship Id="rId16" Type="http://schemas.openxmlformats.org/officeDocument/2006/relationships/hyperlink" Target="http://www.sec.gov/Archives/edgar/data/1130310/000113031012000011/exhibit3c.htm" TargetMode="External"/><Relationship Id="rId17" Type="http://schemas.openxmlformats.org/officeDocument/2006/relationships/hyperlink" Target="http://www.sec.gov/Archives/edgar/data/1130310/000119312518256372/d601681dex31.htm" TargetMode="External"/><Relationship Id="rId18" Type="http://schemas.openxmlformats.org/officeDocument/2006/relationships/hyperlink" Target="http://www.sec.gov/Archives/edgar/data/1130310/000119312518288531/d589550dex31.htm" TargetMode="External"/><Relationship Id="rId19" Type="http://schemas.openxmlformats.org/officeDocument/2006/relationships/hyperlink" Target="http://www.sec.gov/Archives/edgar/data/1130310/000119312520135744/d926772dex31.htm" TargetMode="External"/><Relationship Id="rId20" Type="http://schemas.openxmlformats.org/officeDocument/2006/relationships/hyperlink" Target="http://www.sec.gov/Archives/edgar/data/1130310/000095012901503771/h90625a1ex4-1.txt" TargetMode="External"/><Relationship Id="rId21" Type="http://schemas.openxmlformats.org/officeDocument/2006/relationships/hyperlink" Target="http://www.sec.gov/Archives/edgar/data/1130310/000119312518256372/d601681dex41.htm" TargetMode="External"/><Relationship Id="rId22" Type="http://schemas.openxmlformats.org/officeDocument/2006/relationships/hyperlink" Target="https://www.sec.gov/Archives/edgar/data/1130310/000119312523021694/d444047dex102.htm" TargetMode="External"/><Relationship Id="rId23" Type="http://schemas.openxmlformats.org/officeDocument/2006/relationships/hyperlink" Target="https://www.sec.gov/Archives/edgar/data/1130310/000119312523072741/d481093dex42.htm" TargetMode="External"/><Relationship Id="rId24" Type="http://schemas.openxmlformats.org/officeDocument/2006/relationships/hyperlink" Target="https://www.sec.gov/Archives/edgar/data/1042773/0000899243-98-000159.txt" TargetMode="External"/><Relationship Id="rId25" Type="http://schemas.openxmlformats.org/officeDocument/2006/relationships/hyperlink" Target="https://www.sec.gov/Archives/edgar/data/48732/000095012902005703/h01010exv4wj1.txt" TargetMode="External"/><Relationship Id="rId26" Type="http://schemas.openxmlformats.org/officeDocument/2006/relationships/hyperlink" Target="https://www.sec.gov/Archives/edgar/data/48732/000095012903001324/h03758exv4wk10.txt" TargetMode="External"/><Relationship Id="rId27" Type="http://schemas.openxmlformats.org/officeDocument/2006/relationships/hyperlink" Target="https://www.sec.gov/Archives/edgar/data/48732/000095013409000323/h65378exv4w2.htm" TargetMode="External"/><Relationship Id="rId28" Type="http://schemas.openxmlformats.org/officeDocument/2006/relationships/hyperlink" Target="https://www.sec.gov/Archives/edgar/data/48732/000119312523075856/d438705dex44.htm" TargetMode="External"/><Relationship Id="rId29" Type="http://schemas.openxmlformats.org/officeDocument/2006/relationships/hyperlink" Target="https://www.sec.gov/Archives/edgar/data/1130310/000119312523021694/d444047dex101.htm" TargetMode="External"/><Relationship Id="rId30" Type="http://schemas.openxmlformats.org/officeDocument/2006/relationships/hyperlink" Target="https://www.sec.gov/Archives/edgar/data/48732/000113031023000013/exhibit10ee9formofperforma.htm" TargetMode="External"/><Relationship Id="rId31" Type="http://schemas.openxmlformats.org/officeDocument/2006/relationships/hyperlink" Target="https://www.sec.gov/Archives/edgar/data/48732/000113031023000013/exhibit10ee10formofrsu.htm" TargetMode="External"/><Relationship Id="rId32" Type="http://schemas.openxmlformats.org/officeDocument/2006/relationships/hyperlink" Target="https://www.sec.gov/Archives/edgar/data/48732/000113031023000013/exhibitktermloanagreemen.htm" TargetMode="External"/><Relationship Id="rId33" Type="http://schemas.openxmlformats.org/officeDocument/2006/relationships/hyperlink" Target="https://www.sec.gov/Archives/edgar/data/48732/000113031023000028/exhibit101-separationagree.htm" TargetMode="External"/><Relationship Id="rId34" Type="http://schemas.openxmlformats.org/officeDocument/2006/relationships/hyperlink" Target="https://www.sec.gov/Archives/edgar/data/48732/000113031023000052/exhibit101offerletter.htm" TargetMode="External"/><Relationship Id="rId35" Type="http://schemas.openxmlformats.org/officeDocument/2006/relationships/hyperlink" Target="https://www.sec.gov/Archives/edgar/data/48732/000113031023000052/exhibit102rsuagreement.htm" TargetMode="External"/><Relationship Id="rId36" Type="http://schemas.openxmlformats.org/officeDocument/2006/relationships/hyperlink" Target="https://www.sec.gov/Archives/edgar/data/1130310/000119312523072741/d481093dex101.htm" TargetMode="External"/><Relationship Id="rId37" Type="http://schemas.openxmlformats.org/officeDocument/2006/relationships/hyperlink" Target="https://www.sec.gov/Archives/edgar/data/1130310/000119312523080484/d452025dex101.htm" TargetMode="External"/><Relationship Id="rId38" Type="http://schemas.openxmlformats.org/officeDocument/2006/relationships/image" Target="media/image1.png"/><Relationship Id="rId39" Type="http://schemas.openxmlformats.org/officeDocument/2006/relationships/image" Target="media/image2.png"/><Relationship Id="rId40" Type="http://schemas.openxmlformats.org/officeDocument/2006/relationships/image" Target="media/image3.pn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82</Pages>
  <Words>71838</Words>
  <CharactersWithSpaces>454798</CharactersWithSpaces>
  <Paragraphs>7169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