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399"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Form 10-K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165100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7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6" w:lineRule="exact"/>
        <w:rPr>
          <w:sz w:val="24"/>
          <w:szCs w:val="24"/>
          <w:color w:val="auto"/>
        </w:rPr>
      </w:pPr>
    </w:p>
    <w:p>
      <w:pPr>
        <w:ind w:left="3920" w:right="2100" w:hanging="3912"/>
        <w:spacing w:after="0" w:line="490" w:lineRule="auto"/>
        <w:tabs>
          <w:tab w:leader="none" w:pos="327"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ANNUAL REPORT PURSUANT TO SECTION 13 OR 15(d) OF THE SECURITIES EXCHANGE ACT OF 1934 For the fiscal year ended December 31, 2024</w:t>
      </w:r>
    </w:p>
    <w:p>
      <w:pPr>
        <w:spacing w:after="0" w:line="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440"/>
        <w:spacing w:after="0"/>
        <w:tabs>
          <w:tab w:leader="none" w:pos="674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7"/>
          <w:szCs w:val="17"/>
          <w:b w:val="1"/>
          <w:bCs w:val="1"/>
          <w:color w:val="auto"/>
        </w:rPr>
        <w:t>to__________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3690620</wp:posOffset>
            </wp:positionH>
            <wp:positionV relativeFrom="paragraph">
              <wp:posOffset>-5080</wp:posOffset>
            </wp:positionV>
            <wp:extent cx="6000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0075" cy="8255"/>
                    </a:xfrm>
                    <a:prstGeom prst="rect">
                      <a:avLst/>
                    </a:prstGeom>
                    <a:noFill/>
                  </pic:spPr>
                </pic:pic>
              </a:graphicData>
            </a:graphic>
          </wp:anchor>
        </w:drawing>
      </w:r>
    </w:p>
    <w:p>
      <w:pPr>
        <w:spacing w:after="0" w:line="1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Commission File Number 333-270851-01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SIGECO Securitization I, LLC</w:t>
      </w:r>
    </w:p>
    <w:p>
      <w:pPr>
        <w:spacing w:after="0" w:line="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registrant (issuing entity) as specified in its charter)</w:t>
      </w:r>
    </w:p>
    <w:p>
      <w:pPr>
        <w:spacing w:after="0" w:line="201"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Central Index Key Number (CIK): 0001968445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0" w:lineRule="exact"/>
        <w:rPr>
          <w:sz w:val="24"/>
          <w:szCs w:val="24"/>
          <w:color w:val="auto"/>
        </w:rPr>
      </w:pPr>
    </w:p>
    <w:p>
      <w:pPr>
        <w:spacing w:after="0" w:line="223"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32"/>
          <w:szCs w:val="32"/>
          <w:b w:val="1"/>
          <w:bCs w:val="1"/>
          <w:color w:val="auto"/>
        </w:rPr>
        <w:t>Southern Indiana Gas and Electric Company</w:t>
      </w:r>
    </w:p>
    <w:p>
      <w:pPr>
        <w:spacing w:after="0" w:line="45" w:lineRule="exact"/>
        <w:rPr>
          <w:sz w:val="24"/>
          <w:szCs w:val="24"/>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(Exact name of depositor and sponsor as specified in its charter)</w:t>
      </w:r>
    </w:p>
    <w:p>
      <w:pPr>
        <w:spacing w:after="0" w:line="201" w:lineRule="exact"/>
        <w:rPr>
          <w:sz w:val="24"/>
          <w:szCs w:val="24"/>
          <w:color w:val="auto"/>
        </w:rPr>
      </w:pPr>
    </w:p>
    <w:tbl>
      <w:tblPr>
        <w:tblLayout w:type="fixed"/>
        <w:tblInd w:w="340" w:type="dxa"/>
        <w:tblCellMar>
          <w:top w:w="0" w:type="dxa"/>
          <w:left w:w="0" w:type="dxa"/>
          <w:bottom w:w="0" w:type="dxa"/>
          <w:right w:w="0" w:type="dxa"/>
        </w:tblCellMar>
      </w:tblPr>
      <w:tr>
        <w:trPr>
          <w:trHeight w:val="238"/>
        </w:trPr>
        <w:tc>
          <w:tcPr>
            <w:tcW w:w="8600" w:type="dxa"/>
            <w:vAlign w:val="bottom"/>
            <w:gridSpan w:val="4"/>
          </w:tcPr>
          <w:p>
            <w:pPr>
              <w:jc w:val="center"/>
              <w:ind w:left="1890"/>
              <w:spacing w:after="0"/>
              <w:rPr>
                <w:sz w:val="20"/>
                <w:szCs w:val="20"/>
                <w:color w:val="auto"/>
              </w:rPr>
            </w:pPr>
            <w:r>
              <w:rPr>
                <w:rFonts w:ascii="Times New Roman" w:cs="Times New Roman" w:eastAsia="Times New Roman" w:hAnsi="Times New Roman"/>
                <w:sz w:val="18"/>
                <w:szCs w:val="18"/>
                <w:b w:val="1"/>
                <w:bCs w:val="1"/>
                <w:color w:val="auto"/>
                <w:w w:val="99"/>
              </w:rPr>
              <w:t>Central Index Key Number (CIK): 0000092195</w:t>
            </w: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138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1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5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34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92-2762878</w:t>
            </w: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w w:val="99"/>
              </w:rPr>
              <w:t>(State or other jurisdiction of</w:t>
            </w:r>
          </w:p>
        </w:tc>
        <w:tc>
          <w:tcPr>
            <w:tcW w:w="1420" w:type="dxa"/>
            <w:vAlign w:val="bottom"/>
          </w:tcPr>
          <w:p>
            <w:pPr>
              <w:spacing w:after="0"/>
              <w:rPr>
                <w:sz w:val="18"/>
                <w:szCs w:val="18"/>
                <w:color w:val="auto"/>
              </w:rPr>
            </w:pPr>
          </w:p>
        </w:tc>
        <w:tc>
          <w:tcPr>
            <w:tcW w:w="26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jc w:val="center"/>
              <w:ind w:right="300"/>
              <w:spacing w:after="0"/>
              <w:rPr>
                <w:sz w:val="20"/>
                <w:szCs w:val="20"/>
                <w:color w:val="auto"/>
              </w:rPr>
            </w:pPr>
            <w:r>
              <w:rPr>
                <w:rFonts w:ascii="Times New Roman" w:cs="Times New Roman" w:eastAsia="Times New Roman" w:hAnsi="Times New Roman"/>
                <w:sz w:val="18"/>
                <w:szCs w:val="18"/>
                <w:b w:val="1"/>
                <w:bCs w:val="1"/>
                <w:color w:val="auto"/>
              </w:rPr>
              <w:t>incorporation or organization)</w:t>
            </w:r>
          </w:p>
        </w:tc>
        <w:tc>
          <w:tcPr>
            <w:tcW w:w="1420" w:type="dxa"/>
            <w:vAlign w:val="bottom"/>
          </w:tcPr>
          <w:p>
            <w:pPr>
              <w:spacing w:after="0"/>
              <w:rPr>
                <w:sz w:val="18"/>
                <w:szCs w:val="18"/>
                <w:color w:val="auto"/>
              </w:rPr>
            </w:pPr>
          </w:p>
        </w:tc>
        <w:tc>
          <w:tcPr>
            <w:tcW w:w="26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Identification Number)</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211 NW Riverside Drive, Suite 800-04</w:t>
            </w:r>
          </w:p>
        </w:tc>
        <w:tc>
          <w:tcPr>
            <w:tcW w:w="142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rPr>
              <w:t>Evansville, Indiana 47708</w:t>
            </w:r>
          </w:p>
        </w:tc>
        <w:tc>
          <w:tcPr>
            <w:tcW w:w="4040" w:type="dxa"/>
            <w:vAlign w:val="bottom"/>
            <w:gridSpan w:val="3"/>
          </w:tcPr>
          <w:p>
            <w:pPr>
              <w:jc w:val="right"/>
              <w:ind w:right="550"/>
              <w:spacing w:after="0"/>
              <w:rPr>
                <w:sz w:val="20"/>
                <w:szCs w:val="20"/>
                <w:color w:val="auto"/>
              </w:rPr>
            </w:pPr>
            <w:r>
              <w:rPr>
                <w:rFonts w:ascii="Times New Roman" w:cs="Times New Roman" w:eastAsia="Times New Roman" w:hAnsi="Times New Roman"/>
                <w:sz w:val="18"/>
                <w:szCs w:val="18"/>
                <w:b w:val="1"/>
                <w:bCs w:val="1"/>
                <w:color w:val="auto"/>
              </w:rPr>
              <w:t>(812) 491-4141</w:t>
            </w:r>
          </w:p>
        </w:tc>
        <w:tc>
          <w:tcPr>
            <w:tcW w:w="8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5260" w:type="dxa"/>
            <w:vAlign w:val="bottom"/>
            <w:gridSpan w:val="2"/>
          </w:tcPr>
          <w:p>
            <w:pPr>
              <w:jc w:val="center"/>
              <w:ind w:right="320"/>
              <w:spacing w:after="0"/>
              <w:rPr>
                <w:sz w:val="20"/>
                <w:szCs w:val="20"/>
                <w:color w:val="auto"/>
              </w:rPr>
            </w:pPr>
            <w:r>
              <w:rPr>
                <w:rFonts w:ascii="Times New Roman" w:cs="Times New Roman" w:eastAsia="Times New Roman" w:hAnsi="Times New Roman"/>
                <w:sz w:val="18"/>
                <w:szCs w:val="18"/>
                <w:b w:val="1"/>
                <w:bCs w:val="1"/>
                <w:color w:val="auto"/>
                <w:w w:val="99"/>
              </w:rPr>
              <w:t>(Address and zip code of principal executive offices)</w:t>
            </w:r>
          </w:p>
        </w:tc>
        <w:tc>
          <w:tcPr>
            <w:tcW w:w="4860" w:type="dxa"/>
            <w:vAlign w:val="bottom"/>
            <w:gridSpan w:val="4"/>
          </w:tcPr>
          <w:p>
            <w:pPr>
              <w:jc w:val="center"/>
              <w:ind w:left="71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0" w:type="dxa"/>
            <w:vAlign w:val="bottom"/>
          </w:tcPr>
          <w:p>
            <w:pPr>
              <w:spacing w:after="0"/>
              <w:rPr>
                <w:sz w:val="1"/>
                <w:szCs w:val="1"/>
                <w:color w:val="auto"/>
              </w:rPr>
            </w:pPr>
          </w:p>
        </w:tc>
      </w:tr>
      <w:tr>
        <w:trPr>
          <w:trHeight w:val="410"/>
        </w:trPr>
        <w:tc>
          <w:tcPr>
            <w:tcW w:w="8600" w:type="dxa"/>
            <w:vAlign w:val="bottom"/>
            <w:gridSpan w:val="4"/>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12(b) of the Act: None</w:t>
            </w:r>
          </w:p>
        </w:tc>
        <w:tc>
          <w:tcPr>
            <w:tcW w:w="7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8"/>
        </w:trPr>
        <w:tc>
          <w:tcPr>
            <w:tcW w:w="8600" w:type="dxa"/>
            <w:vAlign w:val="bottom"/>
            <w:gridSpan w:val="4"/>
          </w:tcPr>
          <w:p>
            <w:pPr>
              <w:jc w:val="center"/>
              <w:ind w:left="1870"/>
              <w:spacing w:after="0"/>
              <w:rPr>
                <w:sz w:val="20"/>
                <w:szCs w:val="20"/>
                <w:color w:val="auto"/>
              </w:rPr>
            </w:pPr>
            <w:r>
              <w:rPr>
                <w:rFonts w:ascii="Times New Roman" w:cs="Times New Roman" w:eastAsia="Times New Roman" w:hAnsi="Times New Roman"/>
                <w:sz w:val="18"/>
                <w:szCs w:val="18"/>
                <w:b w:val="1"/>
                <w:bCs w:val="1"/>
                <w:color w:val="auto"/>
                <w:w w:val="99"/>
              </w:rPr>
              <w:t>Securities registered pursuant to Section 12(g) of the Act: None</w:t>
            </w:r>
          </w:p>
        </w:tc>
        <w:tc>
          <w:tcPr>
            <w:tcW w:w="7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880" w:type="dxa"/>
            <w:vAlign w:val="bottom"/>
          </w:tcPr>
          <w:p>
            <w:pPr>
              <w:spacing w:after="0"/>
              <w:rPr>
                <w:sz w:val="18"/>
                <w:szCs w:val="18"/>
                <w:color w:val="auto"/>
              </w:rPr>
            </w:pPr>
          </w:p>
        </w:tc>
        <w:tc>
          <w:tcPr>
            <w:tcW w:w="2800" w:type="dxa"/>
            <w:vAlign w:val="bottom"/>
            <w:tcBorders>
              <w:bottom w:val="single" w:sz="8" w:color="auto"/>
            </w:tcBorders>
            <w:gridSpan w:val="2"/>
          </w:tcPr>
          <w:p>
            <w:pPr>
              <w:spacing w:after="0"/>
              <w:rPr>
                <w:sz w:val="18"/>
                <w:szCs w:val="18"/>
                <w:color w:val="auto"/>
              </w:rPr>
            </w:pPr>
          </w:p>
        </w:tc>
        <w:tc>
          <w:tcPr>
            <w:tcW w:w="1920" w:type="dxa"/>
            <w:vAlign w:val="bottom"/>
          </w:tcPr>
          <w:p>
            <w:pPr>
              <w:spacing w:after="0"/>
              <w:rPr>
                <w:sz w:val="18"/>
                <w:szCs w:val="18"/>
                <w:color w:val="auto"/>
              </w:rPr>
            </w:pPr>
          </w:p>
        </w:tc>
        <w:tc>
          <w:tcPr>
            <w:tcW w:w="700" w:type="dxa"/>
            <w:vAlign w:val="bottom"/>
            <w:vMerge w:val="restart"/>
          </w:tcPr>
          <w:p>
            <w:pPr>
              <w:ind w:left="20"/>
              <w:spacing w:after="0" w:line="207" w:lineRule="exact"/>
              <w:rPr>
                <w:sz w:val="20"/>
                <w:szCs w:val="20"/>
                <w:color w:val="auto"/>
              </w:rPr>
            </w:pPr>
            <w:r>
              <w:rPr>
                <w:rFonts w:ascii="Times New Roman" w:cs="Times New Roman" w:eastAsia="Times New Roman" w:hAnsi="Times New Roman"/>
                <w:sz w:val="18"/>
                <w:szCs w:val="18"/>
                <w:color w:val="auto"/>
              </w:rPr>
              <w:t xml:space="preserve">Yes </w:t>
            </w:r>
            <w:r>
              <w:rPr>
                <w:rFonts w:ascii="MS PGothic" w:cs="MS PGothic" w:eastAsia="MS PGothic" w:hAnsi="MS PGothic"/>
                <w:sz w:val="18"/>
                <w:szCs w:val="18"/>
                <w:color w:val="auto"/>
              </w:rPr>
              <w:t>☐</w:t>
            </w:r>
          </w:p>
        </w:tc>
        <w:tc>
          <w:tcPr>
            <w:tcW w:w="820" w:type="dxa"/>
            <w:vAlign w:val="bottom"/>
            <w:vMerge w:val="restart"/>
          </w:tcPr>
          <w:p>
            <w:pPr>
              <w:spacing w:after="0" w:line="207" w:lineRule="exact"/>
              <w:rPr>
                <w:sz w:val="20"/>
                <w:szCs w:val="20"/>
                <w:color w:val="auto"/>
              </w:rPr>
            </w:pPr>
            <w:r>
              <w:rPr>
                <w:rFonts w:ascii="Times New Roman" w:cs="Times New Roman" w:eastAsia="Times New Roman" w:hAnsi="Times New Roman"/>
                <w:sz w:val="18"/>
                <w:szCs w:val="18"/>
                <w:color w:val="auto"/>
              </w:rPr>
              <w:t>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467"/>
        </w:trPr>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Indicate by check mark if the registrant is a well-known seasoned issuer, as defined in Rule 405 of the Securities Act.</w:t>
            </w:r>
          </w:p>
        </w:tc>
        <w:tc>
          <w:tcPr>
            <w:tcW w:w="700" w:type="dxa"/>
            <w:vAlign w:val="bottom"/>
            <w:vMerge w:val="continue"/>
          </w:tcPr>
          <w:p>
            <w:pPr>
              <w:spacing w:after="0"/>
              <w:rPr>
                <w:sz w:val="24"/>
                <w:szCs w:val="24"/>
                <w:color w:val="auto"/>
              </w:rPr>
            </w:pPr>
          </w:p>
        </w:tc>
        <w:tc>
          <w:tcPr>
            <w:tcW w:w="82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600" w:type="dxa"/>
            <w:vAlign w:val="bottom"/>
            <w:gridSpan w:val="4"/>
          </w:tcPr>
          <w:p>
            <w:pPr>
              <w:spacing w:after="0"/>
              <w:rPr>
                <w:sz w:val="20"/>
                <w:szCs w:val="20"/>
                <w:color w:val="auto"/>
              </w:rPr>
            </w:pPr>
            <w:r>
              <w:rPr>
                <w:rFonts w:ascii="Times New Roman" w:cs="Times New Roman" w:eastAsia="Times New Roman" w:hAnsi="Times New Roman"/>
                <w:sz w:val="18"/>
                <w:szCs w:val="18"/>
                <w:color w:val="auto"/>
                <w:w w:val="99"/>
              </w:rPr>
              <w:t>Indicate by check mark if the registrant is not required to file reports pursuant to Section 13 or Section 15(d) of the Act.</w:t>
            </w:r>
          </w:p>
        </w:tc>
        <w:tc>
          <w:tcPr>
            <w:tcW w:w="700" w:type="dxa"/>
            <w:vAlign w:val="bottom"/>
          </w:tcPr>
          <w:p>
            <w:pPr>
              <w:ind w:left="180"/>
              <w:spacing w:after="0" w:line="207" w:lineRule="exact"/>
              <w:rPr>
                <w:sz w:val="20"/>
                <w:szCs w:val="20"/>
                <w:color w:val="auto"/>
              </w:rPr>
            </w:pPr>
            <w:r>
              <w:rPr>
                <w:rFonts w:ascii="Times New Roman" w:cs="Times New Roman" w:eastAsia="Times New Roman" w:hAnsi="Times New Roman"/>
                <w:sz w:val="18"/>
                <w:szCs w:val="18"/>
                <w:color w:val="auto"/>
                <w:w w:val="98"/>
              </w:rPr>
              <w:t xml:space="preserve">Yes </w:t>
            </w:r>
            <w:r>
              <w:rPr>
                <w:rFonts w:ascii="MS PGothic" w:cs="MS PGothic" w:eastAsia="MS PGothic" w:hAnsi="MS PGothic"/>
                <w:sz w:val="18"/>
                <w:szCs w:val="18"/>
                <w:color w:val="auto"/>
                <w:w w:val="98"/>
              </w:rPr>
              <w:t>☐</w:t>
            </w:r>
          </w:p>
        </w:tc>
        <w:tc>
          <w:tcPr>
            <w:tcW w:w="820" w:type="dxa"/>
            <w:vAlign w:val="bottom"/>
          </w:tcPr>
          <w:p>
            <w:pPr>
              <w:ind w:left="220"/>
              <w:spacing w:after="0" w:line="207" w:lineRule="exact"/>
              <w:rPr>
                <w:sz w:val="20"/>
                <w:szCs w:val="20"/>
                <w:color w:val="auto"/>
              </w:rPr>
            </w:pPr>
            <w:r>
              <w:rPr>
                <w:rFonts w:ascii="Times New Roman" w:cs="Times New Roman" w:eastAsia="Times New Roman" w:hAnsi="Times New Roman"/>
                <w:sz w:val="18"/>
                <w:szCs w:val="18"/>
                <w:color w:val="auto"/>
              </w:rPr>
              <w:t>No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70" w:lineRule="exact"/>
        <w:rPr>
          <w:sz w:val="24"/>
          <w:szCs w:val="24"/>
          <w:color w:val="auto"/>
        </w:rPr>
      </w:pPr>
    </w:p>
    <w:p>
      <w:pPr>
        <w:ind w:right="40"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right="20"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1" w:lineRule="exact"/>
        <w:rPr>
          <w:sz w:val="24"/>
          <w:szCs w:val="24"/>
          <w:color w:val="auto"/>
        </w:rPr>
      </w:pPr>
    </w:p>
    <w:p>
      <w:pPr>
        <w:ind w:firstLine="324"/>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5" w:lineRule="exact"/>
        <w:rPr>
          <w:sz w:val="24"/>
          <w:szCs w:val="24"/>
          <w:color w:val="auto"/>
        </w:rPr>
      </w:pPr>
    </w:p>
    <w:p>
      <w:pPr>
        <w:ind w:left="100"/>
        <w:spacing w:after="0" w:line="207" w:lineRule="exact"/>
        <w:tabs>
          <w:tab w:leader="none" w:pos="2320" w:val="left"/>
          <w:tab w:leader="none" w:pos="4180" w:val="left"/>
          <w:tab w:leader="none" w:pos="6260" w:val="left"/>
          <w:tab w:leader="none" w:pos="8840" w:val="left"/>
        </w:tabs>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8"/>
          <w:szCs w:val="18"/>
          <w:color w:val="auto"/>
        </w:rPr>
        <w:t xml:space="preserve">Smaller reporting company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66" w:lineRule="exact"/>
        <w:rPr>
          <w:sz w:val="24"/>
          <w:szCs w:val="24"/>
          <w:color w:val="auto"/>
        </w:rPr>
      </w:pPr>
    </w:p>
    <w:p>
      <w:pPr>
        <w:ind w:right="16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70" w:lineRule="exact"/>
        <w:rPr>
          <w:sz w:val="24"/>
          <w:szCs w:val="24"/>
          <w:color w:val="auto"/>
        </w:rPr>
      </w:pPr>
    </w:p>
    <w:p>
      <w:pPr>
        <w:ind w:right="20" w:firstLine="324"/>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MS PGothic" w:cs="MS PGothic" w:eastAsia="MS PGothic" w:hAnsi="MS PGothic"/>
          <w:sz w:val="18"/>
          <w:szCs w:val="18"/>
          <w:color w:val="auto"/>
        </w:rPr>
        <w:t>☐</w:t>
      </w:r>
    </w:p>
    <w:p>
      <w:pPr>
        <w:sectPr>
          <w:pgSz w:w="11900" w:h="16838" w:orient="portrait"/>
          <w:cols w:equalWidth="0" w:num="1">
            <w:col w:w="11220"/>
          </w:cols>
          <w:pgMar w:left="320" w:top="754" w:right="359" w:bottom="0" w:gutter="0" w:footer="0" w:header="0"/>
        </w:sectPr>
      </w:pPr>
    </w:p>
    <w:bookmarkStart w:id="1" w:name="page2"/>
    <w:bookmarkEnd w:id="1"/>
    <w:p>
      <w:pPr>
        <w:ind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MS PGothic" w:cs="MS PGothic" w:eastAsia="MS PGothic" w:hAnsi="MS PGothic"/>
          <w:sz w:val="18"/>
          <w:szCs w:val="18"/>
          <w:color w:val="auto"/>
        </w:rPr>
        <w:t>☐</w:t>
      </w:r>
    </w:p>
    <w:p>
      <w:pPr>
        <w:spacing w:after="0" w:line="170" w:lineRule="exact"/>
        <w:rPr>
          <w:sz w:val="20"/>
          <w:szCs w:val="20"/>
          <w:color w:val="auto"/>
        </w:rPr>
      </w:pPr>
    </w:p>
    <w:p>
      <w:pPr>
        <w:ind w:right="200" w:firstLine="324"/>
        <w:spacing w:after="0" w:line="239" w:lineRule="exact"/>
        <w:rPr>
          <w:sz w:val="20"/>
          <w:szCs w:val="20"/>
          <w:color w:val="auto"/>
        </w:rPr>
      </w:pPr>
      <w:r>
        <w:rPr>
          <w:rFonts w:ascii="Times New Roman" w:cs="Times New Roman" w:eastAsia="Times New Roman" w:hAnsi="Times New Roman"/>
          <w:sz w:val="18"/>
          <w:szCs w:val="18"/>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8"/>
          <w:szCs w:val="18"/>
          <w:color w:val="auto"/>
        </w:rPr>
        <w:t>☐</w:t>
      </w:r>
    </w:p>
    <w:p>
      <w:pPr>
        <w:spacing w:after="0" w:line="130" w:lineRule="exact"/>
        <w:rPr>
          <w:sz w:val="20"/>
          <w:szCs w:val="20"/>
          <w:color w:val="auto"/>
        </w:rPr>
      </w:pPr>
    </w:p>
    <w:p>
      <w:pPr>
        <w:ind w:left="340"/>
        <w:spacing w:after="0" w:line="207" w:lineRule="exact"/>
        <w:tabs>
          <w:tab w:leader="none" w:pos="8700" w:val="left"/>
          <w:tab w:leader="none" w:pos="940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by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6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aggregate market value of the member’s equity held by non-affiliates of the registrant as of June 30, 2024: None</w:t>
      </w:r>
    </w:p>
    <w:p>
      <w:pPr>
        <w:spacing w:after="0" w:line="225" w:lineRule="exact"/>
        <w:rPr>
          <w:sz w:val="20"/>
          <w:szCs w:val="20"/>
          <w:color w:val="auto"/>
        </w:rPr>
      </w:pPr>
    </w:p>
    <w:p>
      <w:pPr>
        <w:ind w:right="560" w:firstLine="324"/>
        <w:spacing w:after="0" w:line="282" w:lineRule="auto"/>
        <w:rPr>
          <w:sz w:val="20"/>
          <w:szCs w:val="20"/>
          <w:color w:val="auto"/>
        </w:rPr>
      </w:pPr>
      <w:r>
        <w:rPr>
          <w:rFonts w:ascii="Times New Roman" w:cs="Times New Roman" w:eastAsia="Times New Roman" w:hAnsi="Times New Roman"/>
          <w:sz w:val="18"/>
          <w:szCs w:val="18"/>
          <w:color w:val="auto"/>
        </w:rPr>
        <w:t>Documents incorporated by reference: A portion of the proxy statement relating to the 2025 Annual Meeting of Shareholders of CenterPoint Energy, Inc. is incorporated by reference in Item 11 of Part III of this report.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139700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585470</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320" w:top="121" w:right="579" w:bottom="1440" w:gutter="0" w:footer="0" w:header="0"/>
        </w:sectPr>
      </w:pPr>
    </w:p>
    <w:bookmarkStart w:id="2" w:name="page3"/>
    <w:bookmarkEnd w:id="2"/>
    <w:p>
      <w:pPr>
        <w:ind w:left="5340"/>
        <w:spacing w:after="0"/>
        <w:rPr>
          <w:sz w:val="20"/>
          <w:szCs w:val="20"/>
          <w:color w:val="auto"/>
        </w:rPr>
      </w:pPr>
      <w:r>
        <w:rPr>
          <w:rFonts w:ascii="Times New Roman" w:cs="Times New Roman" w:eastAsia="Times New Roman" w:hAnsi="Times New Roman"/>
          <w:sz w:val="18"/>
          <w:szCs w:val="18"/>
          <w:b w:val="1"/>
          <w:bCs w:val="1"/>
          <w:color w:val="auto"/>
        </w:rPr>
        <w:t>PART 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Business.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Omitted pursuant to General Instruction J of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Omitted pursuant to General Instruction J of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1B. Unresolved Staff Comments.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1C. Cybersecurity.</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Omitted pursuant to General Instruction J of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Properties.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Omitted pursuant to General Instruction J of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Legal Proceedings.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Omitted pursuant to General Instruction J of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Item 5. Market for Registrant’s Common Equity, Related Stockholder Matters and Issuer Purchases of Equity Securities.</w:t>
      </w: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Omitted pursuant to General Instruction J of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[Reserved]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Management’s Discussion and Analysis of Financial Condition and Results of Operations.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Omitted pursuant to General Instruction J of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7A. Quantitative and Qualitative Disclosures about Market Risk.</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Omitted pursuant to General Instruction J of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Financial Statements and Supplementary Data.</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Omitted pursuant to General Instruction J of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 Changes in and Disagreements with Accountants on Accounting and Financial Disclosures.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Omitted pursuant to General Instruction J of Form 10-K.</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9A. Controls and Procedures.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Omitted pursuant to General Instruction J of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Item 9B. Other Information.</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9C. Disclosure Regarding Foreign Jurisdictions that Prevent Inspections.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PART III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10. Directors, Executive Officers and Corporate Governance.</w:t>
      </w:r>
    </w:p>
    <w:p>
      <w:pPr>
        <w:spacing w:after="0" w:line="229" w:lineRule="exact"/>
        <w:rPr>
          <w:sz w:val="20"/>
          <w:szCs w:val="20"/>
          <w:color w:val="auto"/>
        </w:rPr>
      </w:pPr>
    </w:p>
    <w:p>
      <w:pPr>
        <w:ind w:firstLine="324"/>
        <w:spacing w:after="0" w:line="274" w:lineRule="auto"/>
        <w:rPr>
          <w:sz w:val="20"/>
          <w:szCs w:val="20"/>
          <w:color w:val="auto"/>
        </w:rPr>
      </w:pPr>
      <w:r>
        <w:rPr>
          <w:rFonts w:ascii="Times New Roman" w:cs="Times New Roman" w:eastAsia="Times New Roman" w:hAnsi="Times New Roman"/>
          <w:sz w:val="17"/>
          <w:szCs w:val="17"/>
          <w:color w:val="auto"/>
        </w:rPr>
        <w:t>As of the date of this Annual Report on Form 10-K, SIGECO Securitization I, LLC (the “Issuing Entity”) has four managers. Pursuant to the Issuing Entity’s Amended and Restated Limited Liability Company Agreement (the “LLC Agreement”), the Issuing Entity will be managed by managers to be appointed from time to time by the Member (currently Southern Indiana Gas and Electric Company (“SIGECO”)). At all times during which any of the Issuing Entity’s Series 2023-A Senior Secured Securitization Bonds are Outstanding, and the Indenture remains in full force and effect (and otherwise in accordance with the Indenture) the Issuing Entity shall have at least one Independent Manager. Currently, Mr. Corrigan serves as the Independent Manager of the Issuing Entity. Capitalized terms used in this paragraph and the following paragraph have the meanings assigned to them in the LLC Agreement.</w:t>
      </w:r>
    </w:p>
    <w:p>
      <w:pPr>
        <w:spacing w:after="0" w:line="173" w:lineRule="exact"/>
        <w:rPr>
          <w:sz w:val="20"/>
          <w:szCs w:val="20"/>
          <w:color w:val="auto"/>
        </w:rPr>
      </w:pPr>
    </w:p>
    <w:p>
      <w:pPr>
        <w:jc w:val="both"/>
        <w:ind w:right="60" w:firstLine="648"/>
        <w:spacing w:after="0" w:line="257" w:lineRule="auto"/>
        <w:rPr>
          <w:sz w:val="20"/>
          <w:szCs w:val="20"/>
          <w:color w:val="auto"/>
        </w:rPr>
      </w:pPr>
      <w:r>
        <w:rPr>
          <w:rFonts w:ascii="Times New Roman" w:cs="Times New Roman" w:eastAsia="Times New Roman" w:hAnsi="Times New Roman"/>
          <w:sz w:val="18"/>
          <w:szCs w:val="18"/>
          <w:color w:val="auto"/>
        </w:rPr>
        <w:t>Independent Manager is defined in the LLC Agreement as a natural person who (1) has prior experience as an independent director, independent manager or independent member for special-purpose entities, (2) is employed by a nationally-recognized company that provides professional independent managers and other corporate services in the ordinary course of its business, (3) is duly appointed as an Independent Manager of the Issuing Entity and</w:t>
      </w:r>
    </w:p>
    <w:p>
      <w:pPr>
        <w:spacing w:after="0" w:line="1" w:lineRule="exact"/>
        <w:rPr>
          <w:sz w:val="20"/>
          <w:szCs w:val="20"/>
          <w:color w:val="auto"/>
        </w:rPr>
      </w:pPr>
    </w:p>
    <w:p>
      <w:pPr>
        <w:ind w:firstLine="8"/>
        <w:spacing w:after="0" w:line="260" w:lineRule="auto"/>
        <w:tabs>
          <w:tab w:leader="none" w:pos="2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not and has not been for at least five years from the date of his or her or its appointment, and while serving as an Independent Manager of the Issuing Entity will not be, any of the following;</w:t>
      </w:r>
    </w:p>
    <w:p>
      <w:pPr>
        <w:spacing w:after="0" w:line="181" w:lineRule="exact"/>
        <w:rPr>
          <w:rFonts w:ascii="Times New Roman" w:cs="Times New Roman" w:eastAsia="Times New Roman" w:hAnsi="Times New Roman"/>
          <w:sz w:val="18"/>
          <w:szCs w:val="18"/>
          <w:color w:val="auto"/>
        </w:rPr>
      </w:pPr>
    </w:p>
    <w:p>
      <w:pPr>
        <w:jc w:val="both"/>
        <w:ind w:right="40" w:firstLine="980"/>
        <w:spacing w:after="0" w:line="258" w:lineRule="auto"/>
        <w:tabs>
          <w:tab w:leader="none" w:pos="1187"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member, partner, or equity holder, manager, director, officer, agent, consultant, attorney, accountant, advisor or employee of the Issuing Entity, the Member or any of their respective equityholders or affiliates (other than as an Independent Manager or Special Member of the Issuing Entity or similar roles for any other special purpose bankruptcy-remote entity); provided, that the indirect or beneficial ownership of stock of the Member or its affiliates through a mutual fund or similar diversified investment vehicle with respect to which the owner does not have discretion or control over the investments held by such diversified investment vehicle shall not preclude such owner from being an Independent Manager;</w:t>
      </w:r>
    </w:p>
    <w:p>
      <w:pPr>
        <w:spacing w:after="0" w:line="183" w:lineRule="exact"/>
        <w:rPr>
          <w:rFonts w:ascii="Times New Roman" w:cs="Times New Roman" w:eastAsia="Times New Roman" w:hAnsi="Times New Roman"/>
          <w:sz w:val="18"/>
          <w:szCs w:val="18"/>
          <w:color w:val="auto"/>
        </w:rPr>
      </w:pPr>
    </w:p>
    <w:p>
      <w:pPr>
        <w:ind w:right="280" w:firstLine="980"/>
        <w:spacing w:after="0" w:line="266" w:lineRule="auto"/>
        <w:tabs>
          <w:tab w:leader="none" w:pos="1237"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creditor, supplier or service provider (including provider of professional services) to the Issuing Entity, the Member or any of their respective equityholders or affiliates (other than a nationally-recognized company that routinely provides professional independent managers and other corporate services to the Issuing Entity, the Member or any of their affiliates in the ordinary course of its business);</w:t>
      </w:r>
    </w:p>
    <w:p>
      <w:pPr>
        <w:spacing w:after="0" w:line="175"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family member of any such Person described in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above; or</w:t>
      </w:r>
    </w:p>
    <w:p>
      <w:pPr>
        <w:spacing w:after="0" w:line="225" w:lineRule="exact"/>
        <w:rPr>
          <w:rFonts w:ascii="Times New Roman" w:cs="Times New Roman" w:eastAsia="Times New Roman" w:hAnsi="Times New Roman"/>
          <w:sz w:val="18"/>
          <w:szCs w:val="18"/>
          <w:color w:val="auto"/>
        </w:rPr>
      </w:pPr>
    </w:p>
    <w:p>
      <w:pPr>
        <w:ind w:left="1280" w:hanging="300"/>
        <w:spacing w:after="0"/>
        <w:tabs>
          <w:tab w:leader="none" w:pos="12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Person that controls (whether directly, indirectly or otherwise) any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above.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4" w:name="page5"/>
    <w:bookmarkEnd w:id="4"/>
    <w:p>
      <w:pPr>
        <w:ind w:left="340"/>
        <w:spacing w:after="0"/>
        <w:rPr>
          <w:sz w:val="20"/>
          <w:szCs w:val="20"/>
          <w:color w:val="auto"/>
        </w:rPr>
      </w:pPr>
      <w:r>
        <w:rPr>
          <w:rFonts w:ascii="Times New Roman" w:cs="Times New Roman" w:eastAsia="Times New Roman" w:hAnsi="Times New Roman"/>
          <w:sz w:val="18"/>
          <w:szCs w:val="18"/>
          <w:color w:val="auto"/>
        </w:rPr>
        <w:t>The following are the managers of the Issuing Entity as of the date of this Annual Report on Form 10-K:</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80" w:type="dxa"/>
            <w:vAlign w:val="bottom"/>
            <w:tcBorders>
              <w:bottom w:val="single" w:sz="8" w:color="auto"/>
            </w:tcBorders>
          </w:tcPr>
          <w:p>
            <w:pPr>
              <w:ind w:left="1480"/>
              <w:spacing w:after="0"/>
              <w:rPr>
                <w:sz w:val="20"/>
                <w:szCs w:val="20"/>
                <w:color w:val="auto"/>
              </w:rPr>
            </w:pPr>
            <w:r>
              <w:rPr>
                <w:rFonts w:ascii="Times New Roman" w:cs="Times New Roman" w:eastAsia="Times New Roman" w:hAnsi="Times New Roman"/>
                <w:sz w:val="18"/>
                <w:szCs w:val="18"/>
                <w:color w:val="auto"/>
              </w:rPr>
              <w:t>Name</w:t>
            </w:r>
          </w:p>
        </w:tc>
        <w:tc>
          <w:tcPr>
            <w:tcW w:w="120" w:type="dxa"/>
            <w:vAlign w:val="bottom"/>
          </w:tcPr>
          <w:p>
            <w:pPr>
              <w:spacing w:after="0"/>
              <w:rPr>
                <w:sz w:val="20"/>
                <w:szCs w:val="20"/>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Age</w:t>
            </w:r>
          </w:p>
        </w:tc>
        <w:tc>
          <w:tcPr>
            <w:tcW w:w="100" w:type="dxa"/>
            <w:vAlign w:val="bottom"/>
          </w:tcPr>
          <w:p>
            <w:pPr>
              <w:spacing w:after="0"/>
              <w:rPr>
                <w:sz w:val="20"/>
                <w:szCs w:val="20"/>
                <w:color w:val="auto"/>
              </w:rPr>
            </w:pPr>
          </w:p>
        </w:tc>
        <w:tc>
          <w:tcPr>
            <w:tcW w:w="7080" w:type="dxa"/>
            <w:vAlign w:val="bottom"/>
            <w:tcBorders>
              <w:bottom w:val="single" w:sz="8" w:color="auto"/>
            </w:tcBorders>
          </w:tcPr>
          <w:p>
            <w:pPr>
              <w:ind w:left="3100"/>
              <w:spacing w:after="0"/>
              <w:rPr>
                <w:sz w:val="20"/>
                <w:szCs w:val="20"/>
                <w:color w:val="auto"/>
              </w:rPr>
            </w:pPr>
            <w:r>
              <w:rPr>
                <w:rFonts w:ascii="Times New Roman" w:cs="Times New Roman" w:eastAsia="Times New Roman" w:hAnsi="Times New Roman"/>
                <w:sz w:val="18"/>
                <w:szCs w:val="18"/>
                <w:color w:val="auto"/>
              </w:rPr>
              <w:t>Background</w:t>
            </w:r>
          </w:p>
        </w:tc>
      </w:tr>
      <w:tr>
        <w:trPr>
          <w:trHeight w:val="407"/>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Darin M. Carroll</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100" w:type="dxa"/>
            <w:vAlign w:val="bottom"/>
          </w:tcPr>
          <w:p>
            <w:pPr>
              <w:spacing w:after="0"/>
              <w:rPr>
                <w:sz w:val="24"/>
                <w:szCs w:val="24"/>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Manager and President of the Issuing Entity since July 26, 2024. Director and President of</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SIGECO since July 26, 2024. Vice President of SIGECO from February 2019 to January 2024.</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Senior Vice President, Electric Business of CenterPoint Energy, Inc. (the ultimate holding</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company of SIGECO) since July 2024. Senior Vice President, Natural Gas Business of</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CenterPoint Energy, Inc. from January 2023 to July 2024. Senior Vice President, Operations</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Support at CenterPoint Energy, Inc. from January 2022 to January 2023. Vice President,</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Operations Support at CenterPoint Energy, Inc. from February 2019 to January 2022. Mr. Carroll</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served in various roles of increasing responsibility at Vectren Corp. from February 2008 to</w:t>
            </w:r>
          </w:p>
        </w:tc>
      </w:tr>
      <w:tr>
        <w:trPr>
          <w:trHeight w:val="234"/>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February 2019, when that entity was acquired by CenterPoint Energy, Inc.</w:t>
            </w:r>
          </w:p>
        </w:tc>
      </w:tr>
      <w:tr>
        <w:trPr>
          <w:trHeight w:val="41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Kristie L. Colvin</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61</w:t>
            </w:r>
          </w:p>
        </w:tc>
        <w:tc>
          <w:tcPr>
            <w:tcW w:w="100" w:type="dxa"/>
            <w:vAlign w:val="bottom"/>
          </w:tcPr>
          <w:p>
            <w:pPr>
              <w:spacing w:after="0"/>
              <w:rPr>
                <w:sz w:val="24"/>
                <w:szCs w:val="24"/>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Manager and Vice President and Chief Accounting Officer of the Issuing Entity since</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October 2023. Vice President of SIGECO since October 2023 and from February 2019 to</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December 2021. Senior Vice President and Chief Accounting Officer of CenterPoint Energy, Inc.</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since October 2023. Other offices held at CenterPoint Energy, Inc. include Senior Vice President</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Regulatory Planning, Reporting and Electric Services from March 2022 until October 2023,</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w w:val="99"/>
              </w:rPr>
              <w:t>Senior Vice President, Finance from December 2021 until March 2022, Senior Vice President and</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Chief Accounting Officer from September 2014 until December 2021 and, in addition to this</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role, Interim Executive Vice President and Chief Financial Officer from April 2020 to</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September 2020, Division Vice President Finance, Regulated Operations from July 2010 until</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September 2014, and Senior Director, Financial Planning and Performance Measurement from</w:t>
            </w:r>
          </w:p>
        </w:tc>
      </w:tr>
      <w:tr>
        <w:trPr>
          <w:trHeight w:val="234"/>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August 2007 through June 2010.</w:t>
            </w:r>
          </w:p>
        </w:tc>
      </w:tr>
      <w:tr>
        <w:trPr>
          <w:trHeight w:val="41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Patricia L. Martin</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52</w:t>
            </w:r>
          </w:p>
        </w:tc>
        <w:tc>
          <w:tcPr>
            <w:tcW w:w="100" w:type="dxa"/>
            <w:vAlign w:val="bottom"/>
          </w:tcPr>
          <w:p>
            <w:pPr>
              <w:spacing w:after="0"/>
              <w:rPr>
                <w:sz w:val="24"/>
                <w:szCs w:val="24"/>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Manager and Vice President and Treasurer of the Issuing Entity since April 2024. Vice President</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and Treasurer of SIGECO since April 2024. Vice President and Treasurer of CenterPoint</w:t>
            </w:r>
          </w:p>
        </w:tc>
      </w:tr>
      <w:tr>
        <w:trPr>
          <w:trHeight w:val="216"/>
        </w:trPr>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Energy, Inc. since April 2024. Ms. Martin served in various roles of increasing responsibility at</w:t>
            </w:r>
          </w:p>
        </w:tc>
      </w:tr>
      <w:tr>
        <w:trPr>
          <w:trHeight w:val="234"/>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Xcel Energy from 2016 to 2024, including as Assistant Treasurer from 2019 to 2024.</w:t>
            </w:r>
          </w:p>
        </w:tc>
      </w:tr>
      <w:tr>
        <w:trPr>
          <w:trHeight w:val="414"/>
        </w:trPr>
        <w:tc>
          <w:tcPr>
            <w:tcW w:w="35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Kevin J. Corrigan (Independent Manager)</w:t>
            </w: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48</w:t>
            </w:r>
          </w:p>
        </w:tc>
        <w:tc>
          <w:tcPr>
            <w:tcW w:w="100" w:type="dxa"/>
            <w:vAlign w:val="bottom"/>
          </w:tcPr>
          <w:p>
            <w:pPr>
              <w:spacing w:after="0"/>
              <w:rPr>
                <w:sz w:val="24"/>
                <w:szCs w:val="24"/>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Manager of the Issuing Entity since June 2023. Senior Vice President of Global Securitization</w:t>
            </w:r>
          </w:p>
        </w:tc>
      </w:tr>
      <w:tr>
        <w:trPr>
          <w:trHeight w:val="234"/>
        </w:trPr>
        <w:tc>
          <w:tcPr>
            <w:tcW w:w="33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80" w:type="dxa"/>
            <w:vAlign w:val="bottom"/>
          </w:tcPr>
          <w:p>
            <w:pPr>
              <w:spacing w:after="0"/>
              <w:rPr>
                <w:sz w:val="20"/>
                <w:szCs w:val="20"/>
                <w:color w:val="auto"/>
              </w:rPr>
            </w:pPr>
            <w:r>
              <w:rPr>
                <w:rFonts w:ascii="Times New Roman" w:cs="Times New Roman" w:eastAsia="Times New Roman" w:hAnsi="Times New Roman"/>
                <w:sz w:val="18"/>
                <w:szCs w:val="18"/>
                <w:color w:val="auto"/>
              </w:rPr>
              <w:t>Services, LLC since April 2017.</w:t>
            </w:r>
          </w:p>
        </w:tc>
      </w:tr>
    </w:tbl>
    <w:p>
      <w:pPr>
        <w:spacing w:after="0" w:line="19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color w:val="auto"/>
        </w:rPr>
        <w:t>Code of Conduct</w:t>
      </w:r>
    </w:p>
    <w:p>
      <w:pPr>
        <w:spacing w:after="0" w:line="229" w:lineRule="exact"/>
        <w:rPr>
          <w:sz w:val="20"/>
          <w:szCs w:val="20"/>
          <w:color w:val="auto"/>
        </w:rPr>
      </w:pPr>
    </w:p>
    <w:p>
      <w:pPr>
        <w:ind w:right="260" w:firstLine="324"/>
        <w:spacing w:after="0" w:line="255" w:lineRule="auto"/>
        <w:rPr>
          <w:sz w:val="20"/>
          <w:szCs w:val="20"/>
          <w:color w:val="auto"/>
        </w:rPr>
      </w:pPr>
      <w:r>
        <w:rPr>
          <w:rFonts w:ascii="Times New Roman" w:cs="Times New Roman" w:eastAsia="Times New Roman" w:hAnsi="Times New Roman"/>
          <w:sz w:val="18"/>
          <w:szCs w:val="18"/>
          <w:color w:val="auto"/>
        </w:rPr>
        <w:t xml:space="preserve">The Issuing Entity is a wholly owned subsidiary of SIGECO which in turn is an indirect wholly owned subsidiary of CenterPoint Energy, Inc. (“CenterPoint Energy”). CenterPoint Energy has adopted a code of ethics for its Chief Executive Officer and Senior Financial Officers, which group consists of its Chief Financial Officer, Chief Accounting Officer, Treasurer, Controller and other senior financial officers. CenterPoint Energy has also adopted an Ethics and Compliance Code applicable to all directors, officers and employees, including those of its subsidiaries. CenterPoint Energy maintains a corporate governance page on its website which includes key information about its corporate governance initiatives, including its Ethics and Compliance Code and its Code of Ethics for Chief Financial Officer and Senior Financial Officers. The corporate governance page can be found at </w:t>
      </w:r>
      <w:r>
        <w:rPr>
          <w:rFonts w:ascii="Times New Roman" w:cs="Times New Roman" w:eastAsia="Times New Roman" w:hAnsi="Times New Roman"/>
          <w:sz w:val="18"/>
          <w:szCs w:val="18"/>
          <w:i w:val="1"/>
          <w:iCs w:val="1"/>
          <w:color w:val="auto"/>
        </w:rPr>
        <w:t>https://investors.centerpointenergy.com/governance.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 Executive Compensation.</w:t>
      </w:r>
    </w:p>
    <w:p>
      <w:pPr>
        <w:spacing w:after="0" w:line="229" w:lineRule="exact"/>
        <w:rPr>
          <w:sz w:val="20"/>
          <w:szCs w:val="20"/>
          <w:color w:val="auto"/>
        </w:rPr>
      </w:pPr>
    </w:p>
    <w:p>
      <w:pPr>
        <w:ind w:right="880" w:firstLine="324"/>
        <w:spacing w:after="0" w:line="282" w:lineRule="auto"/>
        <w:rPr>
          <w:sz w:val="20"/>
          <w:szCs w:val="20"/>
          <w:color w:val="auto"/>
        </w:rPr>
      </w:pPr>
      <w:r>
        <w:rPr>
          <w:rFonts w:ascii="Times New Roman" w:cs="Times New Roman" w:eastAsia="Times New Roman" w:hAnsi="Times New Roman"/>
          <w:sz w:val="18"/>
          <w:szCs w:val="18"/>
          <w:color w:val="auto"/>
        </w:rPr>
        <w:t>Other than the annual independent managers fee of $3,500 paid to Global Securitization Services, LLC, the Issuing Entity does not pay any compensation to its executive officers or managers.</w:t>
      </w:r>
    </w:p>
    <w:p>
      <w:pPr>
        <w:spacing w:after="0" w:line="160" w:lineRule="exact"/>
        <w:rPr>
          <w:sz w:val="20"/>
          <w:szCs w:val="20"/>
          <w:color w:val="auto"/>
        </w:rPr>
      </w:pPr>
    </w:p>
    <w:p>
      <w:pPr>
        <w:ind w:right="80" w:firstLine="324"/>
        <w:spacing w:after="0" w:line="267" w:lineRule="auto"/>
        <w:rPr>
          <w:sz w:val="20"/>
          <w:szCs w:val="20"/>
          <w:color w:val="auto"/>
        </w:rPr>
      </w:pPr>
      <w:r>
        <w:rPr>
          <w:rFonts w:ascii="Times New Roman" w:cs="Times New Roman" w:eastAsia="Times New Roman" w:hAnsi="Times New Roman"/>
          <w:sz w:val="18"/>
          <w:szCs w:val="18"/>
          <w:color w:val="auto"/>
        </w:rPr>
        <w:t xml:space="preserve">The information required by this item with respect to SIGECO is incorporated herein by reference to the material under </w:t>
      </w:r>
      <w:r>
        <w:rPr>
          <w:rFonts w:ascii="Times New Roman" w:cs="Times New Roman" w:eastAsia="Times New Roman" w:hAnsi="Times New Roman"/>
          <w:sz w:val="18"/>
          <w:szCs w:val="18"/>
          <w:i w:val="1"/>
          <w:iCs w:val="1"/>
          <w:color w:val="auto"/>
        </w:rPr>
        <w:t>Compensation Discussion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Analysis </w:t>
      </w:r>
      <w:r>
        <w:rPr>
          <w:rFonts w:ascii="Times New Roman" w:cs="Times New Roman" w:eastAsia="Times New Roman" w:hAnsi="Times New Roman"/>
          <w:sz w:val="18"/>
          <w:szCs w:val="18"/>
          <w:color w:val="auto"/>
        </w:rPr>
        <w:t>of the definitive proxy statement of CenterPoint Energy for its 2025 annual meeting of shareholders filed with the Securities and Exchange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Commission on March 5,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414655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7"/>
          <w:szCs w:val="17"/>
          <w:b w:val="1"/>
          <w:bCs w:val="1"/>
          <w:color w:val="auto"/>
        </w:rPr>
        <w:t>Item 12. Security Ownership of Certain Beneficial Owners and Management and Related Stockholder Matters.</w:t>
      </w: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13. Certain Relationships and Related Transactions, and Director Independence.</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14. Principal Accountant Fees and Services.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Omitted pursuant to General Instruction J of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6" w:name="page7"/>
    <w:bookmarkEnd w:id="6"/>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PART IV</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15. Exhibits and Financial Statement Schedules.</w:t>
      </w:r>
    </w:p>
    <w:p>
      <w:pPr>
        <w:spacing w:after="0" w:line="229" w:lineRule="exact"/>
        <w:rPr>
          <w:sz w:val="20"/>
          <w:szCs w:val="20"/>
          <w:color w:val="auto"/>
        </w:rPr>
      </w:pPr>
    </w:p>
    <w:p>
      <w:pPr>
        <w:ind w:left="780" w:hanging="448"/>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Documents filed as a part of this report:</w:t>
      </w:r>
    </w:p>
    <w:p>
      <w:pPr>
        <w:spacing w:after="0" w:line="225" w:lineRule="exact"/>
        <w:rPr>
          <w:rFonts w:ascii="Times New Roman" w:cs="Times New Roman" w:eastAsia="Times New Roman" w:hAnsi="Times New Roman"/>
          <w:sz w:val="18"/>
          <w:szCs w:val="18"/>
          <w:color w:val="auto"/>
        </w:rPr>
      </w:pPr>
    </w:p>
    <w:p>
      <w:pPr>
        <w:ind w:left="1440" w:right="8220" w:hanging="663"/>
        <w:spacing w:after="0" w:line="530" w:lineRule="auto"/>
        <w:tabs>
          <w:tab w:leader="none" w:pos="1432" w:val="left"/>
        </w:tabs>
        <w:numPr>
          <w:ilvl w:val="1"/>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Financial Statements. Not applicable.</w:t>
      </w:r>
    </w:p>
    <w:p>
      <w:pPr>
        <w:ind w:left="1440" w:right="7520" w:hanging="663"/>
        <w:spacing w:after="0" w:line="500" w:lineRule="auto"/>
        <w:tabs>
          <w:tab w:leader="none" w:pos="1432"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Statement Schedules. Not applicable.</w:t>
      </w:r>
    </w:p>
    <w:p>
      <w:pPr>
        <w:spacing w:after="0" w:line="1" w:lineRule="exact"/>
        <w:rPr>
          <w:rFonts w:ascii="Times New Roman" w:cs="Times New Roman" w:eastAsia="Times New Roman" w:hAnsi="Times New Roman"/>
          <w:sz w:val="18"/>
          <w:szCs w:val="18"/>
          <w:color w:val="auto"/>
        </w:rPr>
      </w:pPr>
    </w:p>
    <w:p>
      <w:pPr>
        <w:ind w:left="1420" w:hanging="643"/>
        <w:spacing w:after="0" w:line="282" w:lineRule="auto"/>
        <w:tabs>
          <w:tab w:leader="none" w:pos="14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required by Item 601 of Regulation S-K (exhibits marked with an asterisk are filed herewith and the others are incorporated by reference):</w:t>
      </w:r>
    </w:p>
    <w:p>
      <w:pPr>
        <w:spacing w:after="0" w:line="162" w:lineRule="exact"/>
        <w:rPr>
          <w:sz w:val="20"/>
          <w:szCs w:val="20"/>
          <w:color w:val="auto"/>
        </w:rPr>
      </w:pPr>
    </w:p>
    <w:p>
      <w:pPr>
        <w:ind w:left="1520"/>
        <w:spacing w:after="0"/>
        <w:tabs>
          <w:tab w:leader="none" w:pos="2180" w:val="left"/>
        </w:tabs>
        <w:rPr>
          <w:rFonts w:ascii="Times New Roman" w:cs="Times New Roman" w:eastAsia="Times New Roman" w:hAnsi="Times New Roman"/>
          <w:sz w:val="17"/>
          <w:szCs w:val="17"/>
          <w:u w:val="single" w:color="auto"/>
          <w:color w:val="0000EE"/>
        </w:rPr>
      </w:pPr>
      <w:hyperlink r:id="rId22">
        <w:r>
          <w:rPr>
            <w:rFonts w:ascii="Times New Roman" w:cs="Times New Roman" w:eastAsia="Times New Roman" w:hAnsi="Times New Roman"/>
            <w:sz w:val="18"/>
            <w:szCs w:val="18"/>
            <w:u w:val="single" w:color="auto"/>
            <w:color w:val="0000EE"/>
          </w:rPr>
          <w:t>3.1</w:t>
        </w:r>
      </w:hyperlink>
      <w:r>
        <w:rPr>
          <w:rFonts w:ascii="Times New Roman" w:cs="Times New Roman" w:eastAsia="Times New Roman" w:hAnsi="Times New Roman"/>
          <w:sz w:val="18"/>
          <w:szCs w:val="18"/>
          <w:u w:val="single" w:color="auto"/>
          <w:color w:val="0000EE"/>
        </w:rPr>
        <w:tab/>
      </w:r>
      <w:hyperlink r:id="rId22">
        <w:r>
          <w:rPr>
            <w:rFonts w:ascii="Times New Roman" w:cs="Times New Roman" w:eastAsia="Times New Roman" w:hAnsi="Times New Roman"/>
            <w:sz w:val="17"/>
            <w:szCs w:val="17"/>
            <w:u w:val="single" w:color="auto"/>
            <w:color w:val="0000EE"/>
          </w:rPr>
          <w:t>Certificate of Formation of SIGECO Securitization I, LLC filed with the Delaware Secretary of State on February 16, 2023.</w:t>
        </w:r>
      </w:hyperlink>
    </w:p>
    <w:p>
      <w:pPr>
        <w:spacing w:after="0" w:line="225" w:lineRule="exact"/>
        <w:rPr>
          <w:sz w:val="20"/>
          <w:szCs w:val="20"/>
          <w:color w:val="auto"/>
        </w:rPr>
      </w:pPr>
    </w:p>
    <w:p>
      <w:pPr>
        <w:ind w:left="1520"/>
        <w:spacing w:after="0"/>
        <w:tabs>
          <w:tab w:leader="none" w:pos="2180" w:val="left"/>
        </w:tabs>
        <w:rPr>
          <w:rFonts w:ascii="Times New Roman" w:cs="Times New Roman" w:eastAsia="Times New Roman" w:hAnsi="Times New Roman"/>
          <w:sz w:val="17"/>
          <w:szCs w:val="17"/>
          <w:u w:val="single" w:color="auto"/>
          <w:color w:val="0000EE"/>
        </w:rPr>
      </w:pPr>
      <w:hyperlink r:id="rId23">
        <w:r>
          <w:rPr>
            <w:rFonts w:ascii="Times New Roman" w:cs="Times New Roman" w:eastAsia="Times New Roman" w:hAnsi="Times New Roman"/>
            <w:sz w:val="18"/>
            <w:szCs w:val="18"/>
            <w:u w:val="single" w:color="auto"/>
            <w:color w:val="0000EE"/>
          </w:rPr>
          <w:t>3.2</w:t>
        </w:r>
      </w:hyperlink>
      <w:r>
        <w:rPr>
          <w:rFonts w:ascii="Times New Roman" w:cs="Times New Roman" w:eastAsia="Times New Roman" w:hAnsi="Times New Roman"/>
          <w:sz w:val="18"/>
          <w:szCs w:val="18"/>
          <w:u w:val="single" w:color="auto"/>
          <w:color w:val="0000EE"/>
        </w:rPr>
        <w:tab/>
      </w:r>
      <w:hyperlink r:id="rId23">
        <w:r>
          <w:rPr>
            <w:rFonts w:ascii="Times New Roman" w:cs="Times New Roman" w:eastAsia="Times New Roman" w:hAnsi="Times New Roman"/>
            <w:sz w:val="17"/>
            <w:szCs w:val="17"/>
            <w:u w:val="single" w:color="auto"/>
            <w:color w:val="0000EE"/>
          </w:rPr>
          <w:t>Amended and Restated Limited Liability Company Agreement of SIGECO Securitization I, LLC dated as of June 29, 2023.</w:t>
        </w:r>
      </w:hyperlink>
    </w:p>
    <w:p>
      <w:pPr>
        <w:spacing w:after="0" w:line="225" w:lineRule="exact"/>
        <w:rPr>
          <w:sz w:val="20"/>
          <w:szCs w:val="20"/>
          <w:color w:val="auto"/>
        </w:rPr>
      </w:pPr>
    </w:p>
    <w:p>
      <w:pPr>
        <w:ind w:left="2200" w:right="400" w:hanging="677"/>
        <w:spacing w:after="0" w:line="266" w:lineRule="auto"/>
        <w:tabs>
          <w:tab w:leader="none" w:pos="2180" w:val="left"/>
        </w:tabs>
        <w:rPr>
          <w:rFonts w:ascii="Times New Roman" w:cs="Times New Roman" w:eastAsia="Times New Roman" w:hAnsi="Times New Roman"/>
          <w:sz w:val="18"/>
          <w:szCs w:val="18"/>
          <w:u w:val="single" w:color="auto"/>
          <w:color w:val="0000EE"/>
        </w:rPr>
      </w:pPr>
      <w:hyperlink r:id="rId24">
        <w:r>
          <w:rPr>
            <w:rFonts w:ascii="Times New Roman" w:cs="Times New Roman" w:eastAsia="Times New Roman" w:hAnsi="Times New Roman"/>
            <w:sz w:val="18"/>
            <w:szCs w:val="18"/>
            <w:u w:val="single" w:color="auto"/>
            <w:color w:val="0000EE"/>
          </w:rPr>
          <w:t>4.1</w:t>
        </w:r>
      </w:hyperlink>
      <w:r>
        <w:rPr>
          <w:rFonts w:ascii="Times New Roman" w:cs="Times New Roman" w:eastAsia="Times New Roman" w:hAnsi="Times New Roman"/>
          <w:sz w:val="18"/>
          <w:szCs w:val="18"/>
          <w:u w:val="single" w:color="auto"/>
          <w:color w:val="0000EE"/>
        </w:rPr>
        <w:tab/>
      </w:r>
      <w:hyperlink r:id="rId24">
        <w:r>
          <w:rPr>
            <w:rFonts w:ascii="Times New Roman" w:cs="Times New Roman" w:eastAsia="Times New Roman" w:hAnsi="Times New Roman"/>
            <w:sz w:val="18"/>
            <w:szCs w:val="18"/>
            <w:u w:val="single" w:color="auto"/>
            <w:color w:val="0000EE"/>
          </w:rPr>
          <w:t>Indenture by and among SIGECO Securitization I, LLC, U.S. Bank Trust Company, National Association, as Indenture</w:t>
        </w:r>
      </w:hyperlink>
      <w:r>
        <w:rPr>
          <w:rFonts w:ascii="Times New Roman" w:cs="Times New Roman" w:eastAsia="Times New Roman" w:hAnsi="Times New Roman"/>
          <w:sz w:val="18"/>
          <w:szCs w:val="18"/>
          <w:u w:val="single" w:color="auto"/>
          <w:color w:val="0000EE"/>
        </w:rPr>
        <w:t xml:space="preserve"> </w:t>
      </w:r>
      <w:hyperlink r:id="rId24">
        <w:r>
          <w:rPr>
            <w:rFonts w:ascii="Times New Roman" w:cs="Times New Roman" w:eastAsia="Times New Roman" w:hAnsi="Times New Roman"/>
            <w:sz w:val="18"/>
            <w:szCs w:val="18"/>
            <w:u w:val="single" w:color="auto"/>
            <w:color w:val="0000EE"/>
          </w:rPr>
          <w:t>Trustee, and U.S. Bank National Association, as Securities Intermediary (including the forms of the Issuing Entity’s</w:t>
        </w:r>
      </w:hyperlink>
      <w:r>
        <w:rPr>
          <w:rFonts w:ascii="Times New Roman" w:cs="Times New Roman" w:eastAsia="Times New Roman" w:hAnsi="Times New Roman"/>
          <w:sz w:val="18"/>
          <w:szCs w:val="18"/>
          <w:u w:val="single" w:color="auto"/>
          <w:color w:val="0000EE"/>
        </w:rPr>
        <w:t xml:space="preserve"> </w:t>
      </w:r>
      <w:hyperlink r:id="rId24">
        <w:r>
          <w:rPr>
            <w:rFonts w:ascii="Times New Roman" w:cs="Times New Roman" w:eastAsia="Times New Roman" w:hAnsi="Times New Roman"/>
            <w:sz w:val="18"/>
            <w:szCs w:val="18"/>
            <w:u w:val="single" w:color="auto"/>
            <w:color w:val="0000EE"/>
          </w:rPr>
          <w:t>Series 2023-A Senior Secured Securitization Bonds and the Series Supplement) dated as of June 29, 2023.</w:t>
        </w:r>
      </w:hyperlink>
    </w:p>
    <w:p>
      <w:pPr>
        <w:spacing w:after="0" w:line="176" w:lineRule="exact"/>
        <w:rPr>
          <w:rFonts w:ascii="Times New Roman" w:cs="Times New Roman" w:eastAsia="Times New Roman" w:hAnsi="Times New Roman"/>
          <w:sz w:val="18"/>
          <w:szCs w:val="18"/>
          <w:u w:val="single" w:color="auto"/>
          <w:color w:val="0000EE"/>
        </w:rPr>
      </w:pPr>
    </w:p>
    <w:p>
      <w:pPr>
        <w:ind w:left="2200" w:right="640" w:hanging="677"/>
        <w:spacing w:after="0" w:line="282" w:lineRule="auto"/>
        <w:tabs>
          <w:tab w:leader="none" w:pos="2180" w:val="left"/>
        </w:tabs>
        <w:rPr>
          <w:rFonts w:ascii="Times New Roman" w:cs="Times New Roman" w:eastAsia="Times New Roman" w:hAnsi="Times New Roman"/>
          <w:sz w:val="18"/>
          <w:szCs w:val="18"/>
          <w:u w:val="single" w:color="auto"/>
          <w:color w:val="0000EE"/>
        </w:rPr>
      </w:pPr>
      <w:hyperlink r:id="rId25">
        <w:r>
          <w:rPr>
            <w:rFonts w:ascii="Times New Roman" w:cs="Times New Roman" w:eastAsia="Times New Roman" w:hAnsi="Times New Roman"/>
            <w:sz w:val="18"/>
            <w:szCs w:val="18"/>
            <w:u w:val="single" w:color="auto"/>
            <w:color w:val="0000EE"/>
          </w:rPr>
          <w:t>4.2</w:t>
        </w:r>
      </w:hyperlink>
      <w:r>
        <w:rPr>
          <w:rFonts w:ascii="Times New Roman" w:cs="Times New Roman" w:eastAsia="Times New Roman" w:hAnsi="Times New Roman"/>
          <w:sz w:val="18"/>
          <w:szCs w:val="18"/>
          <w:u w:val="single" w:color="auto"/>
          <w:color w:val="0000EE"/>
        </w:rPr>
        <w:tab/>
      </w:r>
      <w:hyperlink r:id="rId25">
        <w:r>
          <w:rPr>
            <w:rFonts w:ascii="Times New Roman" w:cs="Times New Roman" w:eastAsia="Times New Roman" w:hAnsi="Times New Roman"/>
            <w:sz w:val="18"/>
            <w:szCs w:val="18"/>
            <w:u w:val="single" w:color="auto"/>
            <w:color w:val="0000EE"/>
          </w:rPr>
          <w:t>Series Supplement between SIGECO Securitization I, LLC and U.S. Bank Trust Company, National Association, as</w:t>
        </w:r>
      </w:hyperlink>
      <w:r>
        <w:rPr>
          <w:rFonts w:ascii="Times New Roman" w:cs="Times New Roman" w:eastAsia="Times New Roman" w:hAnsi="Times New Roman"/>
          <w:sz w:val="18"/>
          <w:szCs w:val="18"/>
          <w:u w:val="single" w:color="auto"/>
          <w:color w:val="0000EE"/>
        </w:rPr>
        <w:t xml:space="preserve"> </w:t>
      </w:r>
      <w:hyperlink r:id="rId25">
        <w:r>
          <w:rPr>
            <w:rFonts w:ascii="Times New Roman" w:cs="Times New Roman" w:eastAsia="Times New Roman" w:hAnsi="Times New Roman"/>
            <w:sz w:val="18"/>
            <w:szCs w:val="18"/>
            <w:u w:val="single" w:color="auto"/>
            <w:color w:val="0000EE"/>
          </w:rPr>
          <w:t>Indenture Trustee, dated as of June 29, 2023.</w:t>
        </w:r>
      </w:hyperlink>
    </w:p>
    <w:p>
      <w:pPr>
        <w:spacing w:after="0" w:line="162" w:lineRule="exact"/>
        <w:rPr>
          <w:rFonts w:ascii="Times New Roman" w:cs="Times New Roman" w:eastAsia="Times New Roman" w:hAnsi="Times New Roman"/>
          <w:sz w:val="18"/>
          <w:szCs w:val="18"/>
          <w:u w:val="single" w:color="auto"/>
          <w:color w:val="0000EE"/>
        </w:rPr>
      </w:pPr>
    </w:p>
    <w:p>
      <w:pPr>
        <w:ind w:left="1340"/>
        <w:spacing w:after="0"/>
        <w:tabs>
          <w:tab w:leader="none" w:pos="2180" w:val="left"/>
        </w:tabs>
        <w:rPr>
          <w:sz w:val="20"/>
          <w:szCs w:val="20"/>
          <w:color w:val="auto"/>
        </w:rPr>
      </w:pPr>
      <w:r>
        <w:rPr>
          <w:rFonts w:ascii="Times New Roman" w:cs="Times New Roman" w:eastAsia="Times New Roman" w:hAnsi="Times New Roman"/>
          <w:sz w:val="18"/>
          <w:szCs w:val="18"/>
          <w:u w:val="single" w:color="auto"/>
          <w:color w:val="0000EE"/>
        </w:rPr>
        <w:t>*31.1</w:t>
      </w:r>
      <w:r>
        <w:rPr>
          <w:sz w:val="20"/>
          <w:szCs w:val="20"/>
          <w:color w:val="auto"/>
        </w:rPr>
        <w:tab/>
      </w:r>
      <w:r>
        <w:rPr>
          <w:rFonts w:ascii="Times New Roman" w:cs="Times New Roman" w:eastAsia="Times New Roman" w:hAnsi="Times New Roman"/>
          <w:sz w:val="18"/>
          <w:szCs w:val="18"/>
          <w:u w:val="single" w:color="auto"/>
          <w:color w:val="0000EE"/>
        </w:rPr>
        <w:t>Certification.</w:t>
      </w:r>
    </w:p>
    <w:p>
      <w:pPr>
        <w:spacing w:after="0" w:line="225" w:lineRule="exact"/>
        <w:rPr>
          <w:rFonts w:ascii="Times New Roman" w:cs="Times New Roman" w:eastAsia="Times New Roman" w:hAnsi="Times New Roman"/>
          <w:sz w:val="18"/>
          <w:szCs w:val="18"/>
          <w:u w:val="single" w:color="auto"/>
          <w:color w:val="0000EE"/>
        </w:rPr>
      </w:pPr>
    </w:p>
    <w:p>
      <w:pPr>
        <w:ind w:left="2200" w:right="40" w:hanging="857"/>
        <w:spacing w:after="0" w:line="282" w:lineRule="auto"/>
        <w:tabs>
          <w:tab w:leader="none" w:pos="2180" w:val="left"/>
        </w:tabs>
        <w:rPr>
          <w:sz w:val="20"/>
          <w:szCs w:val="20"/>
          <w:color w:val="auto"/>
        </w:rPr>
      </w:pPr>
      <w:r>
        <w:rPr>
          <w:rFonts w:ascii="Times New Roman" w:cs="Times New Roman" w:eastAsia="Times New Roman" w:hAnsi="Times New Roman"/>
          <w:sz w:val="18"/>
          <w:szCs w:val="18"/>
          <w:u w:val="single" w:color="auto"/>
          <w:color w:val="0000EE"/>
        </w:rPr>
        <w:t>*33.1</w:t>
      </w:r>
      <w:r>
        <w:rPr>
          <w:sz w:val="20"/>
          <w:szCs w:val="20"/>
          <w:color w:val="auto"/>
        </w:rPr>
        <w:tab/>
      </w:r>
      <w:r>
        <w:rPr>
          <w:rFonts w:ascii="Times New Roman" w:cs="Times New Roman" w:eastAsia="Times New Roman" w:hAnsi="Times New Roman"/>
          <w:sz w:val="18"/>
          <w:szCs w:val="18"/>
          <w:u w:val="single" w:color="auto"/>
          <w:color w:val="0000EE"/>
        </w:rPr>
        <w:t>Report on assessment of compliance with servicing criteria for asset-backed securities for Southern Indiana Gas and Electric Company.</w:t>
      </w:r>
    </w:p>
    <w:p>
      <w:pPr>
        <w:spacing w:after="0" w:line="162" w:lineRule="exact"/>
        <w:rPr>
          <w:rFonts w:ascii="Times New Roman" w:cs="Times New Roman" w:eastAsia="Times New Roman" w:hAnsi="Times New Roman"/>
          <w:sz w:val="18"/>
          <w:szCs w:val="18"/>
          <w:u w:val="single" w:color="auto"/>
          <w:color w:val="0000EE"/>
        </w:rPr>
      </w:pPr>
    </w:p>
    <w:p>
      <w:pPr>
        <w:ind w:left="1340"/>
        <w:spacing w:after="0"/>
        <w:tabs>
          <w:tab w:leader="none" w:pos="2180" w:val="left"/>
        </w:tabs>
        <w:rPr>
          <w:sz w:val="20"/>
          <w:szCs w:val="20"/>
          <w:color w:val="auto"/>
        </w:rPr>
      </w:pPr>
      <w:r>
        <w:rPr>
          <w:rFonts w:ascii="Times New Roman" w:cs="Times New Roman" w:eastAsia="Times New Roman" w:hAnsi="Times New Roman"/>
          <w:sz w:val="18"/>
          <w:szCs w:val="18"/>
          <w:u w:val="single" w:color="auto"/>
          <w:color w:val="0000EE"/>
        </w:rPr>
        <w:t>*33.2</w:t>
      </w:r>
      <w:r>
        <w:rPr>
          <w:sz w:val="20"/>
          <w:szCs w:val="20"/>
          <w:color w:val="auto"/>
        </w:rPr>
        <w:tab/>
      </w:r>
      <w:r>
        <w:rPr>
          <w:rFonts w:ascii="Times New Roman" w:cs="Times New Roman" w:eastAsia="Times New Roman" w:hAnsi="Times New Roman"/>
          <w:sz w:val="17"/>
          <w:szCs w:val="17"/>
          <w:u w:val="single" w:color="auto"/>
          <w:color w:val="0000EE"/>
        </w:rPr>
        <w:t>Assertion of compliance with applicable servicing criteria for U.S. Bank Trust Company, National Association.</w:t>
      </w:r>
    </w:p>
    <w:p>
      <w:pPr>
        <w:spacing w:after="0" w:line="225" w:lineRule="exact"/>
        <w:rPr>
          <w:rFonts w:ascii="Times New Roman" w:cs="Times New Roman" w:eastAsia="Times New Roman" w:hAnsi="Times New Roman"/>
          <w:sz w:val="18"/>
          <w:szCs w:val="18"/>
          <w:u w:val="single" w:color="auto"/>
          <w:color w:val="0000EE"/>
        </w:rPr>
      </w:pPr>
    </w:p>
    <w:p>
      <w:pPr>
        <w:ind w:left="2200" w:right="80" w:hanging="857"/>
        <w:spacing w:after="0" w:line="282" w:lineRule="auto"/>
        <w:tabs>
          <w:tab w:leader="none" w:pos="2180" w:val="left"/>
        </w:tabs>
        <w:rPr>
          <w:sz w:val="20"/>
          <w:szCs w:val="20"/>
          <w:color w:val="auto"/>
        </w:rPr>
      </w:pPr>
      <w:r>
        <w:rPr>
          <w:rFonts w:ascii="Times New Roman" w:cs="Times New Roman" w:eastAsia="Times New Roman" w:hAnsi="Times New Roman"/>
          <w:sz w:val="18"/>
          <w:szCs w:val="18"/>
          <w:u w:val="single" w:color="auto"/>
          <w:color w:val="0000EE"/>
        </w:rPr>
        <w:t>*34.1</w:t>
      </w:r>
      <w:r>
        <w:rPr>
          <w:sz w:val="20"/>
          <w:szCs w:val="20"/>
          <w:color w:val="auto"/>
        </w:rPr>
        <w:tab/>
      </w:r>
      <w:r>
        <w:rPr>
          <w:rFonts w:ascii="Times New Roman" w:cs="Times New Roman" w:eastAsia="Times New Roman" w:hAnsi="Times New Roman"/>
          <w:sz w:val="18"/>
          <w:szCs w:val="18"/>
          <w:u w:val="single" w:color="auto"/>
          <w:color w:val="0000EE"/>
        </w:rPr>
        <w:t>Attestation report on assessment of compliance with servicing criteria for asset-backed securities of Deloitte &amp; Touche LLP on behalf of Southern Indiana Gas and Electric Company.</w:t>
      </w:r>
    </w:p>
    <w:p>
      <w:pPr>
        <w:spacing w:after="0" w:line="162" w:lineRule="exact"/>
        <w:rPr>
          <w:rFonts w:ascii="Times New Roman" w:cs="Times New Roman" w:eastAsia="Times New Roman" w:hAnsi="Times New Roman"/>
          <w:sz w:val="18"/>
          <w:szCs w:val="18"/>
          <w:u w:val="single" w:color="auto"/>
          <w:color w:val="0000EE"/>
        </w:rPr>
      </w:pPr>
    </w:p>
    <w:p>
      <w:pPr>
        <w:ind w:left="2200" w:right="120" w:hanging="857"/>
        <w:spacing w:after="0" w:line="282" w:lineRule="auto"/>
        <w:tabs>
          <w:tab w:leader="none" w:pos="2180" w:val="left"/>
        </w:tabs>
        <w:rPr>
          <w:sz w:val="20"/>
          <w:szCs w:val="20"/>
          <w:color w:val="auto"/>
        </w:rPr>
      </w:pPr>
      <w:r>
        <w:rPr>
          <w:rFonts w:ascii="Times New Roman" w:cs="Times New Roman" w:eastAsia="Times New Roman" w:hAnsi="Times New Roman"/>
          <w:sz w:val="18"/>
          <w:szCs w:val="18"/>
          <w:u w:val="single" w:color="auto"/>
          <w:color w:val="0000EE"/>
        </w:rPr>
        <w:t>*34.2</w:t>
      </w:r>
      <w:r>
        <w:rPr>
          <w:sz w:val="20"/>
          <w:szCs w:val="20"/>
          <w:color w:val="auto"/>
        </w:rPr>
        <w:tab/>
      </w:r>
      <w:r>
        <w:rPr>
          <w:rFonts w:ascii="Times New Roman" w:cs="Times New Roman" w:eastAsia="Times New Roman" w:hAnsi="Times New Roman"/>
          <w:sz w:val="18"/>
          <w:szCs w:val="18"/>
          <w:u w:val="single" w:color="auto"/>
          <w:color w:val="0000EE"/>
        </w:rPr>
        <w:t>Attestation report on assessment of compliance with servicing criteria for asset-backed securities of Ernst &amp; Young LLP on behalf of U.S. Bank Trust Company, National Association.</w:t>
      </w:r>
    </w:p>
    <w:p>
      <w:pPr>
        <w:spacing w:after="0" w:line="162" w:lineRule="exact"/>
        <w:rPr>
          <w:rFonts w:ascii="Times New Roman" w:cs="Times New Roman" w:eastAsia="Times New Roman" w:hAnsi="Times New Roman"/>
          <w:sz w:val="18"/>
          <w:szCs w:val="18"/>
          <w:u w:val="single" w:color="auto"/>
          <w:color w:val="0000EE"/>
        </w:rPr>
      </w:pPr>
    </w:p>
    <w:p>
      <w:pPr>
        <w:ind w:left="1340"/>
        <w:spacing w:after="0"/>
        <w:tabs>
          <w:tab w:leader="none" w:pos="2180" w:val="left"/>
        </w:tabs>
        <w:rPr>
          <w:sz w:val="20"/>
          <w:szCs w:val="20"/>
          <w:color w:val="auto"/>
        </w:rPr>
      </w:pPr>
      <w:r>
        <w:rPr>
          <w:rFonts w:ascii="Times New Roman" w:cs="Times New Roman" w:eastAsia="Times New Roman" w:hAnsi="Times New Roman"/>
          <w:sz w:val="18"/>
          <w:szCs w:val="18"/>
          <w:u w:val="single" w:color="auto"/>
          <w:color w:val="0000EE"/>
        </w:rPr>
        <w:t>*35.1</w:t>
      </w:r>
      <w:r>
        <w:rPr>
          <w:sz w:val="20"/>
          <w:szCs w:val="20"/>
          <w:color w:val="auto"/>
        </w:rPr>
        <w:tab/>
      </w:r>
      <w:r>
        <w:rPr>
          <w:rFonts w:ascii="Times New Roman" w:cs="Times New Roman" w:eastAsia="Times New Roman" w:hAnsi="Times New Roman"/>
          <w:sz w:val="18"/>
          <w:szCs w:val="18"/>
          <w:u w:val="single" w:color="auto"/>
          <w:color w:val="0000EE"/>
        </w:rPr>
        <w:t>Servicer compliance statement.</w:t>
      </w:r>
    </w:p>
    <w:p>
      <w:pPr>
        <w:spacing w:after="0" w:line="225" w:lineRule="exact"/>
        <w:rPr>
          <w:rFonts w:ascii="Times New Roman" w:cs="Times New Roman" w:eastAsia="Times New Roman" w:hAnsi="Times New Roman"/>
          <w:sz w:val="18"/>
          <w:szCs w:val="18"/>
          <w:u w:val="single" w:color="auto"/>
          <w:color w:val="0000EE"/>
        </w:rPr>
      </w:pPr>
    </w:p>
    <w:p>
      <w:pPr>
        <w:ind w:left="2200" w:right="20" w:hanging="767"/>
        <w:spacing w:after="0" w:line="282" w:lineRule="auto"/>
        <w:tabs>
          <w:tab w:leader="none" w:pos="2180" w:val="left"/>
        </w:tabs>
        <w:rPr>
          <w:rFonts w:ascii="Times New Roman" w:cs="Times New Roman" w:eastAsia="Times New Roman" w:hAnsi="Times New Roman"/>
          <w:sz w:val="18"/>
          <w:szCs w:val="18"/>
          <w:u w:val="single" w:color="auto"/>
          <w:color w:val="0000EE"/>
        </w:rPr>
      </w:pPr>
      <w:hyperlink r:id="rId26">
        <w:r>
          <w:rPr>
            <w:rFonts w:ascii="Times New Roman" w:cs="Times New Roman" w:eastAsia="Times New Roman" w:hAnsi="Times New Roman"/>
            <w:sz w:val="18"/>
            <w:szCs w:val="18"/>
            <w:u w:val="single" w:color="auto"/>
            <w:color w:val="0000EE"/>
          </w:rPr>
          <w:t>99.1</w:t>
        </w:r>
      </w:hyperlink>
      <w:r>
        <w:rPr>
          <w:rFonts w:ascii="Times New Roman" w:cs="Times New Roman" w:eastAsia="Times New Roman" w:hAnsi="Times New Roman"/>
          <w:sz w:val="18"/>
          <w:szCs w:val="18"/>
          <w:u w:val="single" w:color="auto"/>
          <w:color w:val="0000EE"/>
        </w:rPr>
        <w:tab/>
      </w:r>
      <w:hyperlink r:id="rId26">
        <w:r>
          <w:rPr>
            <w:rFonts w:ascii="Times New Roman" w:cs="Times New Roman" w:eastAsia="Times New Roman" w:hAnsi="Times New Roman"/>
            <w:sz w:val="18"/>
            <w:szCs w:val="18"/>
            <w:u w:val="single" w:color="auto"/>
            <w:color w:val="0000EE"/>
          </w:rPr>
          <w:t>Securitization Property Servicing Agreement between SIGECO Securitization I, LLC and Southern Indiana Gas and Electric</w:t>
        </w:r>
      </w:hyperlink>
      <w:r>
        <w:rPr>
          <w:rFonts w:ascii="Times New Roman" w:cs="Times New Roman" w:eastAsia="Times New Roman" w:hAnsi="Times New Roman"/>
          <w:sz w:val="18"/>
          <w:szCs w:val="18"/>
          <w:u w:val="single" w:color="auto"/>
          <w:color w:val="0000EE"/>
        </w:rPr>
        <w:t xml:space="preserve"> </w:t>
      </w:r>
      <w:hyperlink r:id="rId26">
        <w:r>
          <w:rPr>
            <w:rFonts w:ascii="Times New Roman" w:cs="Times New Roman" w:eastAsia="Times New Roman" w:hAnsi="Times New Roman"/>
            <w:sz w:val="18"/>
            <w:szCs w:val="18"/>
            <w:u w:val="single" w:color="auto"/>
            <w:color w:val="0000EE"/>
          </w:rPr>
          <w:t>Company, as Servicer, dated as of June 29, 2023.</w:t>
        </w:r>
      </w:hyperlink>
    </w:p>
    <w:p>
      <w:pPr>
        <w:spacing w:after="0" w:line="162" w:lineRule="exact"/>
        <w:rPr>
          <w:rFonts w:ascii="Times New Roman" w:cs="Times New Roman" w:eastAsia="Times New Roman" w:hAnsi="Times New Roman"/>
          <w:sz w:val="18"/>
          <w:szCs w:val="18"/>
          <w:u w:val="single" w:color="auto"/>
          <w:color w:val="0000EE"/>
        </w:rPr>
      </w:pPr>
    </w:p>
    <w:p>
      <w:pPr>
        <w:ind w:left="2200" w:hanging="767"/>
        <w:spacing w:after="0" w:line="282" w:lineRule="auto"/>
        <w:tabs>
          <w:tab w:leader="none" w:pos="2180" w:val="left"/>
        </w:tabs>
        <w:rPr>
          <w:rFonts w:ascii="Times New Roman" w:cs="Times New Roman" w:eastAsia="Times New Roman" w:hAnsi="Times New Roman"/>
          <w:sz w:val="18"/>
          <w:szCs w:val="18"/>
          <w:u w:val="single" w:color="auto"/>
          <w:color w:val="0000EE"/>
        </w:rPr>
      </w:pPr>
      <w:hyperlink r:id="rId27">
        <w:r>
          <w:rPr>
            <w:rFonts w:ascii="Times New Roman" w:cs="Times New Roman" w:eastAsia="Times New Roman" w:hAnsi="Times New Roman"/>
            <w:sz w:val="18"/>
            <w:szCs w:val="18"/>
            <w:u w:val="single" w:color="auto"/>
            <w:color w:val="0000EE"/>
          </w:rPr>
          <w:t>99.2</w:t>
        </w:r>
      </w:hyperlink>
      <w:r>
        <w:rPr>
          <w:rFonts w:ascii="Times New Roman" w:cs="Times New Roman" w:eastAsia="Times New Roman" w:hAnsi="Times New Roman"/>
          <w:sz w:val="18"/>
          <w:szCs w:val="18"/>
          <w:u w:val="single" w:color="auto"/>
          <w:color w:val="0000EE"/>
        </w:rPr>
        <w:tab/>
      </w:r>
      <w:hyperlink r:id="rId27">
        <w:r>
          <w:rPr>
            <w:rFonts w:ascii="Times New Roman" w:cs="Times New Roman" w:eastAsia="Times New Roman" w:hAnsi="Times New Roman"/>
            <w:sz w:val="18"/>
            <w:szCs w:val="18"/>
            <w:u w:val="single" w:color="auto"/>
            <w:color w:val="0000EE"/>
          </w:rPr>
          <w:t>Securitization Property Purchase and Sale Agreement between SIGECO Securitization I, LLC and Southern Indiana Gas and</w:t>
        </w:r>
      </w:hyperlink>
      <w:r>
        <w:rPr>
          <w:rFonts w:ascii="Times New Roman" w:cs="Times New Roman" w:eastAsia="Times New Roman" w:hAnsi="Times New Roman"/>
          <w:sz w:val="18"/>
          <w:szCs w:val="18"/>
          <w:u w:val="single" w:color="auto"/>
          <w:color w:val="0000EE"/>
        </w:rPr>
        <w:t xml:space="preserve"> </w:t>
      </w:r>
      <w:hyperlink r:id="rId27">
        <w:r>
          <w:rPr>
            <w:rFonts w:ascii="Times New Roman" w:cs="Times New Roman" w:eastAsia="Times New Roman" w:hAnsi="Times New Roman"/>
            <w:sz w:val="18"/>
            <w:szCs w:val="18"/>
            <w:u w:val="single" w:color="auto"/>
            <w:color w:val="0000EE"/>
          </w:rPr>
          <w:t>Electric Company, as Seller, dated as of June 29, 2023.</w:t>
        </w:r>
      </w:hyperlink>
    </w:p>
    <w:p>
      <w:pPr>
        <w:spacing w:after="0" w:line="162" w:lineRule="exact"/>
        <w:rPr>
          <w:rFonts w:ascii="Times New Roman" w:cs="Times New Roman" w:eastAsia="Times New Roman" w:hAnsi="Times New Roman"/>
          <w:sz w:val="18"/>
          <w:szCs w:val="18"/>
          <w:u w:val="single" w:color="auto"/>
          <w:color w:val="0000EE"/>
        </w:rPr>
      </w:pPr>
    </w:p>
    <w:p>
      <w:pPr>
        <w:ind w:left="2200" w:right="360" w:hanging="767"/>
        <w:spacing w:after="0" w:line="282" w:lineRule="auto"/>
        <w:tabs>
          <w:tab w:leader="none" w:pos="2180" w:val="left"/>
        </w:tabs>
        <w:rPr>
          <w:rFonts w:ascii="Times New Roman" w:cs="Times New Roman" w:eastAsia="Times New Roman" w:hAnsi="Times New Roman"/>
          <w:sz w:val="18"/>
          <w:szCs w:val="18"/>
          <w:u w:val="single" w:color="auto"/>
          <w:color w:val="0000EE"/>
        </w:rPr>
      </w:pPr>
      <w:hyperlink r:id="rId28">
        <w:r>
          <w:rPr>
            <w:rFonts w:ascii="Times New Roman" w:cs="Times New Roman" w:eastAsia="Times New Roman" w:hAnsi="Times New Roman"/>
            <w:sz w:val="18"/>
            <w:szCs w:val="18"/>
            <w:u w:val="single" w:color="auto"/>
            <w:color w:val="0000EE"/>
          </w:rPr>
          <w:t>99.3</w:t>
        </w:r>
      </w:hyperlink>
      <w:r>
        <w:rPr>
          <w:rFonts w:ascii="Times New Roman" w:cs="Times New Roman" w:eastAsia="Times New Roman" w:hAnsi="Times New Roman"/>
          <w:sz w:val="18"/>
          <w:szCs w:val="18"/>
          <w:u w:val="single" w:color="auto"/>
          <w:color w:val="0000EE"/>
        </w:rPr>
        <w:tab/>
      </w:r>
      <w:hyperlink r:id="rId28">
        <w:r>
          <w:rPr>
            <w:rFonts w:ascii="Times New Roman" w:cs="Times New Roman" w:eastAsia="Times New Roman" w:hAnsi="Times New Roman"/>
            <w:sz w:val="18"/>
            <w:szCs w:val="18"/>
            <w:u w:val="single" w:color="auto"/>
            <w:color w:val="0000EE"/>
          </w:rPr>
          <w:t>Administration Agreement between SIGECO Securitization I, LLC and Southern Indiana Gas and Electric Company, as</w:t>
        </w:r>
      </w:hyperlink>
      <w:r>
        <w:rPr>
          <w:rFonts w:ascii="Times New Roman" w:cs="Times New Roman" w:eastAsia="Times New Roman" w:hAnsi="Times New Roman"/>
          <w:sz w:val="18"/>
          <w:szCs w:val="18"/>
          <w:u w:val="single" w:color="auto"/>
          <w:color w:val="0000EE"/>
        </w:rPr>
        <w:t xml:space="preserve"> </w:t>
      </w:r>
      <w:hyperlink r:id="rId28">
        <w:r>
          <w:rPr>
            <w:rFonts w:ascii="Times New Roman" w:cs="Times New Roman" w:eastAsia="Times New Roman" w:hAnsi="Times New Roman"/>
            <w:sz w:val="18"/>
            <w:szCs w:val="18"/>
            <w:u w:val="single" w:color="auto"/>
            <w:color w:val="0000EE"/>
          </w:rPr>
          <w:t>Administrator, dated as of June 29, 2023.</w:t>
        </w:r>
      </w:hyperlink>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405765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7" w:name="page8"/>
    <w:bookmarkEnd w:id="7"/>
    <w:p>
      <w:pPr>
        <w:ind w:left="780" w:hanging="448"/>
        <w:spacing w:after="0"/>
        <w:tabs>
          <w:tab w:leader="none" w:pos="7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 required by this Form and Item 601 of Regulation S-K (exhibits marked with an asterisk are filed herewith):</w:t>
      </w:r>
    </w:p>
    <w:p>
      <w:pPr>
        <w:spacing w:after="0" w:line="225" w:lineRule="exact"/>
        <w:rPr>
          <w:sz w:val="20"/>
          <w:szCs w:val="20"/>
          <w:color w:val="auto"/>
        </w:rPr>
      </w:pPr>
    </w:p>
    <w:p>
      <w:pPr>
        <w:ind w:left="1360" w:right="560" w:hanging="548"/>
        <w:spacing w:after="0" w:line="266" w:lineRule="auto"/>
        <w:tabs>
          <w:tab w:leader="none" w:pos="1340" w:val="left"/>
        </w:tabs>
        <w:rPr>
          <w:rFonts w:ascii="Times New Roman" w:cs="Times New Roman" w:eastAsia="Times New Roman" w:hAnsi="Times New Roman"/>
          <w:sz w:val="18"/>
          <w:szCs w:val="18"/>
          <w:u w:val="single" w:color="auto"/>
          <w:color w:val="0000EE"/>
        </w:rPr>
      </w:pPr>
      <w:hyperlink r:id="rId22">
        <w:r>
          <w:rPr>
            <w:rFonts w:ascii="Times New Roman" w:cs="Times New Roman" w:eastAsia="Times New Roman" w:hAnsi="Times New Roman"/>
            <w:sz w:val="18"/>
            <w:szCs w:val="18"/>
            <w:u w:val="single" w:color="auto"/>
            <w:color w:val="0000EE"/>
          </w:rPr>
          <w:t>3.1</w:t>
        </w:r>
      </w:hyperlink>
      <w:r>
        <w:rPr>
          <w:rFonts w:ascii="Times New Roman" w:cs="Times New Roman" w:eastAsia="Times New Roman" w:hAnsi="Times New Roman"/>
          <w:sz w:val="18"/>
          <w:szCs w:val="18"/>
          <w:u w:val="single" w:color="auto"/>
          <w:color w:val="0000EE"/>
        </w:rPr>
        <w:tab/>
      </w:r>
      <w:hyperlink r:id="rId22">
        <w:r>
          <w:rPr>
            <w:rFonts w:ascii="Times New Roman" w:cs="Times New Roman" w:eastAsia="Times New Roman" w:hAnsi="Times New Roman"/>
            <w:sz w:val="18"/>
            <w:szCs w:val="18"/>
            <w:u w:val="single" w:color="auto"/>
            <w:color w:val="0000EE"/>
          </w:rPr>
          <w:t>Certificate of Formation of SIGECO Securitization I, LLC filed with the Delaware Secretary of State on February 16, 2023</w:t>
        </w:r>
      </w:hyperlink>
      <w:r>
        <w:rPr>
          <w:rFonts w:ascii="Times New Roman" w:cs="Times New Roman" w:eastAsia="Times New Roman" w:hAnsi="Times New Roman"/>
          <w:sz w:val="18"/>
          <w:szCs w:val="18"/>
          <w:u w:val="single" w:color="auto"/>
          <w:color w:val="0000EE"/>
        </w:rPr>
        <w:t xml:space="preserve"> </w:t>
      </w:r>
      <w:hyperlink r:id="rId22">
        <w:r>
          <w:rPr>
            <w:rFonts w:ascii="Times New Roman" w:cs="Times New Roman" w:eastAsia="Times New Roman" w:hAnsi="Times New Roman"/>
            <w:sz w:val="18"/>
            <w:szCs w:val="18"/>
            <w:u w:val="single" w:color="auto"/>
            <w:color w:val="0000EE"/>
          </w:rPr>
          <w:t>(incorporated by reference to exhibit 3.1 included as an exhibit to the Issuing Entity’s Registration Statement on Form SF-1 filed</w:t>
        </w:r>
      </w:hyperlink>
      <w:r>
        <w:rPr>
          <w:rFonts w:ascii="Times New Roman" w:cs="Times New Roman" w:eastAsia="Times New Roman" w:hAnsi="Times New Roman"/>
          <w:sz w:val="18"/>
          <w:szCs w:val="18"/>
          <w:u w:val="single" w:color="auto"/>
          <w:color w:val="0000EE"/>
        </w:rPr>
        <w:t xml:space="preserve"> </w:t>
      </w:r>
      <w:hyperlink r:id="rId22">
        <w:r>
          <w:rPr>
            <w:rFonts w:ascii="Times New Roman" w:cs="Times New Roman" w:eastAsia="Times New Roman" w:hAnsi="Times New Roman"/>
            <w:sz w:val="18"/>
            <w:szCs w:val="18"/>
            <w:u w:val="single" w:color="auto"/>
            <w:color w:val="0000EE"/>
          </w:rPr>
          <w:t>March 24, 2023 (Registration No. 333-270851-01)).</w:t>
        </w:r>
      </w:hyperlink>
    </w:p>
    <w:p>
      <w:pPr>
        <w:spacing w:after="0" w:line="176" w:lineRule="exact"/>
        <w:rPr>
          <w:rFonts w:ascii="Times New Roman" w:cs="Times New Roman" w:eastAsia="Times New Roman" w:hAnsi="Times New Roman"/>
          <w:sz w:val="18"/>
          <w:szCs w:val="18"/>
          <w:u w:val="single" w:color="auto"/>
          <w:color w:val="0000EE"/>
        </w:rPr>
      </w:pPr>
    </w:p>
    <w:p>
      <w:pPr>
        <w:ind w:left="1360" w:right="140" w:hanging="548"/>
        <w:spacing w:after="0" w:line="266" w:lineRule="auto"/>
        <w:tabs>
          <w:tab w:leader="none" w:pos="1340" w:val="left"/>
        </w:tabs>
        <w:rPr>
          <w:rFonts w:ascii="Times New Roman" w:cs="Times New Roman" w:eastAsia="Times New Roman" w:hAnsi="Times New Roman"/>
          <w:sz w:val="18"/>
          <w:szCs w:val="18"/>
          <w:u w:val="single" w:color="auto"/>
          <w:color w:val="0000EE"/>
        </w:rPr>
      </w:pPr>
      <w:hyperlink r:id="rId23">
        <w:r>
          <w:rPr>
            <w:rFonts w:ascii="Times New Roman" w:cs="Times New Roman" w:eastAsia="Times New Roman" w:hAnsi="Times New Roman"/>
            <w:sz w:val="18"/>
            <w:szCs w:val="18"/>
            <w:u w:val="single" w:color="auto"/>
            <w:color w:val="0000EE"/>
          </w:rPr>
          <w:t>3.2</w:t>
        </w:r>
      </w:hyperlink>
      <w:r>
        <w:rPr>
          <w:rFonts w:ascii="Times New Roman" w:cs="Times New Roman" w:eastAsia="Times New Roman" w:hAnsi="Times New Roman"/>
          <w:sz w:val="18"/>
          <w:szCs w:val="18"/>
          <w:u w:val="single" w:color="auto"/>
          <w:color w:val="0000EE"/>
        </w:rPr>
        <w:tab/>
      </w:r>
      <w:hyperlink r:id="rId23">
        <w:r>
          <w:rPr>
            <w:rFonts w:ascii="Times New Roman" w:cs="Times New Roman" w:eastAsia="Times New Roman" w:hAnsi="Times New Roman"/>
            <w:sz w:val="18"/>
            <w:szCs w:val="18"/>
            <w:u w:val="single" w:color="auto"/>
            <w:color w:val="0000EE"/>
          </w:rPr>
          <w:t>Amended and Restated Limited Liability Company Agreement of SIGECO Securitization I, LLC dated as of June 29, 2023</w:t>
        </w:r>
      </w:hyperlink>
      <w:r>
        <w:rPr>
          <w:rFonts w:ascii="Times New Roman" w:cs="Times New Roman" w:eastAsia="Times New Roman" w:hAnsi="Times New Roman"/>
          <w:sz w:val="18"/>
          <w:szCs w:val="18"/>
          <w:u w:val="single" w:color="auto"/>
          <w:color w:val="0000EE"/>
        </w:rPr>
        <w:t xml:space="preserve"> </w:t>
      </w:r>
      <w:hyperlink r:id="rId23">
        <w:r>
          <w:rPr>
            <w:rFonts w:ascii="Times New Roman" w:cs="Times New Roman" w:eastAsia="Times New Roman" w:hAnsi="Times New Roman"/>
            <w:sz w:val="18"/>
            <w:szCs w:val="18"/>
            <w:u w:val="single" w:color="auto"/>
            <w:color w:val="0000EE"/>
          </w:rPr>
          <w:t>(incorporated by reference to exhibit 3.1 included as an exhibit to the Issuing Entity’s Current Report on Form 8-K filed June 29, 2023</w:t>
        </w:r>
      </w:hyperlink>
      <w:r>
        <w:rPr>
          <w:rFonts w:ascii="Times New Roman" w:cs="Times New Roman" w:eastAsia="Times New Roman" w:hAnsi="Times New Roman"/>
          <w:sz w:val="18"/>
          <w:szCs w:val="18"/>
          <w:u w:val="single" w:color="auto"/>
          <w:color w:val="0000EE"/>
        </w:rPr>
        <w:t xml:space="preserve"> </w:t>
      </w:r>
      <w:hyperlink r:id="rId23">
        <w:r>
          <w:rPr>
            <w:rFonts w:ascii="Times New Roman" w:cs="Times New Roman" w:eastAsia="Times New Roman" w:hAnsi="Times New Roman"/>
            <w:sz w:val="18"/>
            <w:szCs w:val="18"/>
            <w:u w:val="single" w:color="auto"/>
            <w:color w:val="0000EE"/>
          </w:rPr>
          <w:t>(File No. 333-270851-01)).</w:t>
        </w:r>
      </w:hyperlink>
    </w:p>
    <w:p>
      <w:pPr>
        <w:spacing w:after="0" w:line="176" w:lineRule="exact"/>
        <w:rPr>
          <w:rFonts w:ascii="Times New Roman" w:cs="Times New Roman" w:eastAsia="Times New Roman" w:hAnsi="Times New Roman"/>
          <w:sz w:val="18"/>
          <w:szCs w:val="18"/>
          <w:u w:val="single" w:color="auto"/>
          <w:color w:val="0000EE"/>
        </w:rPr>
      </w:pPr>
    </w:p>
    <w:p>
      <w:pPr>
        <w:ind w:left="1360" w:right="200" w:hanging="548"/>
        <w:spacing w:after="0" w:line="261" w:lineRule="auto"/>
        <w:tabs>
          <w:tab w:leader="none" w:pos="1340" w:val="left"/>
        </w:tabs>
        <w:rPr>
          <w:rFonts w:ascii="Times New Roman" w:cs="Times New Roman" w:eastAsia="Times New Roman" w:hAnsi="Times New Roman"/>
          <w:sz w:val="18"/>
          <w:szCs w:val="18"/>
          <w:u w:val="single" w:color="auto"/>
          <w:color w:val="0000EE"/>
        </w:rPr>
      </w:pPr>
      <w:hyperlink r:id="rId24">
        <w:r>
          <w:rPr>
            <w:rFonts w:ascii="Times New Roman" w:cs="Times New Roman" w:eastAsia="Times New Roman" w:hAnsi="Times New Roman"/>
            <w:sz w:val="18"/>
            <w:szCs w:val="18"/>
            <w:u w:val="single" w:color="auto"/>
            <w:color w:val="0000EE"/>
          </w:rPr>
          <w:t>4.1</w:t>
        </w:r>
      </w:hyperlink>
      <w:r>
        <w:rPr>
          <w:rFonts w:ascii="Times New Roman" w:cs="Times New Roman" w:eastAsia="Times New Roman" w:hAnsi="Times New Roman"/>
          <w:sz w:val="18"/>
          <w:szCs w:val="18"/>
          <w:u w:val="single" w:color="auto"/>
          <w:color w:val="0000EE"/>
        </w:rPr>
        <w:tab/>
      </w:r>
      <w:hyperlink r:id="rId24">
        <w:r>
          <w:rPr>
            <w:rFonts w:ascii="Times New Roman" w:cs="Times New Roman" w:eastAsia="Times New Roman" w:hAnsi="Times New Roman"/>
            <w:sz w:val="18"/>
            <w:szCs w:val="18"/>
            <w:u w:val="single" w:color="auto"/>
            <w:color w:val="0000EE"/>
          </w:rPr>
          <w:t>Indenture by and among SIGECO Securitization I, LLC, U.S. Bank Trust Company, National Association, as Indenture Trustee, and</w:t>
        </w:r>
      </w:hyperlink>
      <w:r>
        <w:rPr>
          <w:rFonts w:ascii="Times New Roman" w:cs="Times New Roman" w:eastAsia="Times New Roman" w:hAnsi="Times New Roman"/>
          <w:sz w:val="18"/>
          <w:szCs w:val="18"/>
          <w:u w:val="single" w:color="auto"/>
          <w:color w:val="0000EE"/>
        </w:rPr>
        <w:t xml:space="preserve"> </w:t>
      </w:r>
      <w:hyperlink r:id="rId24">
        <w:r>
          <w:rPr>
            <w:rFonts w:ascii="Times New Roman" w:cs="Times New Roman" w:eastAsia="Times New Roman" w:hAnsi="Times New Roman"/>
            <w:sz w:val="18"/>
            <w:szCs w:val="18"/>
            <w:u w:val="single" w:color="auto"/>
            <w:color w:val="0000EE"/>
          </w:rPr>
          <w:t>U.S. Bank National Association, as Securities Intermediary (including the forms of the Issuing Entity’s Series 2023-A Senior Secured</w:t>
        </w:r>
      </w:hyperlink>
      <w:r>
        <w:rPr>
          <w:rFonts w:ascii="Times New Roman" w:cs="Times New Roman" w:eastAsia="Times New Roman" w:hAnsi="Times New Roman"/>
          <w:sz w:val="18"/>
          <w:szCs w:val="18"/>
          <w:u w:val="single" w:color="auto"/>
          <w:color w:val="0000EE"/>
        </w:rPr>
        <w:t xml:space="preserve"> </w:t>
      </w:r>
      <w:hyperlink r:id="rId24">
        <w:r>
          <w:rPr>
            <w:rFonts w:ascii="Times New Roman" w:cs="Times New Roman" w:eastAsia="Times New Roman" w:hAnsi="Times New Roman"/>
            <w:sz w:val="18"/>
            <w:szCs w:val="18"/>
            <w:u w:val="single" w:color="auto"/>
            <w:color w:val="0000EE"/>
          </w:rPr>
          <w:t>Securitization Bonds and the Series Supplement) dated as of June 29, 2023 (incorporated by reference to exhibit 4.1 included as an</w:t>
        </w:r>
      </w:hyperlink>
      <w:r>
        <w:rPr>
          <w:rFonts w:ascii="Times New Roman" w:cs="Times New Roman" w:eastAsia="Times New Roman" w:hAnsi="Times New Roman"/>
          <w:sz w:val="18"/>
          <w:szCs w:val="18"/>
          <w:u w:val="single" w:color="auto"/>
          <w:color w:val="0000EE"/>
        </w:rPr>
        <w:t xml:space="preserve"> </w:t>
      </w:r>
      <w:hyperlink r:id="rId24">
        <w:r>
          <w:rPr>
            <w:rFonts w:ascii="Times New Roman" w:cs="Times New Roman" w:eastAsia="Times New Roman" w:hAnsi="Times New Roman"/>
            <w:sz w:val="18"/>
            <w:szCs w:val="18"/>
            <w:u w:val="single" w:color="auto"/>
            <w:color w:val="0000EE"/>
          </w:rPr>
          <w:t>exhibit to the Issuing Entity’s Current Report on Form 8-K filed June 29, 2023 (File No. 333-270851-01)).</w:t>
        </w:r>
      </w:hyperlink>
    </w:p>
    <w:p>
      <w:pPr>
        <w:spacing w:after="0" w:line="180" w:lineRule="exact"/>
        <w:rPr>
          <w:rFonts w:ascii="Times New Roman" w:cs="Times New Roman" w:eastAsia="Times New Roman" w:hAnsi="Times New Roman"/>
          <w:sz w:val="18"/>
          <w:szCs w:val="18"/>
          <w:u w:val="single" w:color="auto"/>
          <w:color w:val="0000EE"/>
        </w:rPr>
      </w:pPr>
    </w:p>
    <w:p>
      <w:pPr>
        <w:ind w:left="1360" w:right="120" w:hanging="548"/>
        <w:spacing w:after="0" w:line="266" w:lineRule="auto"/>
        <w:tabs>
          <w:tab w:leader="none" w:pos="1340" w:val="left"/>
        </w:tabs>
        <w:rPr>
          <w:rFonts w:ascii="Times New Roman" w:cs="Times New Roman" w:eastAsia="Times New Roman" w:hAnsi="Times New Roman"/>
          <w:sz w:val="18"/>
          <w:szCs w:val="18"/>
          <w:u w:val="single" w:color="auto"/>
          <w:color w:val="0000EE"/>
        </w:rPr>
      </w:pPr>
      <w:hyperlink r:id="rId25">
        <w:r>
          <w:rPr>
            <w:rFonts w:ascii="Times New Roman" w:cs="Times New Roman" w:eastAsia="Times New Roman" w:hAnsi="Times New Roman"/>
            <w:sz w:val="18"/>
            <w:szCs w:val="18"/>
            <w:u w:val="single" w:color="auto"/>
            <w:color w:val="0000EE"/>
          </w:rPr>
          <w:t>4.2</w:t>
        </w:r>
      </w:hyperlink>
      <w:r>
        <w:rPr>
          <w:rFonts w:ascii="Times New Roman" w:cs="Times New Roman" w:eastAsia="Times New Roman" w:hAnsi="Times New Roman"/>
          <w:sz w:val="18"/>
          <w:szCs w:val="18"/>
          <w:u w:val="single" w:color="auto"/>
          <w:color w:val="0000EE"/>
        </w:rPr>
        <w:tab/>
      </w:r>
      <w:hyperlink r:id="rId25">
        <w:r>
          <w:rPr>
            <w:rFonts w:ascii="Times New Roman" w:cs="Times New Roman" w:eastAsia="Times New Roman" w:hAnsi="Times New Roman"/>
            <w:sz w:val="18"/>
            <w:szCs w:val="18"/>
            <w:u w:val="single" w:color="auto"/>
            <w:color w:val="0000EE"/>
          </w:rPr>
          <w:t>Series Supplement between SIGECO Securitization I, LLC and U.S. Bank Trust Company, National Association, as Indenture Trustee,</w:t>
        </w:r>
      </w:hyperlink>
      <w:r>
        <w:rPr>
          <w:rFonts w:ascii="Times New Roman" w:cs="Times New Roman" w:eastAsia="Times New Roman" w:hAnsi="Times New Roman"/>
          <w:sz w:val="18"/>
          <w:szCs w:val="18"/>
          <w:u w:val="single" w:color="auto"/>
          <w:color w:val="0000EE"/>
        </w:rPr>
        <w:t xml:space="preserve"> </w:t>
      </w:r>
      <w:hyperlink r:id="rId25">
        <w:r>
          <w:rPr>
            <w:rFonts w:ascii="Times New Roman" w:cs="Times New Roman" w:eastAsia="Times New Roman" w:hAnsi="Times New Roman"/>
            <w:sz w:val="18"/>
            <w:szCs w:val="18"/>
            <w:u w:val="single" w:color="auto"/>
            <w:color w:val="0000EE"/>
          </w:rPr>
          <w:t>dated as of June 29, 2023 (incorporated by reference to exhibit 4.2 included as an exhibit to the Issuing Entity’s Current Report on</w:t>
        </w:r>
      </w:hyperlink>
      <w:r>
        <w:rPr>
          <w:rFonts w:ascii="Times New Roman" w:cs="Times New Roman" w:eastAsia="Times New Roman" w:hAnsi="Times New Roman"/>
          <w:sz w:val="18"/>
          <w:szCs w:val="18"/>
          <w:u w:val="single" w:color="auto"/>
          <w:color w:val="0000EE"/>
        </w:rPr>
        <w:t xml:space="preserve"> </w:t>
      </w:r>
      <w:hyperlink r:id="rId25">
        <w:r>
          <w:rPr>
            <w:rFonts w:ascii="Times New Roman" w:cs="Times New Roman" w:eastAsia="Times New Roman" w:hAnsi="Times New Roman"/>
            <w:sz w:val="18"/>
            <w:szCs w:val="18"/>
            <w:u w:val="single" w:color="auto"/>
            <w:color w:val="0000EE"/>
          </w:rPr>
          <w:t>Form 8-K filed June 29, 2023 (File No. 333-270851-01)).</w:t>
        </w:r>
      </w:hyperlink>
    </w:p>
    <w:p>
      <w:pPr>
        <w:spacing w:after="0" w:line="176" w:lineRule="exact"/>
        <w:rPr>
          <w:rFonts w:ascii="Times New Roman" w:cs="Times New Roman" w:eastAsia="Times New Roman" w:hAnsi="Times New Roman"/>
          <w:sz w:val="18"/>
          <w:szCs w:val="18"/>
          <w:u w:val="single" w:color="auto"/>
          <w:color w:val="0000EE"/>
        </w:rPr>
      </w:pPr>
    </w:p>
    <w:p>
      <w:pPr>
        <w:ind w:left="620"/>
        <w:spacing w:after="0"/>
        <w:tabs>
          <w:tab w:leader="none" w:pos="1340" w:val="left"/>
        </w:tabs>
        <w:rPr>
          <w:sz w:val="20"/>
          <w:szCs w:val="20"/>
          <w:color w:val="auto"/>
        </w:rPr>
      </w:pPr>
      <w:r>
        <w:rPr>
          <w:rFonts w:ascii="Times New Roman" w:cs="Times New Roman" w:eastAsia="Times New Roman" w:hAnsi="Times New Roman"/>
          <w:sz w:val="18"/>
          <w:szCs w:val="18"/>
          <w:u w:val="single" w:color="auto"/>
          <w:color w:val="0000EE"/>
        </w:rPr>
        <w:t>*31.1</w:t>
      </w:r>
      <w:r>
        <w:rPr>
          <w:sz w:val="20"/>
          <w:szCs w:val="20"/>
          <w:color w:val="auto"/>
        </w:rPr>
        <w:tab/>
      </w:r>
      <w:r>
        <w:rPr>
          <w:rFonts w:ascii="Times New Roman" w:cs="Times New Roman" w:eastAsia="Times New Roman" w:hAnsi="Times New Roman"/>
          <w:sz w:val="18"/>
          <w:szCs w:val="18"/>
          <w:u w:val="single" w:color="auto"/>
          <w:color w:val="0000EE"/>
        </w:rPr>
        <w:t>Certification.</w:t>
      </w:r>
    </w:p>
    <w:p>
      <w:pPr>
        <w:spacing w:after="0" w:line="225" w:lineRule="exact"/>
        <w:rPr>
          <w:rFonts w:ascii="Times New Roman" w:cs="Times New Roman" w:eastAsia="Times New Roman" w:hAnsi="Times New Roman"/>
          <w:sz w:val="18"/>
          <w:szCs w:val="18"/>
          <w:u w:val="single" w:color="auto"/>
          <w:color w:val="0000EE"/>
        </w:rPr>
      </w:pPr>
    </w:p>
    <w:p>
      <w:pPr>
        <w:ind w:left="620"/>
        <w:spacing w:after="0"/>
        <w:tabs>
          <w:tab w:leader="none" w:pos="1340" w:val="left"/>
        </w:tabs>
        <w:rPr>
          <w:sz w:val="20"/>
          <w:szCs w:val="20"/>
          <w:color w:val="auto"/>
        </w:rPr>
      </w:pPr>
      <w:r>
        <w:rPr>
          <w:rFonts w:ascii="Times New Roman" w:cs="Times New Roman" w:eastAsia="Times New Roman" w:hAnsi="Times New Roman"/>
          <w:sz w:val="18"/>
          <w:szCs w:val="18"/>
          <w:u w:val="single" w:color="auto"/>
          <w:color w:val="0000EE"/>
        </w:rPr>
        <w:t>*33.1</w:t>
      </w:r>
      <w:r>
        <w:rPr>
          <w:sz w:val="20"/>
          <w:szCs w:val="20"/>
          <w:color w:val="auto"/>
        </w:rPr>
        <w:tab/>
      </w:r>
      <w:r>
        <w:rPr>
          <w:rFonts w:ascii="Times New Roman" w:cs="Times New Roman" w:eastAsia="Times New Roman" w:hAnsi="Times New Roman"/>
          <w:sz w:val="17"/>
          <w:szCs w:val="17"/>
          <w:u w:val="single" w:color="auto"/>
          <w:color w:val="0000EE"/>
        </w:rPr>
        <w:t>Report on assessment of compliance with servicing criteria for asset-backed securities for Southern Indiana Gas and Electric Company.</w:t>
      </w:r>
    </w:p>
    <w:p>
      <w:pPr>
        <w:spacing w:after="0" w:line="225" w:lineRule="exact"/>
        <w:rPr>
          <w:rFonts w:ascii="Times New Roman" w:cs="Times New Roman" w:eastAsia="Times New Roman" w:hAnsi="Times New Roman"/>
          <w:sz w:val="18"/>
          <w:szCs w:val="18"/>
          <w:u w:val="single" w:color="auto"/>
          <w:color w:val="0000EE"/>
        </w:rPr>
      </w:pPr>
    </w:p>
    <w:p>
      <w:pPr>
        <w:ind w:left="620"/>
        <w:spacing w:after="0"/>
        <w:tabs>
          <w:tab w:leader="none" w:pos="1340" w:val="left"/>
        </w:tabs>
        <w:rPr>
          <w:sz w:val="20"/>
          <w:szCs w:val="20"/>
          <w:color w:val="auto"/>
        </w:rPr>
      </w:pPr>
      <w:r>
        <w:rPr>
          <w:rFonts w:ascii="Times New Roman" w:cs="Times New Roman" w:eastAsia="Times New Roman" w:hAnsi="Times New Roman"/>
          <w:sz w:val="18"/>
          <w:szCs w:val="18"/>
          <w:u w:val="single" w:color="auto"/>
          <w:color w:val="0000EE"/>
        </w:rPr>
        <w:t>*33.2</w:t>
      </w:r>
      <w:r>
        <w:rPr>
          <w:sz w:val="20"/>
          <w:szCs w:val="20"/>
          <w:color w:val="auto"/>
        </w:rPr>
        <w:tab/>
      </w:r>
      <w:r>
        <w:rPr>
          <w:rFonts w:ascii="Times New Roman" w:cs="Times New Roman" w:eastAsia="Times New Roman" w:hAnsi="Times New Roman"/>
          <w:sz w:val="17"/>
          <w:szCs w:val="17"/>
          <w:u w:val="single" w:color="auto"/>
          <w:color w:val="0000EE"/>
        </w:rPr>
        <w:t>Assertion of compliance with applicable servicing criteria for U.S. Bank Trust Company, National Association.</w:t>
      </w:r>
    </w:p>
    <w:p>
      <w:pPr>
        <w:spacing w:after="0" w:line="225" w:lineRule="exact"/>
        <w:rPr>
          <w:rFonts w:ascii="Times New Roman" w:cs="Times New Roman" w:eastAsia="Times New Roman" w:hAnsi="Times New Roman"/>
          <w:sz w:val="18"/>
          <w:szCs w:val="18"/>
          <w:u w:val="single" w:color="auto"/>
          <w:color w:val="0000EE"/>
        </w:rPr>
      </w:pPr>
    </w:p>
    <w:p>
      <w:pPr>
        <w:ind w:left="1360" w:hanging="728"/>
        <w:spacing w:after="0" w:line="282" w:lineRule="auto"/>
        <w:tabs>
          <w:tab w:leader="none" w:pos="1340" w:val="left"/>
        </w:tabs>
        <w:rPr>
          <w:sz w:val="20"/>
          <w:szCs w:val="20"/>
          <w:color w:val="auto"/>
        </w:rPr>
      </w:pPr>
      <w:r>
        <w:rPr>
          <w:rFonts w:ascii="Times New Roman" w:cs="Times New Roman" w:eastAsia="Times New Roman" w:hAnsi="Times New Roman"/>
          <w:sz w:val="18"/>
          <w:szCs w:val="18"/>
          <w:u w:val="single" w:color="auto"/>
          <w:color w:val="0000EE"/>
        </w:rPr>
        <w:t>*34.1</w:t>
      </w:r>
      <w:r>
        <w:rPr>
          <w:sz w:val="20"/>
          <w:szCs w:val="20"/>
          <w:color w:val="auto"/>
        </w:rPr>
        <w:tab/>
      </w:r>
      <w:r>
        <w:rPr>
          <w:rFonts w:ascii="Times New Roman" w:cs="Times New Roman" w:eastAsia="Times New Roman" w:hAnsi="Times New Roman"/>
          <w:sz w:val="18"/>
          <w:szCs w:val="18"/>
          <w:u w:val="single" w:color="auto"/>
          <w:color w:val="0000EE"/>
        </w:rPr>
        <w:t>Attestation report on assessment of compliance with servicing criteria for asset-backed securities of Deloitte &amp; Touche LLP on behalf of Southern Indiana Gas and Electric Company.</w:t>
      </w:r>
    </w:p>
    <w:p>
      <w:pPr>
        <w:spacing w:after="0" w:line="162" w:lineRule="exact"/>
        <w:rPr>
          <w:rFonts w:ascii="Times New Roman" w:cs="Times New Roman" w:eastAsia="Times New Roman" w:hAnsi="Times New Roman"/>
          <w:sz w:val="18"/>
          <w:szCs w:val="18"/>
          <w:u w:val="single" w:color="auto"/>
          <w:color w:val="0000EE"/>
        </w:rPr>
      </w:pPr>
    </w:p>
    <w:p>
      <w:pPr>
        <w:ind w:left="1360" w:right="260" w:hanging="728"/>
        <w:spacing w:after="0" w:line="282" w:lineRule="auto"/>
        <w:tabs>
          <w:tab w:leader="none" w:pos="1340" w:val="left"/>
        </w:tabs>
        <w:rPr>
          <w:sz w:val="20"/>
          <w:szCs w:val="20"/>
          <w:color w:val="auto"/>
        </w:rPr>
      </w:pPr>
      <w:r>
        <w:rPr>
          <w:rFonts w:ascii="Times New Roman" w:cs="Times New Roman" w:eastAsia="Times New Roman" w:hAnsi="Times New Roman"/>
          <w:sz w:val="18"/>
          <w:szCs w:val="18"/>
          <w:u w:val="single" w:color="auto"/>
          <w:color w:val="0000EE"/>
        </w:rPr>
        <w:t>*34.2</w:t>
      </w:r>
      <w:r>
        <w:rPr>
          <w:sz w:val="20"/>
          <w:szCs w:val="20"/>
          <w:color w:val="auto"/>
        </w:rPr>
        <w:tab/>
      </w:r>
      <w:r>
        <w:rPr>
          <w:rFonts w:ascii="Times New Roman" w:cs="Times New Roman" w:eastAsia="Times New Roman" w:hAnsi="Times New Roman"/>
          <w:sz w:val="18"/>
          <w:szCs w:val="18"/>
          <w:u w:val="single" w:color="auto"/>
          <w:color w:val="0000EE"/>
        </w:rPr>
        <w:t>Attestation report on assessment of compliance with servicing criteria for asset-backed securities of Ernst &amp; Young LLP on behalf of U.S. Bank Trust Company, National Association.</w:t>
      </w:r>
    </w:p>
    <w:p>
      <w:pPr>
        <w:spacing w:after="0" w:line="162" w:lineRule="exact"/>
        <w:rPr>
          <w:rFonts w:ascii="Times New Roman" w:cs="Times New Roman" w:eastAsia="Times New Roman" w:hAnsi="Times New Roman"/>
          <w:sz w:val="18"/>
          <w:szCs w:val="18"/>
          <w:u w:val="single" w:color="auto"/>
          <w:color w:val="0000EE"/>
        </w:rPr>
      </w:pPr>
    </w:p>
    <w:p>
      <w:pPr>
        <w:ind w:left="620"/>
        <w:spacing w:after="0"/>
        <w:tabs>
          <w:tab w:leader="none" w:pos="1340" w:val="left"/>
        </w:tabs>
        <w:rPr>
          <w:sz w:val="20"/>
          <w:szCs w:val="20"/>
          <w:color w:val="auto"/>
        </w:rPr>
      </w:pPr>
      <w:r>
        <w:rPr>
          <w:rFonts w:ascii="Times New Roman" w:cs="Times New Roman" w:eastAsia="Times New Roman" w:hAnsi="Times New Roman"/>
          <w:sz w:val="18"/>
          <w:szCs w:val="18"/>
          <w:u w:val="single" w:color="auto"/>
          <w:color w:val="0000EE"/>
        </w:rPr>
        <w:t>*35.1</w:t>
      </w:r>
      <w:r>
        <w:rPr>
          <w:sz w:val="20"/>
          <w:szCs w:val="20"/>
          <w:color w:val="auto"/>
        </w:rPr>
        <w:tab/>
      </w:r>
      <w:r>
        <w:rPr>
          <w:rFonts w:ascii="Times New Roman" w:cs="Times New Roman" w:eastAsia="Times New Roman" w:hAnsi="Times New Roman"/>
          <w:sz w:val="18"/>
          <w:szCs w:val="18"/>
          <w:u w:val="single" w:color="auto"/>
          <w:color w:val="0000EE"/>
        </w:rPr>
        <w:t>Servicer compliance statement.</w:t>
      </w:r>
    </w:p>
    <w:p>
      <w:pPr>
        <w:spacing w:after="0" w:line="225" w:lineRule="exact"/>
        <w:rPr>
          <w:rFonts w:ascii="Times New Roman" w:cs="Times New Roman" w:eastAsia="Times New Roman" w:hAnsi="Times New Roman"/>
          <w:sz w:val="18"/>
          <w:szCs w:val="18"/>
          <w:u w:val="single" w:color="auto"/>
          <w:color w:val="0000EE"/>
        </w:rPr>
      </w:pPr>
    </w:p>
    <w:p>
      <w:pPr>
        <w:ind w:left="1360" w:right="60" w:hanging="638"/>
        <w:spacing w:after="0" w:line="266" w:lineRule="auto"/>
        <w:tabs>
          <w:tab w:leader="none" w:pos="1340" w:val="left"/>
        </w:tabs>
        <w:rPr>
          <w:rFonts w:ascii="Times New Roman" w:cs="Times New Roman" w:eastAsia="Times New Roman" w:hAnsi="Times New Roman"/>
          <w:sz w:val="18"/>
          <w:szCs w:val="18"/>
          <w:u w:val="single" w:color="auto"/>
          <w:color w:val="0000EE"/>
        </w:rPr>
      </w:pPr>
      <w:hyperlink r:id="rId26">
        <w:r>
          <w:rPr>
            <w:rFonts w:ascii="Times New Roman" w:cs="Times New Roman" w:eastAsia="Times New Roman" w:hAnsi="Times New Roman"/>
            <w:sz w:val="18"/>
            <w:szCs w:val="18"/>
            <w:u w:val="single" w:color="auto"/>
            <w:color w:val="0000EE"/>
          </w:rPr>
          <w:t>99.1</w:t>
        </w:r>
      </w:hyperlink>
      <w:r>
        <w:rPr>
          <w:rFonts w:ascii="Times New Roman" w:cs="Times New Roman" w:eastAsia="Times New Roman" w:hAnsi="Times New Roman"/>
          <w:sz w:val="18"/>
          <w:szCs w:val="18"/>
          <w:u w:val="single" w:color="auto"/>
          <w:color w:val="0000EE"/>
        </w:rPr>
        <w:tab/>
      </w:r>
      <w:hyperlink r:id="rId26">
        <w:r>
          <w:rPr>
            <w:rFonts w:ascii="Times New Roman" w:cs="Times New Roman" w:eastAsia="Times New Roman" w:hAnsi="Times New Roman"/>
            <w:sz w:val="18"/>
            <w:szCs w:val="18"/>
            <w:u w:val="single" w:color="auto"/>
            <w:color w:val="0000EE"/>
          </w:rPr>
          <w:t>Securitization Property Servicing Agreement between SIGECO Securitization I, LLC and Southern Indiana Gas and Electric Company,</w:t>
        </w:r>
      </w:hyperlink>
      <w:r>
        <w:rPr>
          <w:rFonts w:ascii="Times New Roman" w:cs="Times New Roman" w:eastAsia="Times New Roman" w:hAnsi="Times New Roman"/>
          <w:sz w:val="18"/>
          <w:szCs w:val="18"/>
          <w:u w:val="single" w:color="auto"/>
          <w:color w:val="0000EE"/>
        </w:rPr>
        <w:t xml:space="preserve"> </w:t>
      </w:r>
      <w:hyperlink r:id="rId26">
        <w:r>
          <w:rPr>
            <w:rFonts w:ascii="Times New Roman" w:cs="Times New Roman" w:eastAsia="Times New Roman" w:hAnsi="Times New Roman"/>
            <w:sz w:val="18"/>
            <w:szCs w:val="18"/>
            <w:u w:val="single" w:color="auto"/>
            <w:color w:val="0000EE"/>
          </w:rPr>
          <w:t>as Servicer, dated as of June 29, 2023 (incorporated by reference to exhibit 10.1 included as an exhibit to the Issuing Entity’s Current</w:t>
        </w:r>
      </w:hyperlink>
      <w:r>
        <w:rPr>
          <w:rFonts w:ascii="Times New Roman" w:cs="Times New Roman" w:eastAsia="Times New Roman" w:hAnsi="Times New Roman"/>
          <w:sz w:val="18"/>
          <w:szCs w:val="18"/>
          <w:u w:val="single" w:color="auto"/>
          <w:color w:val="0000EE"/>
        </w:rPr>
        <w:t xml:space="preserve"> </w:t>
      </w:r>
      <w:hyperlink r:id="rId26">
        <w:r>
          <w:rPr>
            <w:rFonts w:ascii="Times New Roman" w:cs="Times New Roman" w:eastAsia="Times New Roman" w:hAnsi="Times New Roman"/>
            <w:sz w:val="18"/>
            <w:szCs w:val="18"/>
            <w:u w:val="single" w:color="auto"/>
            <w:color w:val="0000EE"/>
          </w:rPr>
          <w:t>Report on Form 8-K filed June 29, 2023 (File No. 333-270851-01)).</w:t>
        </w:r>
      </w:hyperlink>
    </w:p>
    <w:p>
      <w:pPr>
        <w:spacing w:after="0" w:line="176" w:lineRule="exact"/>
        <w:rPr>
          <w:rFonts w:ascii="Times New Roman" w:cs="Times New Roman" w:eastAsia="Times New Roman" w:hAnsi="Times New Roman"/>
          <w:sz w:val="18"/>
          <w:szCs w:val="18"/>
          <w:u w:val="single" w:color="auto"/>
          <w:color w:val="0000EE"/>
        </w:rPr>
      </w:pPr>
    </w:p>
    <w:p>
      <w:pPr>
        <w:jc w:val="both"/>
        <w:ind w:left="1360" w:right="220" w:hanging="638"/>
        <w:spacing w:after="0" w:line="266" w:lineRule="auto"/>
        <w:tabs>
          <w:tab w:leader="none" w:pos="1340" w:val="left"/>
        </w:tabs>
        <w:rPr>
          <w:rFonts w:ascii="Times New Roman" w:cs="Times New Roman" w:eastAsia="Times New Roman" w:hAnsi="Times New Roman"/>
          <w:sz w:val="18"/>
          <w:szCs w:val="18"/>
          <w:u w:val="single" w:color="auto"/>
          <w:color w:val="0000EE"/>
        </w:rPr>
      </w:pPr>
      <w:hyperlink r:id="rId27">
        <w:r>
          <w:rPr>
            <w:rFonts w:ascii="Times New Roman" w:cs="Times New Roman" w:eastAsia="Times New Roman" w:hAnsi="Times New Roman"/>
            <w:sz w:val="18"/>
            <w:szCs w:val="18"/>
            <w:u w:val="single" w:color="auto"/>
            <w:color w:val="0000EE"/>
          </w:rPr>
          <w:t>99.2</w:t>
        </w:r>
      </w:hyperlink>
      <w:r>
        <w:rPr>
          <w:rFonts w:ascii="Times New Roman" w:cs="Times New Roman" w:eastAsia="Times New Roman" w:hAnsi="Times New Roman"/>
          <w:sz w:val="18"/>
          <w:szCs w:val="18"/>
          <w:u w:val="single" w:color="auto"/>
          <w:color w:val="0000EE"/>
        </w:rPr>
        <w:tab/>
      </w:r>
      <w:hyperlink r:id="rId27">
        <w:r>
          <w:rPr>
            <w:rFonts w:ascii="Times New Roman" w:cs="Times New Roman" w:eastAsia="Times New Roman" w:hAnsi="Times New Roman"/>
            <w:sz w:val="18"/>
            <w:szCs w:val="18"/>
            <w:u w:val="single" w:color="auto"/>
            <w:color w:val="0000EE"/>
          </w:rPr>
          <w:t>Securitization Property Purchase and Sale Agreement between SIGECO Securitization I, LLC and Southern Indiana Gas and Electric</w:t>
        </w:r>
      </w:hyperlink>
      <w:r>
        <w:rPr>
          <w:rFonts w:ascii="Times New Roman" w:cs="Times New Roman" w:eastAsia="Times New Roman" w:hAnsi="Times New Roman"/>
          <w:sz w:val="18"/>
          <w:szCs w:val="18"/>
          <w:u w:val="single" w:color="auto"/>
          <w:color w:val="0000EE"/>
        </w:rPr>
        <w:t xml:space="preserve"> </w:t>
      </w:r>
      <w:hyperlink r:id="rId27">
        <w:r>
          <w:rPr>
            <w:rFonts w:ascii="Times New Roman" w:cs="Times New Roman" w:eastAsia="Times New Roman" w:hAnsi="Times New Roman"/>
            <w:sz w:val="18"/>
            <w:szCs w:val="18"/>
            <w:u w:val="single" w:color="auto"/>
            <w:color w:val="0000EE"/>
          </w:rPr>
          <w:t>Company, as Seller, dated as of June 29, 2023 (incorporated by reference to exhibit 10.2 included as an exhibit to the Issuing Entity’s</w:t>
        </w:r>
      </w:hyperlink>
      <w:r>
        <w:rPr>
          <w:rFonts w:ascii="Times New Roman" w:cs="Times New Roman" w:eastAsia="Times New Roman" w:hAnsi="Times New Roman"/>
          <w:sz w:val="18"/>
          <w:szCs w:val="18"/>
          <w:u w:val="single" w:color="auto"/>
          <w:color w:val="0000EE"/>
        </w:rPr>
        <w:t xml:space="preserve"> </w:t>
      </w:r>
      <w:hyperlink r:id="rId27">
        <w:r>
          <w:rPr>
            <w:rFonts w:ascii="Times New Roman" w:cs="Times New Roman" w:eastAsia="Times New Roman" w:hAnsi="Times New Roman"/>
            <w:sz w:val="18"/>
            <w:szCs w:val="18"/>
            <w:u w:val="single" w:color="auto"/>
            <w:color w:val="0000EE"/>
          </w:rPr>
          <w:t>Current Report on Form 8-K filed June 29, 2023 (File No. 333-270851-01)).</w:t>
        </w:r>
      </w:hyperlink>
    </w:p>
    <w:p>
      <w:pPr>
        <w:spacing w:after="0" w:line="176" w:lineRule="exact"/>
        <w:rPr>
          <w:rFonts w:ascii="Times New Roman" w:cs="Times New Roman" w:eastAsia="Times New Roman" w:hAnsi="Times New Roman"/>
          <w:sz w:val="18"/>
          <w:szCs w:val="18"/>
          <w:u w:val="single" w:color="auto"/>
          <w:color w:val="0000EE"/>
        </w:rPr>
      </w:pPr>
    </w:p>
    <w:p>
      <w:pPr>
        <w:ind w:left="1360" w:right="80" w:hanging="638"/>
        <w:spacing w:after="0" w:line="266" w:lineRule="auto"/>
        <w:tabs>
          <w:tab w:leader="none" w:pos="1340" w:val="left"/>
        </w:tabs>
        <w:rPr>
          <w:rFonts w:ascii="Times New Roman" w:cs="Times New Roman" w:eastAsia="Times New Roman" w:hAnsi="Times New Roman"/>
          <w:sz w:val="18"/>
          <w:szCs w:val="18"/>
          <w:u w:val="single" w:color="auto"/>
          <w:color w:val="0000EE"/>
        </w:rPr>
      </w:pPr>
      <w:hyperlink r:id="rId28">
        <w:r>
          <w:rPr>
            <w:rFonts w:ascii="Times New Roman" w:cs="Times New Roman" w:eastAsia="Times New Roman" w:hAnsi="Times New Roman"/>
            <w:sz w:val="18"/>
            <w:szCs w:val="18"/>
            <w:u w:val="single" w:color="auto"/>
            <w:color w:val="0000EE"/>
          </w:rPr>
          <w:t>99.3</w:t>
        </w:r>
      </w:hyperlink>
      <w:r>
        <w:rPr>
          <w:rFonts w:ascii="Times New Roman" w:cs="Times New Roman" w:eastAsia="Times New Roman" w:hAnsi="Times New Roman"/>
          <w:sz w:val="18"/>
          <w:szCs w:val="18"/>
          <w:u w:val="single" w:color="auto"/>
          <w:color w:val="0000EE"/>
        </w:rPr>
        <w:tab/>
      </w:r>
      <w:hyperlink r:id="rId28">
        <w:r>
          <w:rPr>
            <w:rFonts w:ascii="Times New Roman" w:cs="Times New Roman" w:eastAsia="Times New Roman" w:hAnsi="Times New Roman"/>
            <w:sz w:val="18"/>
            <w:szCs w:val="18"/>
            <w:u w:val="single" w:color="auto"/>
            <w:color w:val="0000EE"/>
          </w:rPr>
          <w:t>Administration Agreement between SIGECO Securitization I, LLC and Southern Indiana Gas and Electric Company, as Administrator,</w:t>
        </w:r>
      </w:hyperlink>
      <w:r>
        <w:rPr>
          <w:rFonts w:ascii="Times New Roman" w:cs="Times New Roman" w:eastAsia="Times New Roman" w:hAnsi="Times New Roman"/>
          <w:sz w:val="18"/>
          <w:szCs w:val="18"/>
          <w:u w:val="single" w:color="auto"/>
          <w:color w:val="0000EE"/>
        </w:rPr>
        <w:t xml:space="preserve"> </w:t>
      </w:r>
      <w:hyperlink r:id="rId28">
        <w:r>
          <w:rPr>
            <w:rFonts w:ascii="Times New Roman" w:cs="Times New Roman" w:eastAsia="Times New Roman" w:hAnsi="Times New Roman"/>
            <w:sz w:val="18"/>
            <w:szCs w:val="18"/>
            <w:u w:val="single" w:color="auto"/>
            <w:color w:val="0000EE"/>
          </w:rPr>
          <w:t>dated as of June 29, 2023 (incorporated by reference to exhibit 10.3 included as an exhibit to the Issuing Entity’s Current Report on</w:t>
        </w:r>
      </w:hyperlink>
      <w:r>
        <w:rPr>
          <w:rFonts w:ascii="Times New Roman" w:cs="Times New Roman" w:eastAsia="Times New Roman" w:hAnsi="Times New Roman"/>
          <w:sz w:val="18"/>
          <w:szCs w:val="18"/>
          <w:u w:val="single" w:color="auto"/>
          <w:color w:val="0000EE"/>
        </w:rPr>
        <w:t xml:space="preserve"> </w:t>
      </w:r>
      <w:hyperlink r:id="rId28">
        <w:r>
          <w:rPr>
            <w:rFonts w:ascii="Times New Roman" w:cs="Times New Roman" w:eastAsia="Times New Roman" w:hAnsi="Times New Roman"/>
            <w:sz w:val="18"/>
            <w:szCs w:val="18"/>
            <w:u w:val="single" w:color="auto"/>
            <w:color w:val="0000EE"/>
          </w:rPr>
          <w:t>Form 8-K filed June 29, 2023 (File No. 333-270851-01)).</w:t>
        </w:r>
      </w:hyperlink>
    </w:p>
    <w:p>
      <w:pPr>
        <w:spacing w:after="0" w:line="176" w:lineRule="exact"/>
        <w:rPr>
          <w:rFonts w:ascii="Times New Roman" w:cs="Times New Roman" w:eastAsia="Times New Roman" w:hAnsi="Times New Roman"/>
          <w:sz w:val="18"/>
          <w:szCs w:val="18"/>
          <w:u w:val="single" w:color="auto"/>
          <w:color w:val="0000EE"/>
        </w:rPr>
      </w:pPr>
    </w:p>
    <w:p>
      <w:pPr>
        <w:ind w:left="780" w:hanging="448"/>
        <w:spacing w:after="0"/>
        <w:tabs>
          <w:tab w:leader="none" w:pos="7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applicable.</w:t>
      </w:r>
    </w:p>
    <w:p>
      <w:pPr>
        <w:spacing w:after="0" w:line="221"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b w:val="1"/>
          <w:bCs w:val="1"/>
          <w:color w:val="auto"/>
        </w:rPr>
        <w:t>Item 16. Form 10-K Summary.</w:t>
      </w:r>
    </w:p>
    <w:p>
      <w:pPr>
        <w:spacing w:after="0" w:line="229" w:lineRule="exact"/>
        <w:rPr>
          <w:rFonts w:ascii="Times New Roman" w:cs="Times New Roman" w:eastAsia="Times New Roman" w:hAnsi="Times New Roman"/>
          <w:sz w:val="18"/>
          <w:szCs w:val="18"/>
          <w:u w:val="single" w:color="auto"/>
          <w:color w:val="0000EE"/>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b w:val="1"/>
          <w:bCs w:val="1"/>
          <w:color w:val="auto"/>
        </w:rPr>
        <w:t>Item 1112(b). Significant Obligors of Pool Assets.</w:t>
      </w:r>
    </w:p>
    <w:p>
      <w:pPr>
        <w:spacing w:after="0" w:line="229" w:lineRule="exact"/>
        <w:rPr>
          <w:rFonts w:ascii="Times New Roman" w:cs="Times New Roman" w:eastAsia="Times New Roman" w:hAnsi="Times New Roman"/>
          <w:sz w:val="18"/>
          <w:szCs w:val="18"/>
          <w:u w:val="single" w:color="auto"/>
          <w:color w:val="0000EE"/>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rFonts w:ascii="Times New Roman" w:cs="Times New Roman" w:eastAsia="Times New Roman" w:hAnsi="Times New Roman"/>
          <w:sz w:val="18"/>
          <w:szCs w:val="18"/>
          <w:u w:val="single" w:color="auto"/>
          <w:color w:val="0000EE"/>
        </w:rPr>
      </w:pPr>
    </w:p>
    <w:p>
      <w:pPr>
        <w:spacing w:after="0"/>
        <w:rPr>
          <w:sz w:val="20"/>
          <w:szCs w:val="20"/>
          <w:color w:val="auto"/>
        </w:rPr>
      </w:pPr>
      <w:r>
        <w:rPr>
          <w:rFonts w:ascii="Times New Roman" w:cs="Times New Roman" w:eastAsia="Times New Roman" w:hAnsi="Times New Roman"/>
          <w:sz w:val="18"/>
          <w:szCs w:val="18"/>
          <w:b w:val="1"/>
          <w:bCs w:val="1"/>
          <w:color w:val="auto"/>
        </w:rPr>
        <w:t>Item 1114(b)(2). Credit Enhancement and Other Support, Except for Certain Derivatives Instruments.</w:t>
      </w:r>
    </w:p>
    <w:p>
      <w:pPr>
        <w:spacing w:after="0" w:line="229" w:lineRule="exact"/>
        <w:rPr>
          <w:rFonts w:ascii="Times New Roman" w:cs="Times New Roman" w:eastAsia="Times New Roman" w:hAnsi="Times New Roman"/>
          <w:sz w:val="18"/>
          <w:szCs w:val="18"/>
          <w:u w:val="single" w:color="auto"/>
          <w:color w:val="0000EE"/>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80"/>
          </w:cols>
          <w:pgMar w:left="320" w:top="904" w:right="39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Item 1115(b). Certain Derivatives Instruments.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1117. Legal Proceedings.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1119. Affiliations and Certain Relationships and Related Transactions.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color w:val="auto"/>
        </w:rPr>
        <w:t>The Issuing Entity is a wholly owned subsidiary of Southern Indiana Gas and Electric Company.</w:t>
      </w:r>
    </w:p>
    <w:p>
      <w:pPr>
        <w:spacing w:after="0" w:line="233" w:lineRule="exact"/>
        <w:rPr>
          <w:sz w:val="20"/>
          <w:szCs w:val="20"/>
          <w:color w:val="auto"/>
        </w:rPr>
      </w:pPr>
    </w:p>
    <w:p>
      <w:pPr>
        <w:jc w:val="center"/>
        <w:ind w:right="5639"/>
        <w:spacing w:after="0"/>
        <w:rPr>
          <w:sz w:val="20"/>
          <w:szCs w:val="20"/>
          <w:color w:val="auto"/>
        </w:rPr>
      </w:pPr>
      <w:r>
        <w:rPr>
          <w:rFonts w:ascii="Times New Roman" w:cs="Times New Roman" w:eastAsia="Times New Roman" w:hAnsi="Times New Roman"/>
          <w:sz w:val="17"/>
          <w:szCs w:val="17"/>
          <w:b w:val="1"/>
          <w:bCs w:val="1"/>
          <w:color w:val="auto"/>
        </w:rPr>
        <w:t>Item 1122. Compliance with Applicable Servicing Criteria.</w:t>
      </w:r>
    </w:p>
    <w:p>
      <w:pPr>
        <w:spacing w:after="0" w:line="24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Exhibits 33.1, 33.2, 34.1 and 34.2 under Item 15.</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1123. Servicer Compliance Statement.</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See Exhibit 35.1 under Item 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39"/>
          </w:cols>
          <w:pgMar w:left="320" w:top="900" w:right="1440"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Section 13 or 15(d) of the Securities Exchange Act of 1934, the Registrant has duly caused this report to be signed on its behalf by the undersigned, thereunto duly authorized on the 27th day of March, 2025.</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SIGECO SECURITIZATION I, LLC,</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as Issuing Entity</w:t>
      </w:r>
    </w:p>
    <w:p>
      <w:pPr>
        <w:spacing w:after="0" w:line="207" w:lineRule="exact"/>
        <w:rPr>
          <w:sz w:val="20"/>
          <w:szCs w:val="20"/>
          <w:color w:val="auto"/>
        </w:rPr>
      </w:pPr>
    </w:p>
    <w:p>
      <w:pPr>
        <w:jc w:val="right"/>
        <w:ind w:right="2640"/>
        <w:spacing w:after="0"/>
        <w:rPr>
          <w:sz w:val="20"/>
          <w:szCs w:val="20"/>
          <w:color w:val="auto"/>
        </w:rPr>
      </w:pPr>
      <w:r>
        <w:rPr>
          <w:rFonts w:ascii="Times New Roman" w:cs="Times New Roman" w:eastAsia="Times New Roman" w:hAnsi="Times New Roman"/>
          <w:sz w:val="18"/>
          <w:szCs w:val="18"/>
          <w:color w:val="auto"/>
        </w:rPr>
        <w:t>By: SOUTHERN INDIANA GAS AND</w:t>
      </w:r>
    </w:p>
    <w:p>
      <w:pPr>
        <w:spacing w:after="0" w:line="27" w:lineRule="exact"/>
        <w:rPr>
          <w:sz w:val="20"/>
          <w:szCs w:val="20"/>
          <w:color w:val="auto"/>
        </w:rPr>
      </w:pPr>
    </w:p>
    <w:p>
      <w:pPr>
        <w:jc w:val="right"/>
        <w:ind w:right="2620"/>
        <w:spacing w:after="0"/>
        <w:rPr>
          <w:sz w:val="20"/>
          <w:szCs w:val="20"/>
          <w:color w:val="auto"/>
        </w:rPr>
      </w:pPr>
      <w:r>
        <w:rPr>
          <w:rFonts w:ascii="Times New Roman" w:cs="Times New Roman" w:eastAsia="Times New Roman" w:hAnsi="Times New Roman"/>
          <w:sz w:val="18"/>
          <w:szCs w:val="18"/>
          <w:color w:val="auto"/>
        </w:rPr>
        <w:t>ELECTRIC COMPANY, as servicer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Patricia L.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3343275"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Patricia L. Martin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and Treasurer</w:t>
      </w:r>
    </w:p>
    <w:p>
      <w:pPr>
        <w:spacing w:after="0" w:line="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(Senior officer in charge of the servicing function of the servicer)</w:t>
      </w:r>
    </w:p>
    <w:p>
      <w:pPr>
        <w:spacing w:after="0" w:line="203" w:lineRule="exact"/>
        <w:rPr>
          <w:sz w:val="20"/>
          <w:szCs w:val="20"/>
          <w:color w:val="auto"/>
        </w:rPr>
      </w:pPr>
    </w:p>
    <w:p>
      <w:pPr>
        <w:ind w:right="260"/>
        <w:spacing w:after="0" w:line="286" w:lineRule="auto"/>
        <w:rPr>
          <w:sz w:val="20"/>
          <w:szCs w:val="20"/>
          <w:color w:val="auto"/>
        </w:rPr>
      </w:pPr>
      <w:r>
        <w:rPr>
          <w:rFonts w:ascii="Times New Roman" w:cs="Times New Roman" w:eastAsia="Times New Roman" w:hAnsi="Times New Roman"/>
          <w:sz w:val="18"/>
          <w:szCs w:val="18"/>
          <w:b w:val="1"/>
          <w:bCs w:val="1"/>
          <w:color w:val="auto"/>
        </w:rPr>
        <w:t>Supplemental Information to be Furnished With Reports Filed Pursuant to Section 15(d) of the Act by Registrants Which Have Not Registered Securities Pursuant to Section 12 of the Act.</w:t>
      </w:r>
    </w:p>
    <w:p>
      <w:pPr>
        <w:spacing w:after="0" w:line="159"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No such annual report, proxy statement, form of proxy or other proxy soliciting material has been sent to the Registrant’s security holders. The Registrant will not be sending an annual report or any proxy material to its security holders subsequent to the filing of this Annual Report on Form 10-K.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Patricia L. Martin, certify that:</w:t>
      </w:r>
    </w:p>
    <w:p>
      <w:pPr>
        <w:spacing w:after="0" w:line="225" w:lineRule="exact"/>
        <w:rPr>
          <w:sz w:val="20"/>
          <w:szCs w:val="20"/>
          <w:color w:val="auto"/>
        </w:rPr>
      </w:pPr>
    </w:p>
    <w:p>
      <w:pPr>
        <w:ind w:right="280" w:firstLine="656"/>
        <w:spacing w:after="0" w:line="282" w:lineRule="auto"/>
        <w:tabs>
          <w:tab w:leader="none" w:pos="8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report on Form 10-K and all reports on Form 10-D required to be filed in respect of the period covered by this report on Form 10-K of SIGECO Securitization I, LLC (the “Exchange Act periodic reports”);</w:t>
      </w:r>
    </w:p>
    <w:p>
      <w:pPr>
        <w:spacing w:after="0" w:line="161" w:lineRule="exact"/>
        <w:rPr>
          <w:rFonts w:ascii="Times New Roman" w:cs="Times New Roman" w:eastAsia="Times New Roman" w:hAnsi="Times New Roman"/>
          <w:sz w:val="18"/>
          <w:szCs w:val="18"/>
          <w:color w:val="auto"/>
        </w:rPr>
      </w:pPr>
    </w:p>
    <w:p>
      <w:pPr>
        <w:ind w:right="120" w:firstLine="656"/>
        <w:spacing w:after="0" w:line="266" w:lineRule="auto"/>
        <w:tabs>
          <w:tab w:leader="none" w:pos="8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Exchange Act periodic reports, taken as a whole, do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600" w:firstLine="656"/>
        <w:spacing w:after="0" w:line="282" w:lineRule="auto"/>
        <w:tabs>
          <w:tab w:leader="none" w:pos="8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all of the distribution, servicing and other information required to be provided under Form 10-D for the period covered by this report is included in the Exchange Act periodic reports;</w:t>
      </w:r>
    </w:p>
    <w:p>
      <w:pPr>
        <w:spacing w:after="0" w:line="161" w:lineRule="exact"/>
        <w:rPr>
          <w:rFonts w:ascii="Times New Roman" w:cs="Times New Roman" w:eastAsia="Times New Roman" w:hAnsi="Times New Roman"/>
          <w:sz w:val="18"/>
          <w:szCs w:val="18"/>
          <w:color w:val="auto"/>
        </w:rPr>
      </w:pPr>
    </w:p>
    <w:p>
      <w:pPr>
        <w:ind w:right="220" w:firstLine="656"/>
        <w:spacing w:after="0" w:line="261" w:lineRule="auto"/>
        <w:tabs>
          <w:tab w:leader="none" w:pos="8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am responsible for reviewing the activities performed by the Servicer, and based on my knowledge and the compliance review conducted in preparing the servicer compliance statement required in this report under Item 1123 of Regulation AB, and except as disclosed in the Exchange Act periodic reports, the servicer has fulfilled its obligations under the Securitization Property Servicing Agreement dated as of June 29, 2023 between SIGECO Securitization I, LLC, as the Issuing Entity, and the Servicer, in all material respects; and</w:t>
      </w:r>
    </w:p>
    <w:p>
      <w:pPr>
        <w:spacing w:after="0" w:line="179" w:lineRule="exact"/>
        <w:rPr>
          <w:rFonts w:ascii="Times New Roman" w:cs="Times New Roman" w:eastAsia="Times New Roman" w:hAnsi="Times New Roman"/>
          <w:sz w:val="18"/>
          <w:szCs w:val="18"/>
          <w:color w:val="auto"/>
        </w:rPr>
      </w:pPr>
    </w:p>
    <w:p>
      <w:pPr>
        <w:jc w:val="both"/>
        <w:ind w:right="340" w:firstLine="656"/>
        <w:spacing w:after="0" w:line="261" w:lineRule="auto"/>
        <w:tabs>
          <w:tab w:leader="none" w:pos="828"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of the reports on assessment of compliance with servicing criteria for asset-backed securities and their related attestation reports on assessment of compliance with servicing criteria for asset-backed securities required to be included in this report in accordance with Item 1122 of Regulation AB and Exchange Act Rules 13a-18 and 15d-18 have been included as an exhibit to this report, except as otherwise disclosed in this report. Any material instances of noncompliance described in such reports have been disclosed in this report on Form 10-K.</w:t>
      </w:r>
    </w:p>
    <w:p>
      <w:pPr>
        <w:spacing w:after="0" w:line="180" w:lineRule="exact"/>
        <w:rPr>
          <w:sz w:val="20"/>
          <w:szCs w:val="20"/>
          <w:color w:val="auto"/>
        </w:rPr>
      </w:pPr>
    </w:p>
    <w:p>
      <w:pPr>
        <w:ind w:right="120"/>
        <w:spacing w:after="0" w:line="282" w:lineRule="auto"/>
        <w:rPr>
          <w:sz w:val="20"/>
          <w:szCs w:val="20"/>
          <w:color w:val="auto"/>
        </w:rPr>
      </w:pPr>
      <w:r>
        <w:rPr>
          <w:rFonts w:ascii="Times New Roman" w:cs="Times New Roman" w:eastAsia="Times New Roman" w:hAnsi="Times New Roman"/>
          <w:sz w:val="18"/>
          <w:szCs w:val="18"/>
          <w:color w:val="auto"/>
        </w:rPr>
        <w:t>In giving the certifications above, I have reasonably relied on information provided to me by the following unaffiliated parties: U.S. Bank Trust Company, National Association, as Indenture Trustee.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March 27, 2025</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Patricia L.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3566160" cy="889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Patricia L. Martin</w:t>
      </w:r>
    </w:p>
    <w:p>
      <w:pPr>
        <w:spacing w:after="0" w:line="23" w:lineRule="exact"/>
        <w:rPr>
          <w:sz w:val="20"/>
          <w:szCs w:val="20"/>
          <w:color w:val="auto"/>
        </w:rPr>
      </w:pPr>
    </w:p>
    <w:p>
      <w:pPr>
        <w:spacing w:after="0"/>
        <w:tabs>
          <w:tab w:leader="none" w:pos="56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and Treasurer</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(Senior Officer in Charge of Servicing Function) Southern Indiana</w:t>
      </w:r>
    </w:p>
    <w:p>
      <w:pPr>
        <w:spacing w:after="0" w:line="9"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8"/>
          <w:szCs w:val="18"/>
          <w:color w:val="auto"/>
        </w:rPr>
        <w:t>Gas and Electric Company, as servicer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1" w:name="page12"/>
    <w:bookmarkEnd w:id="11"/>
    <w:p>
      <w:pPr>
        <w:ind w:left="10320"/>
        <w:spacing w:after="0"/>
        <w:rPr>
          <w:sz w:val="20"/>
          <w:szCs w:val="20"/>
          <w:color w:val="auto"/>
        </w:rPr>
      </w:pPr>
      <w:r>
        <w:rPr>
          <w:rFonts w:ascii="Times New Roman" w:cs="Times New Roman" w:eastAsia="Times New Roman" w:hAnsi="Times New Roman"/>
          <w:sz w:val="17"/>
          <w:szCs w:val="17"/>
          <w:b w:val="1"/>
          <w:bCs w:val="1"/>
          <w:color w:val="auto"/>
        </w:rPr>
        <w:t>Exhibit 33.1</w:t>
      </w: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SERVICER ANNUAL CERTIFICATE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SIGECO SECURITIZATION I,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$341,450,000 Series 2023-A Senior Secured Securitization Bonds</w:t>
      </w:r>
    </w:p>
    <w:p>
      <w:pPr>
        <w:spacing w:after="0" w:line="229" w:lineRule="exact"/>
        <w:rPr>
          <w:sz w:val="20"/>
          <w:szCs w:val="20"/>
          <w:color w:val="auto"/>
        </w:rPr>
      </w:pPr>
    </w:p>
    <w:p>
      <w:pPr>
        <w:ind w:right="260"/>
        <w:spacing w:after="0" w:line="261" w:lineRule="auto"/>
        <w:rPr>
          <w:sz w:val="20"/>
          <w:szCs w:val="20"/>
          <w:color w:val="auto"/>
        </w:rPr>
      </w:pPr>
      <w:r>
        <w:rPr>
          <w:rFonts w:ascii="Times New Roman" w:cs="Times New Roman" w:eastAsia="Times New Roman" w:hAnsi="Times New Roman"/>
          <w:sz w:val="18"/>
          <w:szCs w:val="18"/>
          <w:color w:val="auto"/>
        </w:rPr>
        <w:t>The undersigned hereby certifies that the undersigned is the duly elected and acting Vice President and Treasurer of SOUTHERN INDIANA GAS AND ELECTRIC COMPANY d/b/a CenterPoint Energy Indiana South, as servicer (the “</w:t>
      </w:r>
      <w:r>
        <w:rPr>
          <w:rFonts w:ascii="Times New Roman" w:cs="Times New Roman" w:eastAsia="Times New Roman" w:hAnsi="Times New Roman"/>
          <w:sz w:val="18"/>
          <w:szCs w:val="18"/>
          <w:i w:val="1"/>
          <w:iCs w:val="1"/>
          <w:color w:val="auto"/>
        </w:rPr>
        <w:t>Servicer</w:t>
      </w:r>
      <w:r>
        <w:rPr>
          <w:rFonts w:ascii="Times New Roman" w:cs="Times New Roman" w:eastAsia="Times New Roman" w:hAnsi="Times New Roman"/>
          <w:sz w:val="18"/>
          <w:szCs w:val="18"/>
          <w:color w:val="auto"/>
        </w:rPr>
        <w:t>”), under the Securitization Property Servicing Agreement dated as of June 29, 2023 (the “</w:t>
      </w:r>
      <w:r>
        <w:rPr>
          <w:rFonts w:ascii="Times New Roman" w:cs="Times New Roman" w:eastAsia="Times New Roman" w:hAnsi="Times New Roman"/>
          <w:sz w:val="18"/>
          <w:szCs w:val="18"/>
          <w:i w:val="1"/>
          <w:iCs w:val="1"/>
          <w:color w:val="auto"/>
        </w:rPr>
        <w:t>Servicing Agreement</w:t>
      </w:r>
      <w:r>
        <w:rPr>
          <w:rFonts w:ascii="Times New Roman" w:cs="Times New Roman" w:eastAsia="Times New Roman" w:hAnsi="Times New Roman"/>
          <w:sz w:val="18"/>
          <w:szCs w:val="18"/>
          <w:color w:val="auto"/>
        </w:rPr>
        <w:t>”) by and between the Servicer and SIGECO SECURITIZATION I, LLC (the “</w:t>
      </w:r>
      <w:r>
        <w:rPr>
          <w:rFonts w:ascii="Times New Roman" w:cs="Times New Roman" w:eastAsia="Times New Roman" w:hAnsi="Times New Roman"/>
          <w:sz w:val="18"/>
          <w:szCs w:val="18"/>
          <w:i w:val="1"/>
          <w:iCs w:val="1"/>
          <w:color w:val="auto"/>
        </w:rPr>
        <w:t>Issuer</w:t>
      </w:r>
      <w:r>
        <w:rPr>
          <w:rFonts w:ascii="Times New Roman" w:cs="Times New Roman" w:eastAsia="Times New Roman" w:hAnsi="Times New Roman"/>
          <w:sz w:val="18"/>
          <w:szCs w:val="18"/>
          <w:color w:val="auto"/>
        </w:rPr>
        <w:t>”) and further certifies that:</w:t>
      </w:r>
    </w:p>
    <w:p>
      <w:pPr>
        <w:spacing w:after="0" w:line="180" w:lineRule="exact"/>
        <w:rPr>
          <w:sz w:val="20"/>
          <w:szCs w:val="20"/>
          <w:color w:val="auto"/>
        </w:rPr>
      </w:pPr>
    </w:p>
    <w:p>
      <w:pPr>
        <w:ind w:left="1300" w:right="100" w:hanging="644"/>
        <w:spacing w:after="0" w:line="282" w:lineRule="auto"/>
        <w:tabs>
          <w:tab w:leader="none" w:pos="13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undersigned is responsible for assessing the Servicer’s compliance with the servicing criteria set forth in Item 1122(d) of Regulation AB (the “</w:t>
      </w:r>
      <w:r>
        <w:rPr>
          <w:rFonts w:ascii="Times New Roman" w:cs="Times New Roman" w:eastAsia="Times New Roman" w:hAnsi="Times New Roman"/>
          <w:sz w:val="18"/>
          <w:szCs w:val="18"/>
          <w:i w:val="1"/>
          <w:iCs w:val="1"/>
          <w:color w:val="auto"/>
        </w:rPr>
        <w:t>Servicing Criteria</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1300" w:right="40" w:hanging="644"/>
        <w:spacing w:after="0" w:line="289" w:lineRule="auto"/>
        <w:tabs>
          <w:tab w:leader="none" w:pos="130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With respect to each of the Servicing Criteria, the undersigned has made the following assessment of the Servicing Criteria in accordance with Item 1122(d) of Regulation AB, with such discussion regarding the performance of such Servicing Criteria during the fiscal year ended December 31, 2024 and covered by the Issuer’s annual report on Form 10-K (such fiscal year, the “</w:t>
      </w:r>
      <w:r>
        <w:rPr>
          <w:rFonts w:ascii="Times New Roman" w:cs="Times New Roman" w:eastAsia="Times New Roman" w:hAnsi="Times New Roman"/>
          <w:sz w:val="17"/>
          <w:szCs w:val="17"/>
          <w:i w:val="1"/>
          <w:iCs w:val="1"/>
          <w:color w:val="auto"/>
        </w:rPr>
        <w:t>Assessment Period</w:t>
      </w:r>
      <w:r>
        <w:rPr>
          <w:rFonts w:ascii="Times New Roman" w:cs="Times New Roman" w:eastAsia="Times New Roman" w:hAnsi="Times New Roman"/>
          <w:sz w:val="17"/>
          <w:szCs w:val="17"/>
          <w:color w:val="auto"/>
        </w:rPr>
        <w:t>”):</w:t>
      </w:r>
    </w:p>
    <w:p>
      <w:pPr>
        <w:spacing w:after="0" w:line="156" w:lineRule="exact"/>
        <w:rPr>
          <w:sz w:val="20"/>
          <w:szCs w:val="20"/>
          <w:color w:val="auto"/>
        </w:rPr>
      </w:pPr>
    </w:p>
    <w:tbl>
      <w:tblPr>
        <w:tblLayout w:type="fixed"/>
        <w:tblInd w:w="10" w:type="dxa"/>
        <w:tblCellMar>
          <w:top w:w="0" w:type="dxa"/>
          <w:left w:w="0" w:type="dxa"/>
          <w:bottom w:w="0" w:type="dxa"/>
          <w:right w:w="0" w:type="dxa"/>
        </w:tblCellMar>
      </w:tblPr>
      <w:tr>
        <w:trPr>
          <w:trHeight w:val="229"/>
        </w:trPr>
        <w:tc>
          <w:tcPr>
            <w:tcW w:w="2400" w:type="dxa"/>
            <w:vAlign w:val="bottom"/>
            <w:tcBorders>
              <w:top w:val="single" w:sz="8" w:color="auto"/>
              <w:left w:val="single" w:sz="8" w:color="auto"/>
              <w:bottom w:val="single" w:sz="8" w:color="auto"/>
              <w:right w:val="single" w:sz="8" w:color="auto"/>
            </w:tcBorders>
          </w:tcPr>
          <w:p>
            <w:pPr>
              <w:ind w:left="200"/>
              <w:spacing w:after="0"/>
              <w:rPr>
                <w:sz w:val="20"/>
                <w:szCs w:val="20"/>
                <w:color w:val="auto"/>
              </w:rPr>
            </w:pPr>
            <w:r>
              <w:rPr>
                <w:rFonts w:ascii="Times New Roman" w:cs="Times New Roman" w:eastAsia="Times New Roman" w:hAnsi="Times New Roman"/>
                <w:sz w:val="18"/>
                <w:szCs w:val="18"/>
                <w:b w:val="1"/>
                <w:bCs w:val="1"/>
                <w:color w:val="auto"/>
              </w:rPr>
              <w:t>Regulation AB Reference</w:t>
            </w:r>
          </w:p>
        </w:tc>
        <w:tc>
          <w:tcPr>
            <w:tcW w:w="5260" w:type="dxa"/>
            <w:vAlign w:val="bottom"/>
            <w:tcBorders>
              <w:top w:val="single" w:sz="8" w:color="auto"/>
              <w:bottom w:val="single" w:sz="8" w:color="auto"/>
              <w:right w:val="single" w:sz="8" w:color="auto"/>
            </w:tcBorders>
          </w:tcPr>
          <w:p>
            <w:pPr>
              <w:ind w:left="1900"/>
              <w:spacing w:after="0"/>
              <w:rPr>
                <w:sz w:val="20"/>
                <w:szCs w:val="20"/>
                <w:color w:val="auto"/>
              </w:rPr>
            </w:pPr>
            <w:r>
              <w:rPr>
                <w:rFonts w:ascii="Times New Roman" w:cs="Times New Roman" w:eastAsia="Times New Roman" w:hAnsi="Times New Roman"/>
                <w:sz w:val="18"/>
                <w:szCs w:val="18"/>
                <w:b w:val="1"/>
                <w:bCs w:val="1"/>
                <w:color w:val="auto"/>
              </w:rPr>
              <w:t>Servicing Criteria</w:t>
            </w:r>
          </w:p>
        </w:tc>
        <w:tc>
          <w:tcPr>
            <w:tcW w:w="3580" w:type="dxa"/>
            <w:vAlign w:val="bottom"/>
            <w:tcBorders>
              <w:top w:val="single" w:sz="8" w:color="auto"/>
              <w:bottom w:val="single" w:sz="8" w:color="auto"/>
              <w:right w:val="single" w:sz="8" w:color="auto"/>
            </w:tcBorders>
          </w:tcPr>
          <w:p>
            <w:pPr>
              <w:ind w:left="1320"/>
              <w:spacing w:after="0"/>
              <w:rPr>
                <w:sz w:val="20"/>
                <w:szCs w:val="20"/>
                <w:color w:val="auto"/>
              </w:rPr>
            </w:pPr>
            <w:r>
              <w:rPr>
                <w:rFonts w:ascii="Times New Roman" w:cs="Times New Roman" w:eastAsia="Times New Roman" w:hAnsi="Times New Roman"/>
                <w:sz w:val="18"/>
                <w:szCs w:val="18"/>
                <w:b w:val="1"/>
                <w:bCs w:val="1"/>
                <w:color w:val="auto"/>
              </w:rPr>
              <w:t>Assessment</w:t>
            </w:r>
          </w:p>
        </w:tc>
      </w:tr>
      <w:tr>
        <w:trPr>
          <w:trHeight w:val="237"/>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ind w:left="1300"/>
              <w:spacing w:after="0"/>
              <w:rPr>
                <w:sz w:val="20"/>
                <w:szCs w:val="20"/>
                <w:color w:val="auto"/>
              </w:rPr>
            </w:pPr>
            <w:r>
              <w:rPr>
                <w:rFonts w:ascii="Times New Roman" w:cs="Times New Roman" w:eastAsia="Times New Roman" w:hAnsi="Times New Roman"/>
                <w:sz w:val="18"/>
                <w:szCs w:val="18"/>
                <w:b w:val="1"/>
                <w:bCs w:val="1"/>
                <w:color w:val="auto"/>
              </w:rPr>
              <w:t>General Servicing Considerations</w:t>
            </w:r>
          </w:p>
        </w:tc>
        <w:tc>
          <w:tcPr>
            <w:tcW w:w="3580" w:type="dxa"/>
            <w:vAlign w:val="bottom"/>
            <w:tcBorders>
              <w:bottom w:val="single" w:sz="8" w:color="auto"/>
              <w:right w:val="single" w:sz="8" w:color="auto"/>
            </w:tcBorders>
          </w:tcPr>
          <w:p>
            <w:pPr>
              <w:spacing w:after="0"/>
              <w:rPr>
                <w:sz w:val="20"/>
                <w:szCs w:val="20"/>
                <w:color w:val="auto"/>
              </w:rPr>
            </w:pPr>
          </w:p>
        </w:tc>
      </w:tr>
      <w:tr>
        <w:trPr>
          <w:trHeight w:val="218"/>
        </w:trPr>
        <w:tc>
          <w:tcPr>
            <w:tcW w:w="24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1122(d)(1)(i)</w:t>
            </w: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Policies and procedures are instituted to monitor any performance or</w:t>
            </w:r>
          </w:p>
        </w:tc>
        <w:tc>
          <w:tcPr>
            <w:tcW w:w="35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Applicable; assessment below.</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triggers and events of default in accordance with the transaction</w:t>
            </w:r>
          </w:p>
        </w:tc>
        <w:tc>
          <w:tcPr>
            <w:tcW w:w="3580" w:type="dxa"/>
            <w:vAlign w:val="bottom"/>
            <w:tcBorders>
              <w:right w:val="single" w:sz="8" w:color="auto"/>
            </w:tcBorders>
          </w:tcPr>
          <w:p>
            <w:pPr>
              <w:spacing w:after="0"/>
              <w:rPr>
                <w:sz w:val="18"/>
                <w:szCs w:val="18"/>
                <w:color w:val="auto"/>
              </w:rPr>
            </w:pPr>
          </w:p>
        </w:tc>
      </w:tr>
      <w:tr>
        <w:trPr>
          <w:trHeight w:val="234"/>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agreements.</w:t>
            </w:r>
          </w:p>
        </w:tc>
        <w:tc>
          <w:tcPr>
            <w:tcW w:w="3580" w:type="dxa"/>
            <w:vAlign w:val="bottom"/>
            <w:tcBorders>
              <w:bottom w:val="single" w:sz="8" w:color="auto"/>
              <w:right w:val="single" w:sz="8" w:color="auto"/>
            </w:tcBorders>
          </w:tcPr>
          <w:p>
            <w:pPr>
              <w:spacing w:after="0"/>
              <w:rPr>
                <w:sz w:val="20"/>
                <w:szCs w:val="20"/>
                <w:color w:val="auto"/>
              </w:rPr>
            </w:pPr>
          </w:p>
        </w:tc>
      </w:tr>
      <w:tr>
        <w:trPr>
          <w:trHeight w:val="218"/>
        </w:trPr>
        <w:tc>
          <w:tcPr>
            <w:tcW w:w="24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1122(d)(1)(ii)</w:t>
            </w: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If any material servicing activities are outsourced to third parties,</w:t>
            </w:r>
          </w:p>
        </w:tc>
        <w:tc>
          <w:tcPr>
            <w:tcW w:w="35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Not applicable; no servicing activities were</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policies and procedures are instituted to monitor the third party’s</w:t>
            </w:r>
          </w:p>
        </w:tc>
        <w:tc>
          <w:tcPr>
            <w:tcW w:w="35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outsourced.</w:t>
            </w:r>
          </w:p>
        </w:tc>
      </w:tr>
      <w:tr>
        <w:trPr>
          <w:trHeight w:val="234"/>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performance and compliance with such servicing activities.</w:t>
            </w:r>
          </w:p>
        </w:tc>
        <w:tc>
          <w:tcPr>
            <w:tcW w:w="3580" w:type="dxa"/>
            <w:vAlign w:val="bottom"/>
            <w:tcBorders>
              <w:bottom w:val="single" w:sz="8" w:color="auto"/>
              <w:right w:val="single" w:sz="8" w:color="auto"/>
            </w:tcBorders>
          </w:tcPr>
          <w:p>
            <w:pPr>
              <w:spacing w:after="0"/>
              <w:rPr>
                <w:sz w:val="20"/>
                <w:szCs w:val="20"/>
                <w:color w:val="auto"/>
              </w:rPr>
            </w:pPr>
          </w:p>
        </w:tc>
      </w:tr>
      <w:tr>
        <w:trPr>
          <w:trHeight w:val="218"/>
        </w:trPr>
        <w:tc>
          <w:tcPr>
            <w:tcW w:w="24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1122(d)(1)(iii)</w:t>
            </w: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Any requirements in the transaction agreements to maintain a back-up</w:t>
            </w:r>
          </w:p>
        </w:tc>
        <w:tc>
          <w:tcPr>
            <w:tcW w:w="35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Not applicable; transaction agreements do not</w:t>
            </w:r>
          </w:p>
        </w:tc>
      </w:tr>
      <w:tr>
        <w:trPr>
          <w:trHeight w:val="234"/>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servicer for pool assets are maintained.</w:t>
            </w:r>
          </w:p>
        </w:tc>
        <w:tc>
          <w:tcPr>
            <w:tcW w:w="35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provide for a back-up servicer.</w:t>
            </w:r>
          </w:p>
        </w:tc>
      </w:tr>
      <w:tr>
        <w:trPr>
          <w:trHeight w:val="218"/>
        </w:trPr>
        <w:tc>
          <w:tcPr>
            <w:tcW w:w="24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1122(d)(1)(iv)</w:t>
            </w: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 fidelity bond and errors and omissions policy is in effect on the</w:t>
            </w:r>
          </w:p>
        </w:tc>
        <w:tc>
          <w:tcPr>
            <w:tcW w:w="35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Not applicable; transaction agreements do not</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party participating in the servicing function throughout the reporting</w:t>
            </w:r>
          </w:p>
        </w:tc>
        <w:tc>
          <w:tcPr>
            <w:tcW w:w="35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require a fidelity bond or errors and omissions</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period in the amount of coverage required by and otherwise in</w:t>
            </w:r>
          </w:p>
        </w:tc>
        <w:tc>
          <w:tcPr>
            <w:tcW w:w="35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policy.</w:t>
            </w:r>
          </w:p>
        </w:tc>
      </w:tr>
      <w:tr>
        <w:trPr>
          <w:trHeight w:val="234"/>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accordance with the terms of the transaction agreements.</w:t>
            </w:r>
          </w:p>
        </w:tc>
        <w:tc>
          <w:tcPr>
            <w:tcW w:w="3580" w:type="dxa"/>
            <w:vAlign w:val="bottom"/>
            <w:tcBorders>
              <w:bottom w:val="single" w:sz="8" w:color="auto"/>
              <w:right w:val="single" w:sz="8" w:color="auto"/>
            </w:tcBorders>
          </w:tcPr>
          <w:p>
            <w:pPr>
              <w:spacing w:after="0"/>
              <w:rPr>
                <w:sz w:val="20"/>
                <w:szCs w:val="20"/>
                <w:color w:val="auto"/>
              </w:rPr>
            </w:pPr>
          </w:p>
        </w:tc>
      </w:tr>
      <w:tr>
        <w:trPr>
          <w:trHeight w:val="218"/>
        </w:trPr>
        <w:tc>
          <w:tcPr>
            <w:tcW w:w="24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1122(d)(1)(v)</w:t>
            </w: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Aggregation of information, as applicable, is mathematically accurate</w:t>
            </w:r>
          </w:p>
        </w:tc>
        <w:tc>
          <w:tcPr>
            <w:tcW w:w="35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Applicable.</w:t>
            </w:r>
          </w:p>
        </w:tc>
      </w:tr>
      <w:tr>
        <w:trPr>
          <w:trHeight w:val="234"/>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 the information conveyed accurately reflects the information</w:t>
            </w:r>
          </w:p>
        </w:tc>
        <w:tc>
          <w:tcPr>
            <w:tcW w:w="3580" w:type="dxa"/>
            <w:vAlign w:val="bottom"/>
            <w:tcBorders>
              <w:bottom w:val="single" w:sz="8" w:color="auto"/>
              <w:right w:val="single" w:sz="8" w:color="auto"/>
            </w:tcBorders>
          </w:tcPr>
          <w:p>
            <w:pPr>
              <w:spacing w:after="0"/>
              <w:rPr>
                <w:sz w:val="20"/>
                <w:szCs w:val="20"/>
                <w:color w:val="auto"/>
              </w:rPr>
            </w:pPr>
          </w:p>
        </w:tc>
      </w:tr>
      <w:tr>
        <w:trPr>
          <w:trHeight w:val="669"/>
        </w:trPr>
        <w:tc>
          <w:tcPr>
            <w:tcW w:w="240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12" w:name="page13"/>
    <w:bookmarkEnd w:id="12"/>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40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5260" w:type="dxa"/>
            <w:vAlign w:val="bottom"/>
            <w:tcBorders>
              <w:top w:val="single" w:sz="8" w:color="auto"/>
              <w:bottom w:val="single" w:sz="8" w:color="auto"/>
              <w:right w:val="single" w:sz="8" w:color="auto"/>
            </w:tcBorders>
          </w:tcPr>
          <w:p>
            <w:pPr>
              <w:ind w:left="1240"/>
              <w:spacing w:after="0"/>
              <w:rPr>
                <w:sz w:val="20"/>
                <w:szCs w:val="20"/>
                <w:color w:val="auto"/>
              </w:rPr>
            </w:pPr>
            <w:r>
              <w:rPr>
                <w:rFonts w:ascii="Times New Roman" w:cs="Times New Roman" w:eastAsia="Times New Roman" w:hAnsi="Times New Roman"/>
                <w:sz w:val="18"/>
                <w:szCs w:val="18"/>
                <w:b w:val="1"/>
                <w:bCs w:val="1"/>
                <w:color w:val="auto"/>
              </w:rPr>
              <w:t>Cash Collection and Administration</w:t>
            </w:r>
          </w:p>
        </w:tc>
        <w:tc>
          <w:tcPr>
            <w:tcW w:w="3580" w:type="dxa"/>
            <w:vAlign w:val="bottom"/>
            <w:tcBorders>
              <w:top w:val="single" w:sz="8" w:color="auto"/>
              <w:bottom w:val="single" w:sz="8" w:color="auto"/>
              <w:right w:val="single" w:sz="8" w:color="auto"/>
            </w:tcBorders>
          </w:tcPr>
          <w:p>
            <w:pPr>
              <w:spacing w:after="0"/>
              <w:rPr>
                <w:sz w:val="22"/>
                <w:szCs w:val="22"/>
                <w:color w:val="auto"/>
              </w:rPr>
            </w:pPr>
          </w:p>
        </w:tc>
      </w:tr>
      <w:tr>
        <w:trPr>
          <w:trHeight w:val="218"/>
        </w:trPr>
        <w:tc>
          <w:tcPr>
            <w:tcW w:w="24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1122(d)(2)(i)</w:t>
            </w: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Payments on pool assets are deposited into the appropriate custodial</w:t>
            </w:r>
          </w:p>
        </w:tc>
        <w:tc>
          <w:tcPr>
            <w:tcW w:w="35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Applicable.</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bank accounts and related bank clearing accounts no more than two</w:t>
            </w:r>
          </w:p>
        </w:tc>
        <w:tc>
          <w:tcPr>
            <w:tcW w:w="3580" w:type="dxa"/>
            <w:vAlign w:val="bottom"/>
            <w:tcBorders>
              <w:right w:val="single" w:sz="8" w:color="auto"/>
            </w:tcBorders>
          </w:tcPr>
          <w:p>
            <w:pPr>
              <w:spacing w:after="0"/>
              <w:rPr>
                <w:sz w:val="18"/>
                <w:szCs w:val="18"/>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Business Days following receipt, or such other number of days</w:t>
            </w:r>
          </w:p>
        </w:tc>
        <w:tc>
          <w:tcPr>
            <w:tcW w:w="3580" w:type="dxa"/>
            <w:vAlign w:val="bottom"/>
            <w:tcBorders>
              <w:right w:val="single" w:sz="8" w:color="auto"/>
            </w:tcBorders>
          </w:tcPr>
          <w:p>
            <w:pPr>
              <w:spacing w:after="0"/>
              <w:rPr>
                <w:sz w:val="18"/>
                <w:szCs w:val="18"/>
                <w:color w:val="auto"/>
              </w:rPr>
            </w:pPr>
          </w:p>
        </w:tc>
      </w:tr>
      <w:tr>
        <w:trPr>
          <w:trHeight w:val="234"/>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specified in the transaction agreements.</w:t>
            </w:r>
          </w:p>
        </w:tc>
        <w:tc>
          <w:tcPr>
            <w:tcW w:w="3580" w:type="dxa"/>
            <w:vAlign w:val="bottom"/>
            <w:tcBorders>
              <w:bottom w:val="single" w:sz="8" w:color="auto"/>
              <w:right w:val="single" w:sz="8" w:color="auto"/>
            </w:tcBorders>
          </w:tcPr>
          <w:p>
            <w:pPr>
              <w:spacing w:after="0"/>
              <w:rPr>
                <w:sz w:val="20"/>
                <w:szCs w:val="20"/>
                <w:color w:val="auto"/>
              </w:rPr>
            </w:pPr>
          </w:p>
        </w:tc>
      </w:tr>
      <w:tr>
        <w:trPr>
          <w:trHeight w:val="218"/>
        </w:trPr>
        <w:tc>
          <w:tcPr>
            <w:tcW w:w="24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1122(d)(2)(ii)</w:t>
            </w: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Disbursements made via wire transfer on behalf of an obligor or to an</w:t>
            </w:r>
          </w:p>
        </w:tc>
        <w:tc>
          <w:tcPr>
            <w:tcW w:w="35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Applicable.</w:t>
            </w:r>
          </w:p>
        </w:tc>
      </w:tr>
      <w:tr>
        <w:trPr>
          <w:trHeight w:val="234"/>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investor are made only by authorized personnel.</w:t>
            </w:r>
          </w:p>
        </w:tc>
        <w:tc>
          <w:tcPr>
            <w:tcW w:w="3580" w:type="dxa"/>
            <w:vAlign w:val="bottom"/>
            <w:tcBorders>
              <w:bottom w:val="single" w:sz="8" w:color="auto"/>
              <w:right w:val="single" w:sz="8" w:color="auto"/>
            </w:tcBorders>
          </w:tcPr>
          <w:p>
            <w:pPr>
              <w:spacing w:after="0"/>
              <w:rPr>
                <w:sz w:val="20"/>
                <w:szCs w:val="20"/>
                <w:color w:val="auto"/>
              </w:rPr>
            </w:pPr>
          </w:p>
        </w:tc>
      </w:tr>
      <w:tr>
        <w:trPr>
          <w:trHeight w:val="218"/>
        </w:trPr>
        <w:tc>
          <w:tcPr>
            <w:tcW w:w="24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1122(d)(2)(iii)</w:t>
            </w: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Advances of funds or guarantees regarding collections, cash flows or</w:t>
            </w:r>
          </w:p>
        </w:tc>
        <w:tc>
          <w:tcPr>
            <w:tcW w:w="35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Applicable; no advances by the Servicer are</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distributions, and any interest or other fees charged for such advances,</w:t>
            </w:r>
          </w:p>
        </w:tc>
        <w:tc>
          <w:tcPr>
            <w:tcW w:w="35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permitted under the transaction agreements,</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are made, reviewed and approved as specified in the transaction</w:t>
            </w:r>
          </w:p>
        </w:tc>
        <w:tc>
          <w:tcPr>
            <w:tcW w:w="35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except for payments of certain indemnities.</w:t>
            </w:r>
          </w:p>
        </w:tc>
      </w:tr>
      <w:tr>
        <w:trPr>
          <w:trHeight w:val="234"/>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agreements.</w:t>
            </w:r>
          </w:p>
        </w:tc>
        <w:tc>
          <w:tcPr>
            <w:tcW w:w="3580" w:type="dxa"/>
            <w:vAlign w:val="bottom"/>
            <w:tcBorders>
              <w:bottom w:val="single" w:sz="8" w:color="auto"/>
              <w:right w:val="single" w:sz="8" w:color="auto"/>
            </w:tcBorders>
          </w:tcPr>
          <w:p>
            <w:pPr>
              <w:spacing w:after="0"/>
              <w:rPr>
                <w:sz w:val="20"/>
                <w:szCs w:val="20"/>
                <w:color w:val="auto"/>
              </w:rPr>
            </w:pPr>
          </w:p>
        </w:tc>
      </w:tr>
      <w:tr>
        <w:trPr>
          <w:trHeight w:val="218"/>
        </w:trPr>
        <w:tc>
          <w:tcPr>
            <w:tcW w:w="24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1122(d)(2)(iv)</w:t>
            </w: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related accounts for the transaction, such as cash reserve accounts</w:t>
            </w:r>
          </w:p>
        </w:tc>
        <w:tc>
          <w:tcPr>
            <w:tcW w:w="35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Applicable, but no current assessment is</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or accounts established as a form of overcollateralization, are</w:t>
            </w:r>
          </w:p>
        </w:tc>
        <w:tc>
          <w:tcPr>
            <w:tcW w:w="35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required since the related accounts are</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separately maintained (e.g., with respect to commingling of cash) as</w:t>
            </w:r>
          </w:p>
        </w:tc>
        <w:tc>
          <w:tcPr>
            <w:tcW w:w="35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maintained by the Trustee.</w:t>
            </w:r>
          </w:p>
        </w:tc>
      </w:tr>
      <w:tr>
        <w:trPr>
          <w:trHeight w:val="234"/>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set forth in the transaction agreements.</w:t>
            </w:r>
          </w:p>
        </w:tc>
        <w:tc>
          <w:tcPr>
            <w:tcW w:w="3580" w:type="dxa"/>
            <w:vAlign w:val="bottom"/>
            <w:tcBorders>
              <w:bottom w:val="single" w:sz="8" w:color="auto"/>
              <w:right w:val="single" w:sz="8" w:color="auto"/>
            </w:tcBorders>
          </w:tcPr>
          <w:p>
            <w:pPr>
              <w:spacing w:after="0"/>
              <w:rPr>
                <w:sz w:val="20"/>
                <w:szCs w:val="20"/>
                <w:color w:val="auto"/>
              </w:rPr>
            </w:pPr>
          </w:p>
        </w:tc>
      </w:tr>
      <w:tr>
        <w:trPr>
          <w:trHeight w:val="218"/>
        </w:trPr>
        <w:tc>
          <w:tcPr>
            <w:tcW w:w="24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1122(d)(2)(v)</w:t>
            </w: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Each custodial account is maintained at a federally insured depository</w:t>
            </w:r>
          </w:p>
        </w:tc>
        <w:tc>
          <w:tcPr>
            <w:tcW w:w="35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Applicable, but no current assessment required;</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institution as set forth in the transaction agreements. For purposes of</w:t>
            </w:r>
          </w:p>
        </w:tc>
        <w:tc>
          <w:tcPr>
            <w:tcW w:w="35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all “custodial accounts” are maintained by the</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this criterion, “federally insured depository institution” with respect to</w:t>
            </w:r>
          </w:p>
        </w:tc>
        <w:tc>
          <w:tcPr>
            <w:tcW w:w="35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Trustee.</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 foreign financial institution means a foreign financial institution that</w:t>
            </w:r>
          </w:p>
        </w:tc>
        <w:tc>
          <w:tcPr>
            <w:tcW w:w="3580" w:type="dxa"/>
            <w:vAlign w:val="bottom"/>
            <w:tcBorders>
              <w:right w:val="single" w:sz="8" w:color="auto"/>
            </w:tcBorders>
          </w:tcPr>
          <w:p>
            <w:pPr>
              <w:spacing w:after="0"/>
              <w:rPr>
                <w:sz w:val="18"/>
                <w:szCs w:val="18"/>
                <w:color w:val="auto"/>
              </w:rPr>
            </w:pPr>
          </w:p>
        </w:tc>
      </w:tr>
      <w:tr>
        <w:trPr>
          <w:trHeight w:val="234"/>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meets the requirements of Rule 13k-1(b)(1) under the Exchange Act.</w:t>
            </w:r>
          </w:p>
        </w:tc>
        <w:tc>
          <w:tcPr>
            <w:tcW w:w="3580" w:type="dxa"/>
            <w:vAlign w:val="bottom"/>
            <w:tcBorders>
              <w:bottom w:val="single" w:sz="8" w:color="auto"/>
              <w:right w:val="single" w:sz="8" w:color="auto"/>
            </w:tcBorders>
          </w:tcPr>
          <w:p>
            <w:pPr>
              <w:spacing w:after="0"/>
              <w:rPr>
                <w:sz w:val="20"/>
                <w:szCs w:val="20"/>
                <w:color w:val="auto"/>
              </w:rPr>
            </w:pPr>
          </w:p>
        </w:tc>
      </w:tr>
      <w:tr>
        <w:trPr>
          <w:trHeight w:val="218"/>
        </w:trPr>
        <w:tc>
          <w:tcPr>
            <w:tcW w:w="24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1122(d)(2)(vi)</w:t>
            </w: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Unissued checks are safeguarded so as to prevent unauthorized access.</w:t>
            </w:r>
          </w:p>
        </w:tc>
        <w:tc>
          <w:tcPr>
            <w:tcW w:w="35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Not applicable; all payments made by wire</w:t>
            </w:r>
          </w:p>
        </w:tc>
      </w:tr>
      <w:tr>
        <w:trPr>
          <w:trHeight w:val="234"/>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spacing w:after="0"/>
              <w:rPr>
                <w:sz w:val="20"/>
                <w:szCs w:val="20"/>
                <w:color w:val="auto"/>
              </w:rPr>
            </w:pPr>
          </w:p>
        </w:tc>
        <w:tc>
          <w:tcPr>
            <w:tcW w:w="35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transfer.</w:t>
            </w:r>
          </w:p>
        </w:tc>
      </w:tr>
      <w:tr>
        <w:trPr>
          <w:trHeight w:val="218"/>
        </w:trPr>
        <w:tc>
          <w:tcPr>
            <w:tcW w:w="24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1122(d)(2)(vii)</w:t>
            </w: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Reconciliations are prepared on a monthly basis for all asset-backed</w:t>
            </w:r>
          </w:p>
        </w:tc>
        <w:tc>
          <w:tcPr>
            <w:tcW w:w="35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Applicable; assessment below.</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securities related bank accounts, including custodial accounts and</w:t>
            </w:r>
          </w:p>
        </w:tc>
        <w:tc>
          <w:tcPr>
            <w:tcW w:w="3580" w:type="dxa"/>
            <w:vAlign w:val="bottom"/>
            <w:tcBorders>
              <w:right w:val="single" w:sz="8" w:color="auto"/>
            </w:tcBorders>
          </w:tcPr>
          <w:p>
            <w:pPr>
              <w:spacing w:after="0"/>
              <w:rPr>
                <w:sz w:val="18"/>
                <w:szCs w:val="18"/>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related bank clearing accounts. These reconciliations are</w:t>
            </w:r>
          </w:p>
        </w:tc>
        <w:tc>
          <w:tcPr>
            <w:tcW w:w="3580" w:type="dxa"/>
            <w:vAlign w:val="bottom"/>
            <w:tcBorders>
              <w:right w:val="single" w:sz="8" w:color="auto"/>
            </w:tcBorders>
          </w:tcPr>
          <w:p>
            <w:pPr>
              <w:spacing w:after="0"/>
              <w:rPr>
                <w:sz w:val="18"/>
                <w:szCs w:val="18"/>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 mathematically accurate; (B) prepared within 30 calendar days</w:t>
            </w:r>
          </w:p>
        </w:tc>
        <w:tc>
          <w:tcPr>
            <w:tcW w:w="3580" w:type="dxa"/>
            <w:vAlign w:val="bottom"/>
            <w:tcBorders>
              <w:right w:val="single" w:sz="8" w:color="auto"/>
            </w:tcBorders>
          </w:tcPr>
          <w:p>
            <w:pPr>
              <w:spacing w:after="0"/>
              <w:rPr>
                <w:sz w:val="18"/>
                <w:szCs w:val="18"/>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after the bank statement cutoff date, or such other number of days</w:t>
            </w:r>
          </w:p>
        </w:tc>
        <w:tc>
          <w:tcPr>
            <w:tcW w:w="3580" w:type="dxa"/>
            <w:vAlign w:val="bottom"/>
            <w:tcBorders>
              <w:right w:val="single" w:sz="8" w:color="auto"/>
            </w:tcBorders>
          </w:tcPr>
          <w:p>
            <w:pPr>
              <w:spacing w:after="0"/>
              <w:rPr>
                <w:sz w:val="18"/>
                <w:szCs w:val="18"/>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specified in the transaction agreements; (C) reviewed and approved by</w:t>
            </w:r>
          </w:p>
        </w:tc>
        <w:tc>
          <w:tcPr>
            <w:tcW w:w="3580" w:type="dxa"/>
            <w:vAlign w:val="bottom"/>
            <w:tcBorders>
              <w:right w:val="single" w:sz="8" w:color="auto"/>
            </w:tcBorders>
          </w:tcPr>
          <w:p>
            <w:pPr>
              <w:spacing w:after="0"/>
              <w:rPr>
                <w:sz w:val="18"/>
                <w:szCs w:val="18"/>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someone other than the person who prepared the reconciliation; and</w:t>
            </w:r>
          </w:p>
        </w:tc>
        <w:tc>
          <w:tcPr>
            <w:tcW w:w="3580" w:type="dxa"/>
            <w:vAlign w:val="bottom"/>
            <w:tcBorders>
              <w:right w:val="single" w:sz="8" w:color="auto"/>
            </w:tcBorders>
          </w:tcPr>
          <w:p>
            <w:pPr>
              <w:spacing w:after="0"/>
              <w:rPr>
                <w:sz w:val="18"/>
                <w:szCs w:val="18"/>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 contain explanations for reconciling items. These reconciling items</w:t>
            </w:r>
          </w:p>
        </w:tc>
        <w:tc>
          <w:tcPr>
            <w:tcW w:w="3580" w:type="dxa"/>
            <w:vAlign w:val="bottom"/>
            <w:tcBorders>
              <w:right w:val="single" w:sz="8" w:color="auto"/>
            </w:tcBorders>
          </w:tcPr>
          <w:p>
            <w:pPr>
              <w:spacing w:after="0"/>
              <w:rPr>
                <w:sz w:val="18"/>
                <w:szCs w:val="18"/>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are resolved within 90 calendar days of their original identification, or</w:t>
            </w:r>
          </w:p>
        </w:tc>
        <w:tc>
          <w:tcPr>
            <w:tcW w:w="3580" w:type="dxa"/>
            <w:vAlign w:val="bottom"/>
            <w:tcBorders>
              <w:right w:val="single" w:sz="8" w:color="auto"/>
            </w:tcBorders>
          </w:tcPr>
          <w:p>
            <w:pPr>
              <w:spacing w:after="0"/>
              <w:rPr>
                <w:sz w:val="18"/>
                <w:szCs w:val="18"/>
                <w:color w:val="auto"/>
              </w:rPr>
            </w:pPr>
          </w:p>
        </w:tc>
      </w:tr>
      <w:tr>
        <w:trPr>
          <w:trHeight w:val="234"/>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such other number of days specified in the transaction agreements.</w:t>
            </w:r>
          </w:p>
        </w:tc>
        <w:tc>
          <w:tcPr>
            <w:tcW w:w="3580" w:type="dxa"/>
            <w:vAlign w:val="bottom"/>
            <w:tcBorders>
              <w:bottom w:val="single" w:sz="8" w:color="auto"/>
              <w:right w:val="single" w:sz="8" w:color="auto"/>
            </w:tcBorders>
          </w:tcPr>
          <w:p>
            <w:pPr>
              <w:spacing w:after="0"/>
              <w:rPr>
                <w:sz w:val="20"/>
                <w:szCs w:val="20"/>
                <w:color w:val="auto"/>
              </w:rPr>
            </w:pPr>
          </w:p>
        </w:tc>
      </w:tr>
      <w:tr>
        <w:trPr>
          <w:trHeight w:val="668"/>
        </w:trPr>
        <w:tc>
          <w:tcPr>
            <w:tcW w:w="240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3" w:right="339" w:bottom="1440" w:gutter="0" w:footer="0" w:header="0"/>
        </w:sectPr>
      </w:pPr>
    </w:p>
    <w:bookmarkStart w:id="13" w:name="page14"/>
    <w:bookmarkEnd w:id="1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7"/>
        </w:trPr>
        <w:tc>
          <w:tcPr>
            <w:tcW w:w="2400" w:type="dxa"/>
            <w:vAlign w:val="bottom"/>
            <w:tcBorders>
              <w:top w:val="single" w:sz="8" w:color="auto"/>
              <w:left w:val="single" w:sz="8" w:color="auto"/>
              <w:bottom w:val="single" w:sz="8" w:color="auto"/>
              <w:right w:val="single" w:sz="8" w:color="auto"/>
            </w:tcBorders>
          </w:tcPr>
          <w:p>
            <w:pPr>
              <w:spacing w:after="0"/>
              <w:rPr>
                <w:sz w:val="22"/>
                <w:szCs w:val="22"/>
                <w:color w:val="auto"/>
              </w:rPr>
            </w:pPr>
          </w:p>
        </w:tc>
        <w:tc>
          <w:tcPr>
            <w:tcW w:w="4940" w:type="dxa"/>
            <w:vAlign w:val="bottom"/>
            <w:tcBorders>
              <w:top w:val="single" w:sz="8" w:color="auto"/>
              <w:bottom w:val="single" w:sz="8" w:color="auto"/>
              <w:right w:val="single" w:sz="8" w:color="auto"/>
            </w:tcBorders>
          </w:tcPr>
          <w:p>
            <w:pPr>
              <w:ind w:left="1020"/>
              <w:spacing w:after="0"/>
              <w:rPr>
                <w:sz w:val="20"/>
                <w:szCs w:val="20"/>
                <w:color w:val="auto"/>
              </w:rPr>
            </w:pPr>
            <w:r>
              <w:rPr>
                <w:rFonts w:ascii="Times New Roman" w:cs="Times New Roman" w:eastAsia="Times New Roman" w:hAnsi="Times New Roman"/>
                <w:sz w:val="18"/>
                <w:szCs w:val="18"/>
                <w:b w:val="1"/>
                <w:bCs w:val="1"/>
                <w:color w:val="auto"/>
              </w:rPr>
              <w:t>Investor Remittances and Reporting</w:t>
            </w:r>
          </w:p>
        </w:tc>
        <w:tc>
          <w:tcPr>
            <w:tcW w:w="3900" w:type="dxa"/>
            <w:vAlign w:val="bottom"/>
            <w:tcBorders>
              <w:top w:val="single" w:sz="8" w:color="auto"/>
              <w:bottom w:val="single" w:sz="8" w:color="auto"/>
              <w:right w:val="single" w:sz="8" w:color="auto"/>
            </w:tcBorders>
          </w:tcPr>
          <w:p>
            <w:pPr>
              <w:spacing w:after="0"/>
              <w:rPr>
                <w:sz w:val="22"/>
                <w:szCs w:val="22"/>
                <w:color w:val="auto"/>
              </w:rPr>
            </w:pPr>
          </w:p>
        </w:tc>
      </w:tr>
      <w:tr>
        <w:trPr>
          <w:trHeight w:val="218"/>
        </w:trPr>
        <w:tc>
          <w:tcPr>
            <w:tcW w:w="24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1122(d)(3)(i)</w:t>
            </w:r>
          </w:p>
        </w:tc>
        <w:tc>
          <w:tcPr>
            <w:tcW w:w="4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Reports to investors, including those to be filed with the SEC, are</w:t>
            </w:r>
          </w:p>
        </w:tc>
        <w:tc>
          <w:tcPr>
            <w:tcW w:w="3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Applicable; assessment below.</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4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maintained in accordance with the transaction agreements and</w:t>
            </w:r>
          </w:p>
        </w:tc>
        <w:tc>
          <w:tcPr>
            <w:tcW w:w="3900" w:type="dxa"/>
            <w:vAlign w:val="bottom"/>
            <w:tcBorders>
              <w:right w:val="single" w:sz="8" w:color="auto"/>
            </w:tcBorders>
          </w:tcPr>
          <w:p>
            <w:pPr>
              <w:spacing w:after="0"/>
              <w:rPr>
                <w:sz w:val="18"/>
                <w:szCs w:val="18"/>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4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applicable SEC requirements. Specifically, such reports: (A) are</w:t>
            </w:r>
          </w:p>
        </w:tc>
        <w:tc>
          <w:tcPr>
            <w:tcW w:w="3900" w:type="dxa"/>
            <w:vAlign w:val="bottom"/>
            <w:tcBorders>
              <w:right w:val="single" w:sz="8" w:color="auto"/>
            </w:tcBorders>
          </w:tcPr>
          <w:p>
            <w:pPr>
              <w:spacing w:after="0"/>
              <w:rPr>
                <w:sz w:val="18"/>
                <w:szCs w:val="18"/>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4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prepared in accordance with timeframes and other terms set forth</w:t>
            </w:r>
          </w:p>
        </w:tc>
        <w:tc>
          <w:tcPr>
            <w:tcW w:w="3900" w:type="dxa"/>
            <w:vAlign w:val="bottom"/>
            <w:tcBorders>
              <w:right w:val="single" w:sz="8" w:color="auto"/>
            </w:tcBorders>
          </w:tcPr>
          <w:p>
            <w:pPr>
              <w:spacing w:after="0"/>
              <w:rPr>
                <w:sz w:val="18"/>
                <w:szCs w:val="18"/>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4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the transaction agreements; (B) provide information calculated</w:t>
            </w:r>
          </w:p>
        </w:tc>
        <w:tc>
          <w:tcPr>
            <w:tcW w:w="3900" w:type="dxa"/>
            <w:vAlign w:val="bottom"/>
            <w:tcBorders>
              <w:right w:val="single" w:sz="8" w:color="auto"/>
            </w:tcBorders>
          </w:tcPr>
          <w:p>
            <w:pPr>
              <w:spacing w:after="0"/>
              <w:rPr>
                <w:sz w:val="18"/>
                <w:szCs w:val="18"/>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4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 accordance with the terms specified in the transaction</w:t>
            </w:r>
          </w:p>
        </w:tc>
        <w:tc>
          <w:tcPr>
            <w:tcW w:w="3900" w:type="dxa"/>
            <w:vAlign w:val="bottom"/>
            <w:tcBorders>
              <w:right w:val="single" w:sz="8" w:color="auto"/>
            </w:tcBorders>
          </w:tcPr>
          <w:p>
            <w:pPr>
              <w:spacing w:after="0"/>
              <w:rPr>
                <w:sz w:val="18"/>
                <w:szCs w:val="18"/>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4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agreements; (C) are filed with the SEC as required by its rules and</w:t>
            </w:r>
          </w:p>
        </w:tc>
        <w:tc>
          <w:tcPr>
            <w:tcW w:w="3900" w:type="dxa"/>
            <w:vAlign w:val="bottom"/>
            <w:tcBorders>
              <w:right w:val="single" w:sz="8" w:color="auto"/>
            </w:tcBorders>
          </w:tcPr>
          <w:p>
            <w:pPr>
              <w:spacing w:after="0"/>
              <w:rPr>
                <w:sz w:val="18"/>
                <w:szCs w:val="18"/>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4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regulations; and (D) agree with investors’ or the trustee’s records</w:t>
            </w:r>
          </w:p>
        </w:tc>
        <w:tc>
          <w:tcPr>
            <w:tcW w:w="3900" w:type="dxa"/>
            <w:vAlign w:val="bottom"/>
            <w:tcBorders>
              <w:right w:val="single" w:sz="8" w:color="auto"/>
            </w:tcBorders>
          </w:tcPr>
          <w:p>
            <w:pPr>
              <w:spacing w:after="0"/>
              <w:rPr>
                <w:sz w:val="18"/>
                <w:szCs w:val="18"/>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4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as to the total unpaid principal balance and number of pool assets</w:t>
            </w:r>
          </w:p>
        </w:tc>
        <w:tc>
          <w:tcPr>
            <w:tcW w:w="3900" w:type="dxa"/>
            <w:vAlign w:val="bottom"/>
            <w:tcBorders>
              <w:right w:val="single" w:sz="8" w:color="auto"/>
            </w:tcBorders>
          </w:tcPr>
          <w:p>
            <w:pPr>
              <w:spacing w:after="0"/>
              <w:rPr>
                <w:sz w:val="18"/>
                <w:szCs w:val="18"/>
                <w:color w:val="auto"/>
              </w:rPr>
            </w:pPr>
          </w:p>
        </w:tc>
      </w:tr>
      <w:tr>
        <w:trPr>
          <w:trHeight w:val="234"/>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49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serviced by the servicer.</w:t>
            </w:r>
          </w:p>
        </w:tc>
        <w:tc>
          <w:tcPr>
            <w:tcW w:w="3900" w:type="dxa"/>
            <w:vAlign w:val="bottom"/>
            <w:tcBorders>
              <w:bottom w:val="single" w:sz="8" w:color="auto"/>
              <w:right w:val="single" w:sz="8" w:color="auto"/>
            </w:tcBorders>
          </w:tcPr>
          <w:p>
            <w:pPr>
              <w:spacing w:after="0"/>
              <w:rPr>
                <w:sz w:val="20"/>
                <w:szCs w:val="20"/>
                <w:color w:val="auto"/>
              </w:rPr>
            </w:pPr>
          </w:p>
        </w:tc>
      </w:tr>
      <w:tr>
        <w:trPr>
          <w:trHeight w:val="218"/>
        </w:trPr>
        <w:tc>
          <w:tcPr>
            <w:tcW w:w="24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1122(d)(3)(ii)</w:t>
            </w:r>
          </w:p>
        </w:tc>
        <w:tc>
          <w:tcPr>
            <w:tcW w:w="4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Amounts due to investors are allocated and remitted in accordance</w:t>
            </w:r>
          </w:p>
        </w:tc>
        <w:tc>
          <w:tcPr>
            <w:tcW w:w="3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Not applicable; investor records maintained by the</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4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with timeframes, distribution priority and other terms set forth in</w:t>
            </w:r>
          </w:p>
        </w:tc>
        <w:tc>
          <w:tcPr>
            <w:tcW w:w="3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Trustee.</w:t>
            </w:r>
          </w:p>
        </w:tc>
      </w:tr>
      <w:tr>
        <w:trPr>
          <w:trHeight w:val="234"/>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49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transaction agreements.</w:t>
            </w:r>
          </w:p>
        </w:tc>
        <w:tc>
          <w:tcPr>
            <w:tcW w:w="3900" w:type="dxa"/>
            <w:vAlign w:val="bottom"/>
            <w:tcBorders>
              <w:bottom w:val="single" w:sz="8" w:color="auto"/>
              <w:right w:val="single" w:sz="8" w:color="auto"/>
            </w:tcBorders>
          </w:tcPr>
          <w:p>
            <w:pPr>
              <w:spacing w:after="0"/>
              <w:rPr>
                <w:sz w:val="20"/>
                <w:szCs w:val="20"/>
                <w:color w:val="auto"/>
              </w:rPr>
            </w:pPr>
          </w:p>
        </w:tc>
      </w:tr>
      <w:tr>
        <w:trPr>
          <w:trHeight w:val="218"/>
        </w:trPr>
        <w:tc>
          <w:tcPr>
            <w:tcW w:w="24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1122(d)(3)(iii)</w:t>
            </w:r>
          </w:p>
        </w:tc>
        <w:tc>
          <w:tcPr>
            <w:tcW w:w="4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Disbursements made to an investor are posted within two</w:t>
            </w:r>
          </w:p>
        </w:tc>
        <w:tc>
          <w:tcPr>
            <w:tcW w:w="3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Applicable.</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4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Business Days to the servicer’s investor records, or such other</w:t>
            </w:r>
          </w:p>
        </w:tc>
        <w:tc>
          <w:tcPr>
            <w:tcW w:w="3900" w:type="dxa"/>
            <w:vAlign w:val="bottom"/>
            <w:tcBorders>
              <w:right w:val="single" w:sz="8" w:color="auto"/>
            </w:tcBorders>
          </w:tcPr>
          <w:p>
            <w:pPr>
              <w:spacing w:after="0"/>
              <w:rPr>
                <w:sz w:val="18"/>
                <w:szCs w:val="18"/>
                <w:color w:val="auto"/>
              </w:rPr>
            </w:pPr>
          </w:p>
        </w:tc>
      </w:tr>
      <w:tr>
        <w:trPr>
          <w:trHeight w:val="234"/>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49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 of days specified in the transaction agreements.</w:t>
            </w:r>
          </w:p>
        </w:tc>
        <w:tc>
          <w:tcPr>
            <w:tcW w:w="3900" w:type="dxa"/>
            <w:vAlign w:val="bottom"/>
            <w:tcBorders>
              <w:bottom w:val="single" w:sz="8" w:color="auto"/>
              <w:right w:val="single" w:sz="8" w:color="auto"/>
            </w:tcBorders>
          </w:tcPr>
          <w:p>
            <w:pPr>
              <w:spacing w:after="0"/>
              <w:rPr>
                <w:sz w:val="20"/>
                <w:szCs w:val="20"/>
                <w:color w:val="auto"/>
              </w:rPr>
            </w:pPr>
          </w:p>
        </w:tc>
      </w:tr>
      <w:tr>
        <w:trPr>
          <w:trHeight w:val="218"/>
        </w:trPr>
        <w:tc>
          <w:tcPr>
            <w:tcW w:w="24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1122(d)(3)(iv)</w:t>
            </w:r>
          </w:p>
        </w:tc>
        <w:tc>
          <w:tcPr>
            <w:tcW w:w="4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Amounts remitted to investors per the investor reports agree with</w:t>
            </w:r>
          </w:p>
        </w:tc>
        <w:tc>
          <w:tcPr>
            <w:tcW w:w="3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Applicable; assessment below.</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4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cancelled checks, or other form of payment, or custodial bank</w:t>
            </w:r>
          </w:p>
        </w:tc>
        <w:tc>
          <w:tcPr>
            <w:tcW w:w="3900" w:type="dxa"/>
            <w:vAlign w:val="bottom"/>
            <w:tcBorders>
              <w:right w:val="single" w:sz="8" w:color="auto"/>
            </w:tcBorders>
          </w:tcPr>
          <w:p>
            <w:pPr>
              <w:spacing w:after="0"/>
              <w:rPr>
                <w:sz w:val="18"/>
                <w:szCs w:val="18"/>
                <w:color w:val="auto"/>
              </w:rPr>
            </w:pPr>
          </w:p>
        </w:tc>
      </w:tr>
      <w:tr>
        <w:trPr>
          <w:trHeight w:val="234"/>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49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statements.</w:t>
            </w:r>
          </w:p>
        </w:tc>
        <w:tc>
          <w:tcPr>
            <w:tcW w:w="3900" w:type="dxa"/>
            <w:vAlign w:val="bottom"/>
            <w:tcBorders>
              <w:bottom w:val="single" w:sz="8" w:color="auto"/>
              <w:right w:val="single" w:sz="8" w:color="auto"/>
            </w:tcBorders>
          </w:tcPr>
          <w:p>
            <w:pPr>
              <w:spacing w:after="0"/>
              <w:rPr>
                <w:sz w:val="20"/>
                <w:szCs w:val="20"/>
                <w:color w:val="auto"/>
              </w:rPr>
            </w:pPr>
          </w:p>
        </w:tc>
      </w:tr>
      <w:tr>
        <w:trPr>
          <w:trHeight w:val="236"/>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4940" w:type="dxa"/>
            <w:vAlign w:val="bottom"/>
            <w:tcBorders>
              <w:bottom w:val="single" w:sz="8" w:color="auto"/>
              <w:right w:val="single" w:sz="8" w:color="auto"/>
            </w:tcBorders>
          </w:tcPr>
          <w:p>
            <w:pPr>
              <w:ind w:left="1400"/>
              <w:spacing w:after="0"/>
              <w:rPr>
                <w:sz w:val="20"/>
                <w:szCs w:val="20"/>
                <w:color w:val="auto"/>
              </w:rPr>
            </w:pPr>
            <w:r>
              <w:rPr>
                <w:rFonts w:ascii="Times New Roman" w:cs="Times New Roman" w:eastAsia="Times New Roman" w:hAnsi="Times New Roman"/>
                <w:sz w:val="18"/>
                <w:szCs w:val="18"/>
                <w:b w:val="1"/>
                <w:bCs w:val="1"/>
                <w:color w:val="auto"/>
              </w:rPr>
              <w:t>Pool Asset Administration</w:t>
            </w:r>
          </w:p>
        </w:tc>
        <w:tc>
          <w:tcPr>
            <w:tcW w:w="3900" w:type="dxa"/>
            <w:vAlign w:val="bottom"/>
            <w:tcBorders>
              <w:bottom w:val="single" w:sz="8" w:color="auto"/>
              <w:right w:val="single" w:sz="8" w:color="auto"/>
            </w:tcBorders>
          </w:tcPr>
          <w:p>
            <w:pPr>
              <w:spacing w:after="0"/>
              <w:rPr>
                <w:sz w:val="20"/>
                <w:szCs w:val="20"/>
                <w:color w:val="auto"/>
              </w:rPr>
            </w:pPr>
          </w:p>
        </w:tc>
      </w:tr>
      <w:tr>
        <w:trPr>
          <w:trHeight w:val="218"/>
        </w:trPr>
        <w:tc>
          <w:tcPr>
            <w:tcW w:w="24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1122(d)(4)(i)</w:t>
            </w:r>
          </w:p>
        </w:tc>
        <w:tc>
          <w:tcPr>
            <w:tcW w:w="4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Collateral or security on pool assets is maintained as required by</w:t>
            </w:r>
          </w:p>
        </w:tc>
        <w:tc>
          <w:tcPr>
            <w:tcW w:w="3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Applicable; assessment below.</w:t>
            </w:r>
          </w:p>
        </w:tc>
      </w:tr>
      <w:tr>
        <w:trPr>
          <w:trHeight w:val="234"/>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49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transaction agreements or related pool asset documents.</w:t>
            </w:r>
          </w:p>
        </w:tc>
        <w:tc>
          <w:tcPr>
            <w:tcW w:w="3900" w:type="dxa"/>
            <w:vAlign w:val="bottom"/>
            <w:tcBorders>
              <w:bottom w:val="single" w:sz="8" w:color="auto"/>
              <w:right w:val="single" w:sz="8" w:color="auto"/>
            </w:tcBorders>
          </w:tcPr>
          <w:p>
            <w:pPr>
              <w:spacing w:after="0"/>
              <w:rPr>
                <w:sz w:val="20"/>
                <w:szCs w:val="20"/>
                <w:color w:val="auto"/>
              </w:rPr>
            </w:pPr>
          </w:p>
        </w:tc>
      </w:tr>
      <w:tr>
        <w:trPr>
          <w:trHeight w:val="218"/>
        </w:trPr>
        <w:tc>
          <w:tcPr>
            <w:tcW w:w="24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1122(d)(4)(ii)</w:t>
            </w:r>
          </w:p>
        </w:tc>
        <w:tc>
          <w:tcPr>
            <w:tcW w:w="4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Pool assets and related documents are safeguarded as required by</w:t>
            </w:r>
          </w:p>
        </w:tc>
        <w:tc>
          <w:tcPr>
            <w:tcW w:w="3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Applicable; assessment below.</w:t>
            </w:r>
          </w:p>
        </w:tc>
      </w:tr>
      <w:tr>
        <w:trPr>
          <w:trHeight w:val="234"/>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49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transaction agreements.</w:t>
            </w:r>
          </w:p>
        </w:tc>
        <w:tc>
          <w:tcPr>
            <w:tcW w:w="3900" w:type="dxa"/>
            <w:vAlign w:val="bottom"/>
            <w:tcBorders>
              <w:bottom w:val="single" w:sz="8" w:color="auto"/>
              <w:right w:val="single" w:sz="8" w:color="auto"/>
            </w:tcBorders>
          </w:tcPr>
          <w:p>
            <w:pPr>
              <w:spacing w:after="0"/>
              <w:rPr>
                <w:sz w:val="20"/>
                <w:szCs w:val="20"/>
                <w:color w:val="auto"/>
              </w:rPr>
            </w:pPr>
          </w:p>
        </w:tc>
      </w:tr>
      <w:tr>
        <w:trPr>
          <w:trHeight w:val="218"/>
        </w:trPr>
        <w:tc>
          <w:tcPr>
            <w:tcW w:w="24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1122(d)(4)(iii)</w:t>
            </w:r>
          </w:p>
        </w:tc>
        <w:tc>
          <w:tcPr>
            <w:tcW w:w="4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Any additions, removals or substitutions to the asset pool are</w:t>
            </w:r>
          </w:p>
        </w:tc>
        <w:tc>
          <w:tcPr>
            <w:tcW w:w="3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Not applicable; no removals or substitutions of</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4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made, reviewed and approved in accordance with any conditions</w:t>
            </w:r>
          </w:p>
        </w:tc>
        <w:tc>
          <w:tcPr>
            <w:tcW w:w="3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Securitization Property are contemplated or allowed</w:t>
            </w:r>
          </w:p>
        </w:tc>
      </w:tr>
      <w:tr>
        <w:trPr>
          <w:trHeight w:val="234"/>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49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or requirements in the transaction agreements.</w:t>
            </w:r>
          </w:p>
        </w:tc>
        <w:tc>
          <w:tcPr>
            <w:tcW w:w="390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under the transaction documents.</w:t>
            </w:r>
          </w:p>
        </w:tc>
      </w:tr>
      <w:tr>
        <w:trPr>
          <w:trHeight w:val="218"/>
        </w:trPr>
        <w:tc>
          <w:tcPr>
            <w:tcW w:w="24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1122(d)(4)(iv)</w:t>
            </w:r>
          </w:p>
        </w:tc>
        <w:tc>
          <w:tcPr>
            <w:tcW w:w="4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Payments on pool assets, including any payoffs, made in</w:t>
            </w:r>
          </w:p>
        </w:tc>
        <w:tc>
          <w:tcPr>
            <w:tcW w:w="390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Applicable; assessment below.</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4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accordance with the related pool asset documents are posted to the</w:t>
            </w:r>
          </w:p>
        </w:tc>
        <w:tc>
          <w:tcPr>
            <w:tcW w:w="3900" w:type="dxa"/>
            <w:vAlign w:val="bottom"/>
            <w:tcBorders>
              <w:right w:val="single" w:sz="8" w:color="auto"/>
            </w:tcBorders>
          </w:tcPr>
          <w:p>
            <w:pPr>
              <w:spacing w:after="0"/>
              <w:rPr>
                <w:sz w:val="18"/>
                <w:szCs w:val="18"/>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4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servicer’s obligor records maintained no more than two Business</w:t>
            </w:r>
          </w:p>
        </w:tc>
        <w:tc>
          <w:tcPr>
            <w:tcW w:w="3900" w:type="dxa"/>
            <w:vAlign w:val="bottom"/>
            <w:tcBorders>
              <w:right w:val="single" w:sz="8" w:color="auto"/>
            </w:tcBorders>
          </w:tcPr>
          <w:p>
            <w:pPr>
              <w:spacing w:after="0"/>
              <w:rPr>
                <w:sz w:val="18"/>
                <w:szCs w:val="18"/>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4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Days after receipt, or such other number of days specified in the</w:t>
            </w:r>
          </w:p>
        </w:tc>
        <w:tc>
          <w:tcPr>
            <w:tcW w:w="3900" w:type="dxa"/>
            <w:vAlign w:val="bottom"/>
            <w:tcBorders>
              <w:right w:val="single" w:sz="8" w:color="auto"/>
            </w:tcBorders>
          </w:tcPr>
          <w:p>
            <w:pPr>
              <w:spacing w:after="0"/>
              <w:rPr>
                <w:sz w:val="18"/>
                <w:szCs w:val="18"/>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4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transaction agreements, and allocated to principal, interest or</w:t>
            </w:r>
          </w:p>
        </w:tc>
        <w:tc>
          <w:tcPr>
            <w:tcW w:w="3900" w:type="dxa"/>
            <w:vAlign w:val="bottom"/>
            <w:tcBorders>
              <w:right w:val="single" w:sz="8" w:color="auto"/>
            </w:tcBorders>
          </w:tcPr>
          <w:p>
            <w:pPr>
              <w:spacing w:after="0"/>
              <w:rPr>
                <w:sz w:val="18"/>
                <w:szCs w:val="18"/>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494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items (e.g., escrow) in accordance with the related pool asset</w:t>
            </w:r>
          </w:p>
        </w:tc>
        <w:tc>
          <w:tcPr>
            <w:tcW w:w="3900" w:type="dxa"/>
            <w:vAlign w:val="bottom"/>
            <w:tcBorders>
              <w:right w:val="single" w:sz="8" w:color="auto"/>
            </w:tcBorders>
          </w:tcPr>
          <w:p>
            <w:pPr>
              <w:spacing w:after="0"/>
              <w:rPr>
                <w:sz w:val="18"/>
                <w:szCs w:val="18"/>
                <w:color w:val="auto"/>
              </w:rPr>
            </w:pPr>
          </w:p>
        </w:tc>
      </w:tr>
      <w:tr>
        <w:trPr>
          <w:trHeight w:val="234"/>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494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agreements.</w:t>
            </w:r>
          </w:p>
        </w:tc>
        <w:tc>
          <w:tcPr>
            <w:tcW w:w="3900" w:type="dxa"/>
            <w:vAlign w:val="bottom"/>
            <w:tcBorders>
              <w:bottom w:val="single" w:sz="8" w:color="auto"/>
              <w:right w:val="single" w:sz="8" w:color="auto"/>
            </w:tcBorders>
          </w:tcPr>
          <w:p>
            <w:pPr>
              <w:spacing w:after="0"/>
              <w:rPr>
                <w:sz w:val="20"/>
                <w:szCs w:val="20"/>
                <w:color w:val="auto"/>
              </w:rPr>
            </w:pPr>
          </w:p>
        </w:tc>
      </w:tr>
      <w:tr>
        <w:trPr>
          <w:trHeight w:val="668"/>
        </w:trPr>
        <w:tc>
          <w:tcPr>
            <w:tcW w:w="2400" w:type="dxa"/>
            <w:vAlign w:val="bottom"/>
            <w:tcBorders>
              <w:bottom w:val="single" w:sz="8" w:color="auto"/>
            </w:tcBorders>
          </w:tcPr>
          <w:p>
            <w:pPr>
              <w:spacing w:after="0"/>
              <w:rPr>
                <w:sz w:val="24"/>
                <w:szCs w:val="24"/>
                <w:color w:val="auto"/>
              </w:rPr>
            </w:pPr>
          </w:p>
        </w:tc>
        <w:tc>
          <w:tcPr>
            <w:tcW w:w="4940" w:type="dxa"/>
            <w:vAlign w:val="bottom"/>
            <w:tcBorders>
              <w:bottom w:val="single" w:sz="8" w:color="auto"/>
            </w:tcBorders>
          </w:tcPr>
          <w:p>
            <w:pPr>
              <w:spacing w:after="0"/>
              <w:rPr>
                <w:sz w:val="24"/>
                <w:szCs w:val="24"/>
                <w:color w:val="auto"/>
              </w:rPr>
            </w:pPr>
          </w:p>
        </w:tc>
        <w:tc>
          <w:tcPr>
            <w:tcW w:w="39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3" w:right="339" w:bottom="1440" w:gutter="0" w:footer="0" w:header="0"/>
        </w:sectPr>
      </w:pPr>
    </w:p>
    <w:bookmarkStart w:id="14" w:name="page15"/>
    <w:bookmarkEnd w:id="14"/>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40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1122(d)(4)(v)</w:t>
            </w:r>
          </w:p>
        </w:tc>
        <w:tc>
          <w:tcPr>
            <w:tcW w:w="52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servicer’s records regarding the pool assets agree with the</w:t>
            </w:r>
          </w:p>
        </w:tc>
        <w:tc>
          <w:tcPr>
            <w:tcW w:w="358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Not applicable; because underlying obligation</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servicer’s records with respect to an obligor’s unpaid principal</w:t>
            </w:r>
          </w:p>
        </w:tc>
        <w:tc>
          <w:tcPr>
            <w:tcW w:w="35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(Securitization Charge) is not an interest-</w:t>
            </w:r>
          </w:p>
        </w:tc>
      </w:tr>
      <w:tr>
        <w:trPr>
          <w:trHeight w:val="234"/>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balance.</w:t>
            </w:r>
          </w:p>
        </w:tc>
        <w:tc>
          <w:tcPr>
            <w:tcW w:w="35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bearing instrument.</w:t>
            </w:r>
          </w:p>
        </w:tc>
      </w:tr>
      <w:tr>
        <w:trPr>
          <w:trHeight w:val="218"/>
        </w:trPr>
        <w:tc>
          <w:tcPr>
            <w:tcW w:w="24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1122(d)(4)(vi)</w:t>
            </w: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Changes with respect to the terms or status of an obligor’s pool assets</w:t>
            </w:r>
          </w:p>
        </w:tc>
        <w:tc>
          <w:tcPr>
            <w:tcW w:w="35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Applicable; assessment below.</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(e.g., loan modifications or re- agings) are made, reviewed and</w:t>
            </w:r>
          </w:p>
        </w:tc>
        <w:tc>
          <w:tcPr>
            <w:tcW w:w="3580" w:type="dxa"/>
            <w:vAlign w:val="bottom"/>
            <w:tcBorders>
              <w:right w:val="single" w:sz="8" w:color="auto"/>
            </w:tcBorders>
          </w:tcPr>
          <w:p>
            <w:pPr>
              <w:spacing w:after="0"/>
              <w:rPr>
                <w:sz w:val="18"/>
                <w:szCs w:val="18"/>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approved by authorized personnel in accordance with the transaction</w:t>
            </w:r>
          </w:p>
        </w:tc>
        <w:tc>
          <w:tcPr>
            <w:tcW w:w="3580" w:type="dxa"/>
            <w:vAlign w:val="bottom"/>
            <w:tcBorders>
              <w:right w:val="single" w:sz="8" w:color="auto"/>
            </w:tcBorders>
          </w:tcPr>
          <w:p>
            <w:pPr>
              <w:spacing w:after="0"/>
              <w:rPr>
                <w:sz w:val="18"/>
                <w:szCs w:val="18"/>
                <w:color w:val="auto"/>
              </w:rPr>
            </w:pPr>
          </w:p>
        </w:tc>
      </w:tr>
      <w:tr>
        <w:trPr>
          <w:trHeight w:val="234"/>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agreements and related pool asset documents.</w:t>
            </w:r>
          </w:p>
        </w:tc>
        <w:tc>
          <w:tcPr>
            <w:tcW w:w="3580" w:type="dxa"/>
            <w:vAlign w:val="bottom"/>
            <w:tcBorders>
              <w:bottom w:val="single" w:sz="8" w:color="auto"/>
              <w:right w:val="single" w:sz="8" w:color="auto"/>
            </w:tcBorders>
          </w:tcPr>
          <w:p>
            <w:pPr>
              <w:spacing w:after="0"/>
              <w:rPr>
                <w:sz w:val="20"/>
                <w:szCs w:val="20"/>
                <w:color w:val="auto"/>
              </w:rPr>
            </w:pPr>
          </w:p>
        </w:tc>
      </w:tr>
      <w:tr>
        <w:trPr>
          <w:trHeight w:val="218"/>
        </w:trPr>
        <w:tc>
          <w:tcPr>
            <w:tcW w:w="24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1122(d)(4)(vii)</w:t>
            </w: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Loss mitigation or recovery actions (e.g., forbearance plans,</w:t>
            </w:r>
          </w:p>
        </w:tc>
        <w:tc>
          <w:tcPr>
            <w:tcW w:w="35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Applicable; limited assessment below. Servicer</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modifications and deeds in lieu of foreclosure, foreclosures and</w:t>
            </w:r>
          </w:p>
        </w:tc>
        <w:tc>
          <w:tcPr>
            <w:tcW w:w="35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actions governed by Indiana Commission</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repossessions, as applicable) are initiated, conducted and concluded in</w:t>
            </w:r>
          </w:p>
        </w:tc>
        <w:tc>
          <w:tcPr>
            <w:tcW w:w="35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regulations.</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accordance with the timeframes or other requirements established by</w:t>
            </w:r>
          </w:p>
        </w:tc>
        <w:tc>
          <w:tcPr>
            <w:tcW w:w="3580" w:type="dxa"/>
            <w:vAlign w:val="bottom"/>
            <w:tcBorders>
              <w:right w:val="single" w:sz="8" w:color="auto"/>
            </w:tcBorders>
          </w:tcPr>
          <w:p>
            <w:pPr>
              <w:spacing w:after="0"/>
              <w:rPr>
                <w:sz w:val="18"/>
                <w:szCs w:val="18"/>
                <w:color w:val="auto"/>
              </w:rPr>
            </w:pPr>
          </w:p>
        </w:tc>
      </w:tr>
      <w:tr>
        <w:trPr>
          <w:trHeight w:val="234"/>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the transaction agreements.</w:t>
            </w:r>
          </w:p>
        </w:tc>
        <w:tc>
          <w:tcPr>
            <w:tcW w:w="3580" w:type="dxa"/>
            <w:vAlign w:val="bottom"/>
            <w:tcBorders>
              <w:bottom w:val="single" w:sz="8" w:color="auto"/>
              <w:right w:val="single" w:sz="8" w:color="auto"/>
            </w:tcBorders>
          </w:tcPr>
          <w:p>
            <w:pPr>
              <w:spacing w:after="0"/>
              <w:rPr>
                <w:sz w:val="20"/>
                <w:szCs w:val="20"/>
                <w:color w:val="auto"/>
              </w:rPr>
            </w:pPr>
          </w:p>
        </w:tc>
      </w:tr>
      <w:tr>
        <w:trPr>
          <w:trHeight w:val="218"/>
        </w:trPr>
        <w:tc>
          <w:tcPr>
            <w:tcW w:w="24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1122(d)(4)(viii)</w:t>
            </w: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Records documenting collection efforts are maintained during the</w:t>
            </w:r>
          </w:p>
        </w:tc>
        <w:tc>
          <w:tcPr>
            <w:tcW w:w="35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Applicable, but does not require assessment</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period a pool asset is delinquent in accordance with the transaction</w:t>
            </w:r>
          </w:p>
        </w:tc>
        <w:tc>
          <w:tcPr>
            <w:tcW w:w="35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since no explicit documentation requirement</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agreements. Such records are maintained on at least a monthly basis,</w:t>
            </w:r>
          </w:p>
        </w:tc>
        <w:tc>
          <w:tcPr>
            <w:tcW w:w="35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with respect to delinquent accounts are</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or such other period specified in the transaction agreements, and</w:t>
            </w:r>
          </w:p>
        </w:tc>
        <w:tc>
          <w:tcPr>
            <w:tcW w:w="35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imposed under the transaction agreements due</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describe the entity’s activities in monitoring delinquent pool assets</w:t>
            </w:r>
          </w:p>
        </w:tc>
        <w:tc>
          <w:tcPr>
            <w:tcW w:w="35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to availability of “true-up” mechanism; and</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including, for example, phone calls, letters and payment rescheduling</w:t>
            </w:r>
          </w:p>
        </w:tc>
        <w:tc>
          <w:tcPr>
            <w:tcW w:w="35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any such documentation is maintained in</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plans in cases where delinquency is deemed temporary (e.g., illness or</w:t>
            </w:r>
          </w:p>
        </w:tc>
        <w:tc>
          <w:tcPr>
            <w:tcW w:w="35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accordance with applicable Indiana</w:t>
            </w:r>
          </w:p>
        </w:tc>
      </w:tr>
      <w:tr>
        <w:trPr>
          <w:trHeight w:val="234"/>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unemployment).</w:t>
            </w:r>
          </w:p>
        </w:tc>
        <w:tc>
          <w:tcPr>
            <w:tcW w:w="35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Commission rules and regulations.</w:t>
            </w:r>
          </w:p>
        </w:tc>
      </w:tr>
      <w:tr>
        <w:trPr>
          <w:trHeight w:val="218"/>
        </w:trPr>
        <w:tc>
          <w:tcPr>
            <w:tcW w:w="24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1122(d)(4)(ix)</w:t>
            </w: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Adjustments to interest rates or rates of return for pool assets with</w:t>
            </w:r>
          </w:p>
        </w:tc>
        <w:tc>
          <w:tcPr>
            <w:tcW w:w="35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Not applicable; Securitization Charges are not</w:t>
            </w:r>
          </w:p>
        </w:tc>
      </w:tr>
      <w:tr>
        <w:trPr>
          <w:trHeight w:val="234"/>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variable rates are computed based on the related pool asset documents.</w:t>
            </w:r>
          </w:p>
        </w:tc>
        <w:tc>
          <w:tcPr>
            <w:tcW w:w="35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interest-bearing instruments.</w:t>
            </w:r>
          </w:p>
        </w:tc>
      </w:tr>
      <w:tr>
        <w:trPr>
          <w:trHeight w:val="218"/>
        </w:trPr>
        <w:tc>
          <w:tcPr>
            <w:tcW w:w="24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1122(d)(4)(x)</w:t>
            </w: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Regarding any funds held in trust for an obligor (such as escrow</w:t>
            </w:r>
          </w:p>
        </w:tc>
        <w:tc>
          <w:tcPr>
            <w:tcW w:w="35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accounts): (A) such funds are analyzed, in accordance with the</w:t>
            </w:r>
          </w:p>
        </w:tc>
        <w:tc>
          <w:tcPr>
            <w:tcW w:w="3580" w:type="dxa"/>
            <w:vAlign w:val="bottom"/>
            <w:tcBorders>
              <w:right w:val="single" w:sz="8" w:color="auto"/>
            </w:tcBorders>
          </w:tcPr>
          <w:p>
            <w:pPr>
              <w:spacing w:after="0"/>
              <w:rPr>
                <w:sz w:val="18"/>
                <w:szCs w:val="18"/>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obligor’s pool asset documents, on at least an annual basis, or such</w:t>
            </w:r>
          </w:p>
        </w:tc>
        <w:tc>
          <w:tcPr>
            <w:tcW w:w="3580" w:type="dxa"/>
            <w:vAlign w:val="bottom"/>
            <w:tcBorders>
              <w:right w:val="single" w:sz="8" w:color="auto"/>
            </w:tcBorders>
          </w:tcPr>
          <w:p>
            <w:pPr>
              <w:spacing w:after="0"/>
              <w:rPr>
                <w:sz w:val="18"/>
                <w:szCs w:val="18"/>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other period specified in the transaction agreements; (B) interest on</w:t>
            </w:r>
          </w:p>
        </w:tc>
        <w:tc>
          <w:tcPr>
            <w:tcW w:w="3580" w:type="dxa"/>
            <w:vAlign w:val="bottom"/>
            <w:tcBorders>
              <w:right w:val="single" w:sz="8" w:color="auto"/>
            </w:tcBorders>
          </w:tcPr>
          <w:p>
            <w:pPr>
              <w:spacing w:after="0"/>
              <w:rPr>
                <w:sz w:val="18"/>
                <w:szCs w:val="18"/>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such funds is paid, or credited, to obligors in accordance with</w:t>
            </w:r>
          </w:p>
        </w:tc>
        <w:tc>
          <w:tcPr>
            <w:tcW w:w="3580" w:type="dxa"/>
            <w:vAlign w:val="bottom"/>
            <w:tcBorders>
              <w:right w:val="single" w:sz="8" w:color="auto"/>
            </w:tcBorders>
          </w:tcPr>
          <w:p>
            <w:pPr>
              <w:spacing w:after="0"/>
              <w:rPr>
                <w:sz w:val="18"/>
                <w:szCs w:val="18"/>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applicable pool asset documents and state laws; and (C) such funds are</w:t>
            </w:r>
          </w:p>
        </w:tc>
        <w:tc>
          <w:tcPr>
            <w:tcW w:w="3580" w:type="dxa"/>
            <w:vAlign w:val="bottom"/>
            <w:tcBorders>
              <w:right w:val="single" w:sz="8" w:color="auto"/>
            </w:tcBorders>
          </w:tcPr>
          <w:p>
            <w:pPr>
              <w:spacing w:after="0"/>
              <w:rPr>
                <w:sz w:val="18"/>
                <w:szCs w:val="18"/>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returned to the obligor within 30 calendar days of full repayment of the</w:t>
            </w:r>
          </w:p>
        </w:tc>
        <w:tc>
          <w:tcPr>
            <w:tcW w:w="3580" w:type="dxa"/>
            <w:vAlign w:val="bottom"/>
            <w:tcBorders>
              <w:right w:val="single" w:sz="8" w:color="auto"/>
            </w:tcBorders>
          </w:tcPr>
          <w:p>
            <w:pPr>
              <w:spacing w:after="0"/>
              <w:rPr>
                <w:sz w:val="18"/>
                <w:szCs w:val="18"/>
                <w:color w:val="auto"/>
              </w:rPr>
            </w:pP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related pool assets, or such other number of days specified in the</w:t>
            </w:r>
          </w:p>
        </w:tc>
        <w:tc>
          <w:tcPr>
            <w:tcW w:w="3580" w:type="dxa"/>
            <w:vAlign w:val="bottom"/>
            <w:tcBorders>
              <w:right w:val="single" w:sz="8" w:color="auto"/>
            </w:tcBorders>
          </w:tcPr>
          <w:p>
            <w:pPr>
              <w:spacing w:after="0"/>
              <w:rPr>
                <w:sz w:val="18"/>
                <w:szCs w:val="18"/>
                <w:color w:val="auto"/>
              </w:rPr>
            </w:pPr>
          </w:p>
        </w:tc>
      </w:tr>
      <w:tr>
        <w:trPr>
          <w:trHeight w:val="234"/>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transaction agreements.</w:t>
            </w:r>
          </w:p>
        </w:tc>
        <w:tc>
          <w:tcPr>
            <w:tcW w:w="3580" w:type="dxa"/>
            <w:vAlign w:val="bottom"/>
            <w:tcBorders>
              <w:bottom w:val="single" w:sz="8" w:color="auto"/>
              <w:right w:val="single" w:sz="8" w:color="auto"/>
            </w:tcBorders>
          </w:tcPr>
          <w:p>
            <w:pPr>
              <w:spacing w:after="0"/>
              <w:rPr>
                <w:sz w:val="20"/>
                <w:szCs w:val="20"/>
                <w:color w:val="auto"/>
              </w:rPr>
            </w:pPr>
          </w:p>
        </w:tc>
      </w:tr>
      <w:tr>
        <w:trPr>
          <w:trHeight w:val="218"/>
        </w:trPr>
        <w:tc>
          <w:tcPr>
            <w:tcW w:w="24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1122(d)(4)(xi)</w:t>
            </w: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Payments made on behalf of an obligor (such as tax or insurance</w:t>
            </w:r>
          </w:p>
        </w:tc>
        <w:tc>
          <w:tcPr>
            <w:tcW w:w="35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Not applicable; Servicer does not make</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payments) are made on or before the related penalty or expiration</w:t>
            </w:r>
          </w:p>
        </w:tc>
        <w:tc>
          <w:tcPr>
            <w:tcW w:w="35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payments on behalf of obligors.</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dates, as indicated on the appropriate bills or notices for such</w:t>
            </w:r>
          </w:p>
        </w:tc>
        <w:tc>
          <w:tcPr>
            <w:tcW w:w="3580" w:type="dxa"/>
            <w:vAlign w:val="bottom"/>
            <w:tcBorders>
              <w:right w:val="single" w:sz="8" w:color="auto"/>
            </w:tcBorders>
          </w:tcPr>
          <w:p>
            <w:pPr>
              <w:spacing w:after="0"/>
              <w:rPr>
                <w:sz w:val="18"/>
                <w:szCs w:val="18"/>
                <w:color w:val="auto"/>
              </w:rPr>
            </w:pPr>
          </w:p>
        </w:tc>
      </w:tr>
      <w:tr>
        <w:trPr>
          <w:trHeight w:val="234"/>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payments, provided that such support has been received by the</w:t>
            </w:r>
          </w:p>
        </w:tc>
        <w:tc>
          <w:tcPr>
            <w:tcW w:w="3580" w:type="dxa"/>
            <w:vAlign w:val="bottom"/>
            <w:tcBorders>
              <w:bottom w:val="single" w:sz="8" w:color="auto"/>
              <w:right w:val="single" w:sz="8" w:color="auto"/>
            </w:tcBorders>
          </w:tcPr>
          <w:p>
            <w:pPr>
              <w:spacing w:after="0"/>
              <w:rPr>
                <w:sz w:val="20"/>
                <w:szCs w:val="20"/>
                <w:color w:val="auto"/>
              </w:rPr>
            </w:pPr>
          </w:p>
        </w:tc>
      </w:tr>
      <w:tr>
        <w:trPr>
          <w:trHeight w:val="218"/>
        </w:trPr>
        <w:tc>
          <w:tcPr>
            <w:tcW w:w="240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servicer at least 30 calendar days prior to these dates, or such other</w:t>
            </w:r>
          </w:p>
        </w:tc>
        <w:tc>
          <w:tcPr>
            <w:tcW w:w="3580" w:type="dxa"/>
            <w:vAlign w:val="bottom"/>
            <w:tcBorders>
              <w:right w:val="single" w:sz="8" w:color="auto"/>
            </w:tcBorders>
          </w:tcPr>
          <w:p>
            <w:pPr>
              <w:spacing w:after="0"/>
              <w:rPr>
                <w:sz w:val="18"/>
                <w:szCs w:val="18"/>
                <w:color w:val="auto"/>
              </w:rPr>
            </w:pPr>
          </w:p>
        </w:tc>
      </w:tr>
      <w:tr>
        <w:trPr>
          <w:trHeight w:val="234"/>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number of days specified in the transaction agreements.</w:t>
            </w:r>
          </w:p>
        </w:tc>
        <w:tc>
          <w:tcPr>
            <w:tcW w:w="3580" w:type="dxa"/>
            <w:vAlign w:val="bottom"/>
            <w:tcBorders>
              <w:bottom w:val="single" w:sz="8" w:color="auto"/>
              <w:right w:val="single" w:sz="8" w:color="auto"/>
            </w:tcBorders>
          </w:tcPr>
          <w:p>
            <w:pPr>
              <w:spacing w:after="0"/>
              <w:rPr>
                <w:sz w:val="20"/>
                <w:szCs w:val="20"/>
                <w:color w:val="auto"/>
              </w:rPr>
            </w:pPr>
          </w:p>
        </w:tc>
      </w:tr>
      <w:tr>
        <w:trPr>
          <w:trHeight w:val="695"/>
        </w:trPr>
        <w:tc>
          <w:tcPr>
            <w:tcW w:w="2400" w:type="dxa"/>
            <w:vAlign w:val="bottom"/>
            <w:tcBorders>
              <w:bottom w:val="single" w:sz="8" w:color="auto"/>
            </w:tcBorders>
          </w:tcPr>
          <w:p>
            <w:pPr>
              <w:spacing w:after="0"/>
              <w:rPr>
                <w:sz w:val="24"/>
                <w:szCs w:val="24"/>
                <w:color w:val="auto"/>
              </w:rPr>
            </w:pPr>
          </w:p>
        </w:tc>
        <w:tc>
          <w:tcPr>
            <w:tcW w:w="5260" w:type="dxa"/>
            <w:vAlign w:val="bottom"/>
            <w:tcBorders>
              <w:bottom w:val="single" w:sz="8" w:color="auto"/>
            </w:tcBorders>
          </w:tcPr>
          <w:p>
            <w:pPr>
              <w:spacing w:after="0"/>
              <w:rPr>
                <w:sz w:val="24"/>
                <w:szCs w:val="24"/>
                <w:color w:val="auto"/>
              </w:rPr>
            </w:pPr>
          </w:p>
        </w:tc>
        <w:tc>
          <w:tcPr>
            <w:tcW w:w="35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3" w:right="339" w:bottom="1440" w:gutter="0" w:footer="0" w:header="0"/>
        </w:sectPr>
      </w:pPr>
    </w:p>
    <w:bookmarkStart w:id="15" w:name="page16"/>
    <w:bookmarkEnd w:id="1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38"/>
        </w:trPr>
        <w:tc>
          <w:tcPr>
            <w:tcW w:w="2400" w:type="dxa"/>
            <w:vAlign w:val="bottom"/>
            <w:tcBorders>
              <w:top w:val="single" w:sz="8" w:color="auto"/>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1122(d)(4)(xii)</w:t>
            </w:r>
          </w:p>
        </w:tc>
        <w:tc>
          <w:tcPr>
            <w:tcW w:w="5260" w:type="dxa"/>
            <w:vAlign w:val="bottom"/>
            <w:tcBorders>
              <w:top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Any late payment penalties in connection with any payment to be</w:t>
            </w:r>
          </w:p>
        </w:tc>
        <w:tc>
          <w:tcPr>
            <w:tcW w:w="3580" w:type="dxa"/>
            <w:vAlign w:val="bottom"/>
            <w:tcBorders>
              <w:top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Not applicable; Servicer cannot make advances</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made on behalf of an obligor are paid from the servicer’s funds and not</w:t>
            </w:r>
          </w:p>
        </w:tc>
        <w:tc>
          <w:tcPr>
            <w:tcW w:w="35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of its own funds on behalf of customers under</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charged to the obligor unless the late payment was due to the obligor’s</w:t>
            </w:r>
          </w:p>
        </w:tc>
        <w:tc>
          <w:tcPr>
            <w:tcW w:w="35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the transaction agreements.</w:t>
            </w:r>
          </w:p>
        </w:tc>
      </w:tr>
      <w:tr>
        <w:trPr>
          <w:trHeight w:val="234"/>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error or omission.</w:t>
            </w:r>
          </w:p>
        </w:tc>
        <w:tc>
          <w:tcPr>
            <w:tcW w:w="3580" w:type="dxa"/>
            <w:vAlign w:val="bottom"/>
            <w:tcBorders>
              <w:bottom w:val="single" w:sz="8" w:color="auto"/>
              <w:right w:val="single" w:sz="8" w:color="auto"/>
            </w:tcBorders>
          </w:tcPr>
          <w:p>
            <w:pPr>
              <w:spacing w:after="0"/>
              <w:rPr>
                <w:sz w:val="20"/>
                <w:szCs w:val="20"/>
                <w:color w:val="auto"/>
              </w:rPr>
            </w:pPr>
          </w:p>
        </w:tc>
      </w:tr>
      <w:tr>
        <w:trPr>
          <w:trHeight w:val="218"/>
        </w:trPr>
        <w:tc>
          <w:tcPr>
            <w:tcW w:w="24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1122(d)(4)(xiii)</w:t>
            </w: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Disbursements made on behalf of an obligor are posted within two</w:t>
            </w:r>
          </w:p>
        </w:tc>
        <w:tc>
          <w:tcPr>
            <w:tcW w:w="35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Not applicable; Servicer cannot make advances</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Business Days to the obligor’s records maintained by the servicer, or</w:t>
            </w:r>
          </w:p>
        </w:tc>
        <w:tc>
          <w:tcPr>
            <w:tcW w:w="35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of its own funds on behalf of customers to pay</w:t>
            </w:r>
          </w:p>
        </w:tc>
      </w:tr>
      <w:tr>
        <w:trPr>
          <w:trHeight w:val="234"/>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such other number of days specified in the transaction agreements.</w:t>
            </w:r>
          </w:p>
        </w:tc>
        <w:tc>
          <w:tcPr>
            <w:tcW w:w="3580" w:type="dxa"/>
            <w:vAlign w:val="bottom"/>
            <w:tcBorders>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principal or interest on the bonds.</w:t>
            </w:r>
          </w:p>
        </w:tc>
      </w:tr>
      <w:tr>
        <w:trPr>
          <w:trHeight w:val="218"/>
        </w:trPr>
        <w:tc>
          <w:tcPr>
            <w:tcW w:w="24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1122(d)(4)(xiv)</w:t>
            </w: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Delinquencies, charge-offs and uncollectible accounts are recognized</w:t>
            </w:r>
          </w:p>
        </w:tc>
        <w:tc>
          <w:tcPr>
            <w:tcW w:w="35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Applicable; assessment below.</w:t>
            </w:r>
          </w:p>
        </w:tc>
      </w:tr>
      <w:tr>
        <w:trPr>
          <w:trHeight w:val="234"/>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and recorded in accordance with the transaction agreements.</w:t>
            </w:r>
          </w:p>
        </w:tc>
        <w:tc>
          <w:tcPr>
            <w:tcW w:w="3580" w:type="dxa"/>
            <w:vAlign w:val="bottom"/>
            <w:tcBorders>
              <w:bottom w:val="single" w:sz="8" w:color="auto"/>
              <w:right w:val="single" w:sz="8" w:color="auto"/>
            </w:tcBorders>
          </w:tcPr>
          <w:p>
            <w:pPr>
              <w:spacing w:after="0"/>
              <w:rPr>
                <w:sz w:val="20"/>
                <w:szCs w:val="20"/>
                <w:color w:val="auto"/>
              </w:rPr>
            </w:pPr>
          </w:p>
        </w:tc>
      </w:tr>
      <w:tr>
        <w:trPr>
          <w:trHeight w:val="218"/>
        </w:trPr>
        <w:tc>
          <w:tcPr>
            <w:tcW w:w="2400" w:type="dxa"/>
            <w:vAlign w:val="bottom"/>
            <w:tcBorders>
              <w:left w:val="single" w:sz="8" w:color="auto"/>
              <w:right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1122(d)(4)(xv)</w:t>
            </w: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Any external enhancement or other support, identified in Item 1114(a)</w:t>
            </w:r>
          </w:p>
        </w:tc>
        <w:tc>
          <w:tcPr>
            <w:tcW w:w="35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Not applicable; no external enhancement is</w:t>
            </w:r>
          </w:p>
        </w:tc>
      </w:tr>
      <w:tr>
        <w:trPr>
          <w:trHeight w:val="216"/>
        </w:trPr>
        <w:tc>
          <w:tcPr>
            <w:tcW w:w="2400" w:type="dxa"/>
            <w:vAlign w:val="bottom"/>
            <w:tcBorders>
              <w:left w:val="single" w:sz="8" w:color="auto"/>
              <w:right w:val="single" w:sz="8" w:color="auto"/>
            </w:tcBorders>
          </w:tcPr>
          <w:p>
            <w:pPr>
              <w:spacing w:after="0"/>
              <w:rPr>
                <w:sz w:val="18"/>
                <w:szCs w:val="18"/>
                <w:color w:val="auto"/>
              </w:rPr>
            </w:pPr>
          </w:p>
        </w:tc>
        <w:tc>
          <w:tcPr>
            <w:tcW w:w="5260" w:type="dxa"/>
            <w:vAlign w:val="bottom"/>
            <w:tcBorders>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(1) through (3) or Item 1115 of Regulation AB, is maintained as set</w:t>
            </w:r>
          </w:p>
        </w:tc>
        <w:tc>
          <w:tcPr>
            <w:tcW w:w="358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required under the transaction agreements.</w:t>
            </w:r>
          </w:p>
        </w:tc>
      </w:tr>
      <w:tr>
        <w:trPr>
          <w:trHeight w:val="234"/>
        </w:trPr>
        <w:tc>
          <w:tcPr>
            <w:tcW w:w="2400" w:type="dxa"/>
            <w:vAlign w:val="bottom"/>
            <w:tcBorders>
              <w:left w:val="single" w:sz="8" w:color="auto"/>
              <w:bottom w:val="single" w:sz="8" w:color="auto"/>
              <w:right w:val="single" w:sz="8" w:color="auto"/>
            </w:tcBorders>
          </w:tcPr>
          <w:p>
            <w:pPr>
              <w:spacing w:after="0"/>
              <w:rPr>
                <w:sz w:val="20"/>
                <w:szCs w:val="20"/>
                <w:color w:val="auto"/>
              </w:rPr>
            </w:pPr>
          </w:p>
        </w:tc>
        <w:tc>
          <w:tcPr>
            <w:tcW w:w="5260" w:type="dxa"/>
            <w:vAlign w:val="bottom"/>
            <w:tcBorders>
              <w:bottom w:val="single" w:sz="8" w:color="auto"/>
              <w:right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forth in the transaction agreements.</w:t>
            </w:r>
          </w:p>
        </w:tc>
        <w:tc>
          <w:tcPr>
            <w:tcW w:w="3580" w:type="dxa"/>
            <w:vAlign w:val="bottom"/>
            <w:tcBorders>
              <w:bottom w:val="single" w:sz="8" w:color="auto"/>
              <w:right w:val="single" w:sz="8" w:color="auto"/>
            </w:tcBorders>
          </w:tcPr>
          <w:p>
            <w:pPr>
              <w:spacing w:after="0"/>
              <w:rPr>
                <w:sz w:val="20"/>
                <w:szCs w:val="20"/>
                <w:color w:val="auto"/>
              </w:rPr>
            </w:pPr>
          </w:p>
        </w:tc>
      </w:tr>
    </w:tbl>
    <w:p>
      <w:pPr>
        <w:spacing w:after="0" w:line="198" w:lineRule="exact"/>
        <w:rPr>
          <w:sz w:val="20"/>
          <w:szCs w:val="20"/>
          <w:color w:val="auto"/>
        </w:rPr>
      </w:pPr>
    </w:p>
    <w:p>
      <w:pPr>
        <w:ind w:left="660" w:right="420" w:hanging="652"/>
        <w:spacing w:after="0" w:line="312" w:lineRule="auto"/>
        <w:tabs>
          <w:tab w:leader="none" w:pos="66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best of the undersigned’s knowledge, based on such review, the Servicer is in compliance in all material respects with the applicable servicing criteria set forth above as of and for the period ended the end of the fiscal year covered by the Issuer’s annual report on Form 10-K.</w:t>
      </w:r>
    </w:p>
    <w:p>
      <w:pPr>
        <w:spacing w:after="0" w:line="139" w:lineRule="exact"/>
        <w:rPr>
          <w:rFonts w:ascii="Times New Roman" w:cs="Times New Roman" w:eastAsia="Times New Roman" w:hAnsi="Times New Roman"/>
          <w:sz w:val="17"/>
          <w:szCs w:val="17"/>
          <w:color w:val="auto"/>
        </w:rPr>
      </w:pPr>
    </w:p>
    <w:p>
      <w:pPr>
        <w:ind w:left="660" w:right="320" w:hanging="652"/>
        <w:spacing w:after="0" w:line="266" w:lineRule="auto"/>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registered independent public accounting firm has issued an attestation report in accordance with Section 1122(b) of Regulation AB on its assessment of compliance with the applicable servicing criteria as of and for the period ended the end of the fiscal year covered by the Issuer’s annual report on Form 10-K.</w:t>
      </w:r>
    </w:p>
    <w:p>
      <w:pPr>
        <w:spacing w:after="0" w:line="175" w:lineRule="exact"/>
        <w:rPr>
          <w:rFonts w:ascii="Times New Roman" w:cs="Times New Roman" w:eastAsia="Times New Roman" w:hAnsi="Times New Roman"/>
          <w:sz w:val="18"/>
          <w:szCs w:val="18"/>
          <w:color w:val="auto"/>
        </w:rPr>
      </w:pPr>
    </w:p>
    <w:p>
      <w:pPr>
        <w:ind w:left="660" w:hanging="652"/>
        <w:spacing w:after="0"/>
        <w:tabs>
          <w:tab w:leader="none" w:pos="66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Capitalized terms used but not defined herein have their respective meanings as set forth in the Servicing Agreement.</w:t>
      </w:r>
    </w:p>
    <w:p>
      <w:pPr>
        <w:spacing w:after="0" w:line="228"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WITNESS WHEREOF, the undersigned has duly executed and delivered this Servicer Annual Certificate this 27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day of March, 2025.</w:t>
      </w:r>
    </w:p>
    <w:p>
      <w:pPr>
        <w:spacing w:after="0" w:line="1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SOUTHERN INDIANA GAS AND ELECTRIC COMPANY d/b/a</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CenterPoint Energy Indiana South, as Servicer</w:t>
      </w:r>
    </w:p>
    <w:p>
      <w:pPr>
        <w:spacing w:after="0" w:line="20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Patricia L. Martin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3343275"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3343275"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Patricia L. Martin</w:t>
      </w:r>
    </w:p>
    <w:p>
      <w:pPr>
        <w:spacing w:after="0" w:line="23" w:lineRule="exact"/>
        <w:rPr>
          <w:sz w:val="20"/>
          <w:szCs w:val="20"/>
          <w:color w:val="auto"/>
        </w:rPr>
      </w:pPr>
    </w:p>
    <w:p>
      <w:pPr>
        <w:ind w:left="5980"/>
        <w:spacing w:after="0"/>
        <w:tabs>
          <w:tab w:leader="none" w:pos="65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Vice President and Treasurer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30" w:right="339" w:bottom="1440" w:gutter="0" w:footer="0" w:header="0"/>
        </w:sectPr>
      </w:pPr>
    </w:p>
    <w:bookmarkStart w:id="16" w:name="page17"/>
    <w:bookmarkEnd w:id="16"/>
    <w:p>
      <w:pPr>
        <w:jc w:val="right"/>
        <w:spacing w:after="0"/>
        <w:rPr>
          <w:sz w:val="20"/>
          <w:szCs w:val="20"/>
          <w:color w:val="auto"/>
        </w:rPr>
      </w:pPr>
      <w:r>
        <w:rPr>
          <w:rFonts w:ascii="Times New Roman" w:cs="Times New Roman" w:eastAsia="Times New Roman" w:hAnsi="Times New Roman"/>
          <w:sz w:val="18"/>
          <w:szCs w:val="18"/>
          <w:b w:val="1"/>
          <w:bCs w:val="1"/>
          <w:color w:val="auto"/>
        </w:rPr>
        <w:t>Exhibit 33.2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ASSERTION OF COMPLIANCE WITH APPLICABLE SERVICING CRITERIA</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MANAGEMENT’S ASSERTION OF COMPLIANCE</w:t>
      </w:r>
    </w:p>
    <w:p>
      <w:pPr>
        <w:spacing w:after="0" w:line="207" w:lineRule="exact"/>
        <w:rPr>
          <w:sz w:val="20"/>
          <w:szCs w:val="20"/>
          <w:color w:val="auto"/>
        </w:rPr>
      </w:pPr>
    </w:p>
    <w:p>
      <w:pPr>
        <w:spacing w:after="0" w:line="269" w:lineRule="auto"/>
        <w:rPr>
          <w:sz w:val="20"/>
          <w:szCs w:val="20"/>
          <w:color w:val="auto"/>
        </w:rPr>
      </w:pPr>
      <w:r>
        <w:rPr>
          <w:rFonts w:ascii="Times New Roman" w:cs="Times New Roman" w:eastAsia="Times New Roman" w:hAnsi="Times New Roman"/>
          <w:sz w:val="18"/>
          <w:szCs w:val="18"/>
          <w:color w:val="auto"/>
        </w:rPr>
        <w:t>Management of U.S. Bank National Association and U.S. Bank Trust Company, National Association (collectively “U.S. Bank”) is responsible for assessing compliance as of and for the year ended December 31, 2024 with the servicing criteria set forth in Item 1122 (d) of Regulation AB applicable to it as set forth on Exhibit A hereto. This report covers asset backed securities transactions within the U.S. Bank Corporate Trust Asset-Backed Securities Platform</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(the “Platform”)</w:t>
      </w:r>
    </w:p>
    <w:p>
      <w:pPr>
        <w:spacing w:after="0" w:line="51" w:lineRule="exact"/>
        <w:rPr>
          <w:sz w:val="20"/>
          <w:szCs w:val="20"/>
          <w:color w:val="auto"/>
        </w:rPr>
      </w:pPr>
    </w:p>
    <w:p>
      <w:pPr>
        <w:ind w:right="640"/>
        <w:spacing w:after="0" w:line="282" w:lineRule="auto"/>
        <w:rPr>
          <w:sz w:val="20"/>
          <w:szCs w:val="20"/>
          <w:color w:val="auto"/>
        </w:rPr>
      </w:pPr>
      <w:r>
        <w:rPr>
          <w:rFonts w:ascii="Times New Roman" w:cs="Times New Roman" w:eastAsia="Times New Roman" w:hAnsi="Times New Roman"/>
          <w:sz w:val="18"/>
          <w:szCs w:val="18"/>
          <w:color w:val="auto"/>
        </w:rPr>
        <w:t>U.S. Bank hereby provides the following report on its assessment of compliance with the servicing criteria set forth in Item 1122 of Regulation AB applicable to it and as described on Exhibit A hereto:</w:t>
      </w:r>
    </w:p>
    <w:p>
      <w:pPr>
        <w:spacing w:after="0" w:line="162"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Bank is responsible for assessing its compliance with the servicing criteria applicable to it as noted on the accompanying Exhibit A;</w:t>
      </w:r>
    </w:p>
    <w:p>
      <w:pPr>
        <w:spacing w:after="0" w:line="225" w:lineRule="exact"/>
        <w:rPr>
          <w:rFonts w:ascii="Times New Roman" w:cs="Times New Roman" w:eastAsia="Times New Roman" w:hAnsi="Times New Roman"/>
          <w:sz w:val="18"/>
          <w:szCs w:val="18"/>
          <w:color w:val="auto"/>
        </w:rPr>
      </w:pPr>
    </w:p>
    <w:p>
      <w:pPr>
        <w:ind w:left="660" w:right="64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paragraph 3 below, U.S. Bank used the criteria set forth in paragraph (d) of Item 1122 of Regulation AB to assess its compliance with the applicable servicing criteria;</w:t>
      </w:r>
    </w:p>
    <w:p>
      <w:pPr>
        <w:spacing w:after="0" w:line="161" w:lineRule="exact"/>
        <w:rPr>
          <w:rFonts w:ascii="Times New Roman" w:cs="Times New Roman" w:eastAsia="Times New Roman" w:hAnsi="Times New Roman"/>
          <w:sz w:val="18"/>
          <w:szCs w:val="18"/>
          <w:color w:val="auto"/>
        </w:rPr>
      </w:pPr>
    </w:p>
    <w:p>
      <w:pPr>
        <w:ind w:left="660" w:right="18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criteria listed in the column titled “Inapplicable Servicing Criteria” on Exhibit A hereto are inapplicable to U.S. Bank based on the servicing activities it performs directly with respect to the Platform;</w:t>
      </w:r>
    </w:p>
    <w:p>
      <w:pPr>
        <w:spacing w:after="0" w:line="16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 Bank has complied, in all material respects, with the applicable servicing criteria as of and for the year ended December 31, 2024; and</w:t>
      </w:r>
    </w:p>
    <w:p>
      <w:pPr>
        <w:spacing w:after="0" w:line="225" w:lineRule="exact"/>
        <w:rPr>
          <w:rFonts w:ascii="Times New Roman" w:cs="Times New Roman" w:eastAsia="Times New Roman" w:hAnsi="Times New Roman"/>
          <w:sz w:val="18"/>
          <w:szCs w:val="18"/>
          <w:color w:val="auto"/>
        </w:rPr>
      </w:pPr>
    </w:p>
    <w:p>
      <w:pPr>
        <w:ind w:left="660" w:right="52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Ernst &amp; Young, LLP, a registered public accounting firm, has issued an attestation report on U.S. Bank’s assessment of compliance with the applicable servicing criteria as of and for the year ended 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114300</wp:posOffset>
            </wp:positionV>
            <wp:extent cx="178308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09" w:lineRule="exact"/>
        <w:rPr>
          <w:sz w:val="20"/>
          <w:szCs w:val="20"/>
          <w:color w:val="auto"/>
        </w:rPr>
      </w:pPr>
    </w:p>
    <w:p>
      <w:pPr>
        <w:ind w:right="180" w:firstLine="8"/>
        <w:spacing w:after="0" w:line="219" w:lineRule="auto"/>
        <w:tabs>
          <w:tab w:leader="none" w:pos="120" w:val="left"/>
        </w:tabs>
        <w:numPr>
          <w:ilvl w:val="0"/>
          <w:numId w:val="11"/>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The U.S. Bank Corporate Trust Asset-Backed Securities Platform (the "Platform") consists of the activities involved in the performance of servicing functions for which the Company provides trustee, securities administration, registrar, paying agent and document custody services for (i) publicly issued asset-backed and mortgage-backed transactions the securities of which were offered on or after January 1, 2006 and (ii) certain asset-backed transactions for which the Issuer has voluntarily elected to make Regulation AB compliant filings under the Securities Exchange Act of 1934,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437515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color w:val="auto"/>
        </w:rPr>
        <w:t>U.S. BANK NATIONAL ASSOCIATION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Jeff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Jeff Kerr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Executive Vice 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U.S. BANK TRUST COMPANY, NATIONAL ASSOCIATION</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Jeff Kerr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356616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Jeff Kerr</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Title: Executive Vice President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February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445770</wp:posOffset>
            </wp:positionV>
            <wp:extent cx="713232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904" w:right="1440" w:bottom="1440" w:gutter="0" w:footer="0" w:header="0"/>
        </w:sectPr>
      </w:pPr>
    </w:p>
    <w:bookmarkStart w:id="18" w:name="page19"/>
    <w:bookmarkEnd w:id="18"/>
    <w:p>
      <w:pPr>
        <w:jc w:val="center"/>
        <w:spacing w:after="0"/>
        <w:rPr>
          <w:sz w:val="20"/>
          <w:szCs w:val="20"/>
          <w:color w:val="auto"/>
        </w:rPr>
      </w:pPr>
      <w:r>
        <w:rPr>
          <w:rFonts w:ascii="Times New Roman" w:cs="Times New Roman" w:eastAsia="Times New Roman" w:hAnsi="Times New Roman"/>
          <w:sz w:val="18"/>
          <w:szCs w:val="18"/>
          <w:b w:val="1"/>
          <w:bCs w:val="1"/>
          <w:color w:val="auto"/>
        </w:rPr>
        <w:t>EXHIBIT A to Management’s Assertion</w:t>
      </w:r>
    </w:p>
    <w:p>
      <w:pPr>
        <w:spacing w:after="0" w:line="227"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620" w:type="dxa"/>
            <w:vAlign w:val="bottom"/>
            <w:tcBorders>
              <w:top w:val="single" w:sz="8" w:color="auto"/>
              <w:left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Reference</w:t>
            </w:r>
          </w:p>
        </w:tc>
        <w:tc>
          <w:tcPr>
            <w:tcW w:w="1200" w:type="dxa"/>
            <w:vAlign w:val="bottom"/>
            <w:tcBorders>
              <w:top w:val="single" w:sz="8" w:color="auto"/>
            </w:tcBorders>
          </w:tcPr>
          <w:p>
            <w:pPr>
              <w:spacing w:after="0"/>
              <w:rPr>
                <w:sz w:val="18"/>
                <w:szCs w:val="18"/>
                <w:color w:val="auto"/>
              </w:rPr>
            </w:pPr>
          </w:p>
        </w:tc>
        <w:tc>
          <w:tcPr>
            <w:tcW w:w="5300" w:type="dxa"/>
            <w:vAlign w:val="bottom"/>
            <w:tcBorders>
              <w:top w:val="single" w:sz="8" w:color="auto"/>
              <w:right w:val="single" w:sz="8" w:color="auto"/>
            </w:tcBorders>
            <w:gridSpan w:val="5"/>
          </w:tcPr>
          <w:p>
            <w:pPr>
              <w:ind w:left="1340"/>
              <w:spacing w:after="0"/>
              <w:rPr>
                <w:sz w:val="20"/>
                <w:szCs w:val="20"/>
                <w:color w:val="auto"/>
              </w:rPr>
            </w:pPr>
            <w:r>
              <w:rPr>
                <w:rFonts w:ascii="Times New Roman" w:cs="Times New Roman" w:eastAsia="Times New Roman" w:hAnsi="Times New Roman"/>
                <w:sz w:val="18"/>
                <w:szCs w:val="18"/>
                <w:b w:val="1"/>
                <w:bCs w:val="1"/>
                <w:color w:val="auto"/>
              </w:rPr>
              <w:t>Servicing Criteria</w:t>
            </w:r>
          </w:p>
        </w:tc>
        <w:tc>
          <w:tcPr>
            <w:tcW w:w="1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Applicable</w:t>
            </w:r>
          </w:p>
        </w:tc>
        <w:tc>
          <w:tcPr>
            <w:tcW w:w="1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Inapplicable</w:t>
            </w:r>
          </w:p>
        </w:tc>
      </w:tr>
      <w:tr>
        <w:trPr>
          <w:trHeight w:val="216"/>
        </w:trPr>
        <w:tc>
          <w:tcPr>
            <w:tcW w:w="1620" w:type="dxa"/>
            <w:vAlign w:val="bottom"/>
            <w:tcBorders>
              <w:left w:val="single" w:sz="8" w:color="auto"/>
              <w:right w:val="single" w:sz="8" w:color="auto"/>
            </w:tcBorders>
          </w:tcPr>
          <w:p>
            <w:pPr>
              <w:spacing w:after="0"/>
              <w:rPr>
                <w:sz w:val="18"/>
                <w:szCs w:val="18"/>
                <w:color w:val="auto"/>
              </w:rPr>
            </w:pPr>
          </w:p>
        </w:tc>
        <w:tc>
          <w:tcPr>
            <w:tcW w:w="120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Servicing</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Servicing Criteria</w:t>
            </w:r>
          </w:p>
        </w:tc>
      </w:tr>
      <w:tr>
        <w:trPr>
          <w:trHeight w:val="238"/>
        </w:trPr>
        <w:tc>
          <w:tcPr>
            <w:tcW w:w="1620" w:type="dxa"/>
            <w:vAlign w:val="bottom"/>
            <w:tcBorders>
              <w:left w:val="single" w:sz="8" w:color="auto"/>
              <w:bottom w:val="single" w:sz="8" w:color="auto"/>
              <w:right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Criteria</w:t>
            </w:r>
          </w:p>
        </w:tc>
        <w:tc>
          <w:tcPr>
            <w:tcW w:w="1780" w:type="dxa"/>
            <w:vAlign w:val="bottom"/>
            <w:tcBorders>
              <w:bottom w:val="single" w:sz="8" w:color="auto"/>
              <w:right w:val="single" w:sz="8" w:color="auto"/>
            </w:tcBorders>
          </w:tcPr>
          <w:p>
            <w:pPr>
              <w:spacing w:after="0"/>
              <w:rPr>
                <w:sz w:val="20"/>
                <w:szCs w:val="20"/>
                <w:color w:val="auto"/>
              </w:rPr>
            </w:pPr>
          </w:p>
        </w:tc>
      </w:tr>
      <w:tr>
        <w:trPr>
          <w:trHeight w:val="345"/>
        </w:trPr>
        <w:tc>
          <w:tcPr>
            <w:tcW w:w="1620" w:type="dxa"/>
            <w:vAlign w:val="bottom"/>
            <w:tcBorders>
              <w:lef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3880" w:type="dxa"/>
            <w:vAlign w:val="bottom"/>
            <w:gridSpan w:val="4"/>
          </w:tcPr>
          <w:p>
            <w:pPr>
              <w:jc w:val="center"/>
              <w:ind w:right="1120"/>
              <w:spacing w:after="0"/>
              <w:rPr>
                <w:sz w:val="20"/>
                <w:szCs w:val="20"/>
                <w:color w:val="auto"/>
              </w:rPr>
            </w:pPr>
            <w:r>
              <w:rPr>
                <w:rFonts w:ascii="Times New Roman" w:cs="Times New Roman" w:eastAsia="Times New Roman" w:hAnsi="Times New Roman"/>
                <w:sz w:val="18"/>
                <w:szCs w:val="18"/>
                <w:b w:val="1"/>
                <w:bCs w:val="1"/>
                <w:color w:val="auto"/>
              </w:rPr>
              <w:t>General Servicing Considerations</w:t>
            </w:r>
          </w:p>
        </w:tc>
        <w:tc>
          <w:tcPr>
            <w:tcW w:w="1340" w:type="dxa"/>
            <w:vAlign w:val="bottom"/>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r>
      <w:tr>
        <w:trPr>
          <w:trHeight w:val="101"/>
        </w:trPr>
        <w:tc>
          <w:tcPr>
            <w:tcW w:w="1620" w:type="dxa"/>
            <w:vAlign w:val="bottom"/>
            <w:tcBorders>
              <w:left w:val="single" w:sz="8" w:color="auto"/>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600" w:type="dxa"/>
            <w:vAlign w:val="bottom"/>
            <w:tcBorders>
              <w:top w:val="single" w:sz="8" w:color="auto"/>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780" w:type="dxa"/>
            <w:vAlign w:val="bottom"/>
            <w:tcBorders>
              <w:bottom w:val="single" w:sz="8" w:color="auto"/>
              <w:right w:val="single" w:sz="8" w:color="auto"/>
            </w:tcBorders>
          </w:tcPr>
          <w:p>
            <w:pPr>
              <w:spacing w:after="0"/>
              <w:rPr>
                <w:sz w:val="8"/>
                <w:szCs w:val="8"/>
                <w:color w:val="auto"/>
              </w:rPr>
            </w:pPr>
          </w:p>
        </w:tc>
      </w:tr>
      <w:tr>
        <w:trPr>
          <w:trHeight w:val="407"/>
        </w:trPr>
        <w:tc>
          <w:tcPr>
            <w:tcW w:w="1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1122(d)(1)(i)</w:t>
            </w:r>
          </w:p>
        </w:tc>
        <w:tc>
          <w:tcPr>
            <w:tcW w:w="650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Policies and procedures are instituted to monitor any performance or other triggers and</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c>
          <w:tcPr>
            <w:tcW w:w="1780" w:type="dxa"/>
            <w:vAlign w:val="bottom"/>
            <w:tcBorders>
              <w:right w:val="single" w:sz="8" w:color="auto"/>
            </w:tcBorders>
          </w:tcPr>
          <w:p>
            <w:pPr>
              <w:spacing w:after="0"/>
              <w:rPr>
                <w:sz w:val="24"/>
                <w:szCs w:val="24"/>
                <w:color w:val="auto"/>
              </w:rPr>
            </w:pPr>
          </w:p>
        </w:tc>
      </w:tr>
      <w:tr>
        <w:trPr>
          <w:trHeight w:val="234"/>
        </w:trPr>
        <w:tc>
          <w:tcPr>
            <w:tcW w:w="1620" w:type="dxa"/>
            <w:vAlign w:val="bottom"/>
            <w:tcBorders>
              <w:left w:val="single" w:sz="8" w:color="auto"/>
              <w:right w:val="single" w:sz="8" w:color="auto"/>
            </w:tcBorders>
          </w:tcPr>
          <w:p>
            <w:pPr>
              <w:spacing w:after="0"/>
              <w:rPr>
                <w:sz w:val="20"/>
                <w:szCs w:val="20"/>
                <w:color w:val="auto"/>
              </w:rPr>
            </w:pPr>
          </w:p>
        </w:tc>
        <w:tc>
          <w:tcPr>
            <w:tcW w:w="650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events of default in accordance with the transaction agreements.</w:t>
            </w:r>
          </w:p>
        </w:tc>
        <w:tc>
          <w:tcPr>
            <w:tcW w:w="134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r>
      <w:tr>
        <w:trPr>
          <w:trHeight w:val="81"/>
        </w:trPr>
        <w:tc>
          <w:tcPr>
            <w:tcW w:w="1620" w:type="dxa"/>
            <w:vAlign w:val="bottom"/>
            <w:tcBorders>
              <w:left w:val="single" w:sz="8" w:color="auto"/>
              <w:bottom w:val="single" w:sz="8" w:color="auto"/>
              <w:right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6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1780" w:type="dxa"/>
            <w:vAlign w:val="bottom"/>
            <w:tcBorders>
              <w:bottom w:val="single" w:sz="8" w:color="auto"/>
              <w:right w:val="single" w:sz="8" w:color="auto"/>
            </w:tcBorders>
          </w:tcPr>
          <w:p>
            <w:pPr>
              <w:spacing w:after="0"/>
              <w:rPr>
                <w:sz w:val="7"/>
                <w:szCs w:val="7"/>
                <w:color w:val="auto"/>
              </w:rPr>
            </w:pPr>
          </w:p>
        </w:tc>
      </w:tr>
      <w:tr>
        <w:trPr>
          <w:trHeight w:val="412"/>
        </w:trPr>
        <w:tc>
          <w:tcPr>
            <w:tcW w:w="1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1122(d)(1)(ii)</w:t>
            </w:r>
          </w:p>
        </w:tc>
        <w:tc>
          <w:tcPr>
            <w:tcW w:w="650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If any material servicing activities are outsourced to third parties, policies and</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X</w:t>
            </w:r>
            <w:r>
              <w:rPr>
                <w:rFonts w:ascii="Times New Roman" w:cs="Times New Roman" w:eastAsia="Times New Roman" w:hAnsi="Times New Roman"/>
                <w:sz w:val="29"/>
                <w:szCs w:val="29"/>
                <w:b w:val="1"/>
                <w:bCs w:val="1"/>
                <w:color w:val="auto"/>
                <w:w w:val="88"/>
                <w:vertAlign w:val="superscript"/>
              </w:rPr>
              <w:t>2</w:t>
            </w:r>
          </w:p>
        </w:tc>
        <w:tc>
          <w:tcPr>
            <w:tcW w:w="1780" w:type="dxa"/>
            <w:vAlign w:val="bottom"/>
            <w:tcBorders>
              <w:right w:val="single" w:sz="8" w:color="auto"/>
            </w:tcBorders>
          </w:tcPr>
          <w:p>
            <w:pPr>
              <w:spacing w:after="0"/>
              <w:rPr>
                <w:sz w:val="24"/>
                <w:szCs w:val="24"/>
                <w:color w:val="auto"/>
              </w:rPr>
            </w:pPr>
          </w:p>
        </w:tc>
      </w:tr>
      <w:tr>
        <w:trPr>
          <w:trHeight w:val="211"/>
        </w:trPr>
        <w:tc>
          <w:tcPr>
            <w:tcW w:w="1620" w:type="dxa"/>
            <w:vAlign w:val="bottom"/>
            <w:tcBorders>
              <w:left w:val="single" w:sz="8" w:color="auto"/>
              <w:right w:val="single" w:sz="8" w:color="auto"/>
            </w:tcBorders>
          </w:tcPr>
          <w:p>
            <w:pPr>
              <w:spacing w:after="0"/>
              <w:rPr>
                <w:sz w:val="18"/>
                <w:szCs w:val="18"/>
                <w:color w:val="auto"/>
              </w:rPr>
            </w:pPr>
          </w:p>
        </w:tc>
        <w:tc>
          <w:tcPr>
            <w:tcW w:w="650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procedures are instituted to monitor the third party’s performance and compliance with</w:t>
            </w:r>
          </w:p>
        </w:tc>
        <w:tc>
          <w:tcPr>
            <w:tcW w:w="13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34"/>
        </w:trPr>
        <w:tc>
          <w:tcPr>
            <w:tcW w:w="1620" w:type="dxa"/>
            <w:vAlign w:val="bottom"/>
            <w:tcBorders>
              <w:left w:val="single" w:sz="8" w:color="auto"/>
              <w:right w:val="single" w:sz="8" w:color="auto"/>
            </w:tcBorders>
          </w:tcPr>
          <w:p>
            <w:pPr>
              <w:spacing w:after="0"/>
              <w:rPr>
                <w:sz w:val="20"/>
                <w:szCs w:val="20"/>
                <w:color w:val="auto"/>
              </w:rPr>
            </w:pPr>
          </w:p>
        </w:tc>
        <w:tc>
          <w:tcPr>
            <w:tcW w:w="650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such servicing activities.</w:t>
            </w:r>
          </w:p>
        </w:tc>
        <w:tc>
          <w:tcPr>
            <w:tcW w:w="134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r>
      <w:tr>
        <w:trPr>
          <w:trHeight w:val="81"/>
        </w:trPr>
        <w:tc>
          <w:tcPr>
            <w:tcW w:w="1620" w:type="dxa"/>
            <w:vAlign w:val="bottom"/>
            <w:tcBorders>
              <w:left w:val="single" w:sz="8" w:color="auto"/>
              <w:bottom w:val="single" w:sz="8" w:color="auto"/>
              <w:right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6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1780" w:type="dxa"/>
            <w:vAlign w:val="bottom"/>
            <w:tcBorders>
              <w:bottom w:val="single" w:sz="8" w:color="auto"/>
              <w:right w:val="single" w:sz="8" w:color="auto"/>
            </w:tcBorders>
          </w:tcPr>
          <w:p>
            <w:pPr>
              <w:spacing w:after="0"/>
              <w:rPr>
                <w:sz w:val="7"/>
                <w:szCs w:val="7"/>
                <w:color w:val="auto"/>
              </w:rPr>
            </w:pPr>
          </w:p>
        </w:tc>
      </w:tr>
      <w:tr>
        <w:trPr>
          <w:trHeight w:val="407"/>
        </w:trPr>
        <w:tc>
          <w:tcPr>
            <w:tcW w:w="1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1122(d)(1)(iii)</w:t>
            </w:r>
          </w:p>
        </w:tc>
        <w:tc>
          <w:tcPr>
            <w:tcW w:w="650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Any requirements in the transaction agreements to maintain a back-up servicer for the</w:t>
            </w:r>
          </w:p>
        </w:tc>
        <w:tc>
          <w:tcPr>
            <w:tcW w:w="1340" w:type="dxa"/>
            <w:vAlign w:val="bottom"/>
            <w:tcBorders>
              <w:right w:val="single" w:sz="8" w:color="auto"/>
            </w:tcBorders>
          </w:tcPr>
          <w:p>
            <w:pPr>
              <w:spacing w:after="0"/>
              <w:rPr>
                <w:sz w:val="24"/>
                <w:szCs w:val="24"/>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r>
      <w:tr>
        <w:trPr>
          <w:trHeight w:val="234"/>
        </w:trPr>
        <w:tc>
          <w:tcPr>
            <w:tcW w:w="1620" w:type="dxa"/>
            <w:vAlign w:val="bottom"/>
            <w:tcBorders>
              <w:left w:val="single" w:sz="8" w:color="auto"/>
              <w:right w:val="single" w:sz="8" w:color="auto"/>
            </w:tcBorders>
          </w:tcPr>
          <w:p>
            <w:pPr>
              <w:spacing w:after="0"/>
              <w:rPr>
                <w:sz w:val="20"/>
                <w:szCs w:val="20"/>
                <w:color w:val="auto"/>
              </w:rPr>
            </w:pPr>
          </w:p>
        </w:tc>
        <w:tc>
          <w:tcPr>
            <w:tcW w:w="650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Pool Assets are maintained.</w:t>
            </w:r>
          </w:p>
        </w:tc>
        <w:tc>
          <w:tcPr>
            <w:tcW w:w="134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r>
      <w:tr>
        <w:trPr>
          <w:trHeight w:val="81"/>
        </w:trPr>
        <w:tc>
          <w:tcPr>
            <w:tcW w:w="1620" w:type="dxa"/>
            <w:vAlign w:val="bottom"/>
            <w:tcBorders>
              <w:left w:val="single" w:sz="8" w:color="auto"/>
              <w:bottom w:val="single" w:sz="8" w:color="auto"/>
              <w:right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6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1780" w:type="dxa"/>
            <w:vAlign w:val="bottom"/>
            <w:tcBorders>
              <w:bottom w:val="single" w:sz="8" w:color="auto"/>
              <w:right w:val="single" w:sz="8" w:color="auto"/>
            </w:tcBorders>
          </w:tcPr>
          <w:p>
            <w:pPr>
              <w:spacing w:after="0"/>
              <w:rPr>
                <w:sz w:val="7"/>
                <w:szCs w:val="7"/>
                <w:color w:val="auto"/>
              </w:rPr>
            </w:pPr>
          </w:p>
        </w:tc>
      </w:tr>
      <w:tr>
        <w:trPr>
          <w:trHeight w:val="407"/>
        </w:trPr>
        <w:tc>
          <w:tcPr>
            <w:tcW w:w="1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1122(d)(1)(iv)</w:t>
            </w:r>
          </w:p>
        </w:tc>
        <w:tc>
          <w:tcPr>
            <w:tcW w:w="650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A fidelity bond and errors and omissions policy is in effect on the party participating in</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c>
          <w:tcPr>
            <w:tcW w:w="1780" w:type="dxa"/>
            <w:vAlign w:val="bottom"/>
            <w:tcBorders>
              <w:right w:val="single" w:sz="8" w:color="auto"/>
            </w:tcBorders>
          </w:tcPr>
          <w:p>
            <w:pPr>
              <w:spacing w:after="0"/>
              <w:rPr>
                <w:sz w:val="24"/>
                <w:szCs w:val="24"/>
                <w:color w:val="auto"/>
              </w:rPr>
            </w:pPr>
          </w:p>
        </w:tc>
      </w:tr>
      <w:tr>
        <w:trPr>
          <w:trHeight w:val="216"/>
        </w:trPr>
        <w:tc>
          <w:tcPr>
            <w:tcW w:w="1620" w:type="dxa"/>
            <w:vAlign w:val="bottom"/>
            <w:tcBorders>
              <w:left w:val="single" w:sz="8" w:color="auto"/>
              <w:right w:val="single" w:sz="8" w:color="auto"/>
            </w:tcBorders>
          </w:tcPr>
          <w:p>
            <w:pPr>
              <w:spacing w:after="0"/>
              <w:rPr>
                <w:sz w:val="18"/>
                <w:szCs w:val="18"/>
                <w:color w:val="auto"/>
              </w:rPr>
            </w:pPr>
          </w:p>
        </w:tc>
        <w:tc>
          <w:tcPr>
            <w:tcW w:w="650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the servicing function throughout the reporting period in the amount of coverage</w:t>
            </w:r>
          </w:p>
        </w:tc>
        <w:tc>
          <w:tcPr>
            <w:tcW w:w="13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34"/>
        </w:trPr>
        <w:tc>
          <w:tcPr>
            <w:tcW w:w="1620" w:type="dxa"/>
            <w:vAlign w:val="bottom"/>
            <w:tcBorders>
              <w:left w:val="single" w:sz="8" w:color="auto"/>
              <w:right w:val="single" w:sz="8" w:color="auto"/>
            </w:tcBorders>
          </w:tcPr>
          <w:p>
            <w:pPr>
              <w:spacing w:after="0"/>
              <w:rPr>
                <w:sz w:val="20"/>
                <w:szCs w:val="20"/>
                <w:color w:val="auto"/>
              </w:rPr>
            </w:pPr>
          </w:p>
        </w:tc>
        <w:tc>
          <w:tcPr>
            <w:tcW w:w="650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required by and otherwise in accordance with the terms of the transaction agreements.</w:t>
            </w:r>
          </w:p>
        </w:tc>
        <w:tc>
          <w:tcPr>
            <w:tcW w:w="134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r>
      <w:tr>
        <w:trPr>
          <w:trHeight w:val="81"/>
        </w:trPr>
        <w:tc>
          <w:tcPr>
            <w:tcW w:w="1620" w:type="dxa"/>
            <w:vAlign w:val="bottom"/>
            <w:tcBorders>
              <w:left w:val="single" w:sz="8" w:color="auto"/>
              <w:bottom w:val="single" w:sz="8" w:color="auto"/>
              <w:right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6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1780" w:type="dxa"/>
            <w:vAlign w:val="bottom"/>
            <w:tcBorders>
              <w:bottom w:val="single" w:sz="8" w:color="auto"/>
              <w:right w:val="single" w:sz="8" w:color="auto"/>
            </w:tcBorders>
          </w:tcPr>
          <w:p>
            <w:pPr>
              <w:spacing w:after="0"/>
              <w:rPr>
                <w:sz w:val="7"/>
                <w:szCs w:val="7"/>
                <w:color w:val="auto"/>
              </w:rPr>
            </w:pPr>
          </w:p>
        </w:tc>
      </w:tr>
      <w:tr>
        <w:trPr>
          <w:trHeight w:val="412"/>
        </w:trPr>
        <w:tc>
          <w:tcPr>
            <w:tcW w:w="1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1122(d)(1)(v)</w:t>
            </w:r>
          </w:p>
        </w:tc>
        <w:tc>
          <w:tcPr>
            <w:tcW w:w="650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Aggregation of information, as applicable, is mathematically accurate and the</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X</w:t>
            </w:r>
            <w:r>
              <w:rPr>
                <w:rFonts w:ascii="Times New Roman" w:cs="Times New Roman" w:eastAsia="Times New Roman" w:hAnsi="Times New Roman"/>
                <w:sz w:val="29"/>
                <w:szCs w:val="29"/>
                <w:b w:val="1"/>
                <w:bCs w:val="1"/>
                <w:color w:val="auto"/>
                <w:w w:val="88"/>
                <w:vertAlign w:val="superscript"/>
              </w:rPr>
              <w:t>3</w:t>
            </w:r>
          </w:p>
        </w:tc>
        <w:tc>
          <w:tcPr>
            <w:tcW w:w="1780" w:type="dxa"/>
            <w:vAlign w:val="bottom"/>
            <w:tcBorders>
              <w:right w:val="single" w:sz="8" w:color="auto"/>
            </w:tcBorders>
          </w:tcPr>
          <w:p>
            <w:pPr>
              <w:spacing w:after="0"/>
              <w:rPr>
                <w:sz w:val="24"/>
                <w:szCs w:val="24"/>
                <w:color w:val="auto"/>
              </w:rPr>
            </w:pPr>
          </w:p>
        </w:tc>
      </w:tr>
      <w:tr>
        <w:trPr>
          <w:trHeight w:val="229"/>
        </w:trPr>
        <w:tc>
          <w:tcPr>
            <w:tcW w:w="1620" w:type="dxa"/>
            <w:vAlign w:val="bottom"/>
            <w:tcBorders>
              <w:left w:val="single" w:sz="8" w:color="auto"/>
              <w:bottom w:val="single" w:sz="8" w:color="auto"/>
              <w:right w:val="single" w:sz="8" w:color="auto"/>
            </w:tcBorders>
          </w:tcPr>
          <w:p>
            <w:pPr>
              <w:spacing w:after="0"/>
              <w:rPr>
                <w:sz w:val="19"/>
                <w:szCs w:val="19"/>
                <w:color w:val="auto"/>
              </w:rPr>
            </w:pPr>
          </w:p>
        </w:tc>
        <w:tc>
          <w:tcPr>
            <w:tcW w:w="6500" w:type="dxa"/>
            <w:vAlign w:val="bottom"/>
            <w:tcBorders>
              <w:bottom w:val="single" w:sz="8" w:color="auto"/>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information conveyed accurately reflects the information.</w:t>
            </w:r>
          </w:p>
        </w:tc>
        <w:tc>
          <w:tcPr>
            <w:tcW w:w="1340" w:type="dxa"/>
            <w:vAlign w:val="bottom"/>
            <w:tcBorders>
              <w:bottom w:val="single" w:sz="8" w:color="auto"/>
              <w:right w:val="single" w:sz="8" w:color="auto"/>
            </w:tcBorders>
          </w:tcPr>
          <w:p>
            <w:pPr>
              <w:spacing w:after="0"/>
              <w:rPr>
                <w:sz w:val="19"/>
                <w:szCs w:val="19"/>
                <w:color w:val="auto"/>
              </w:rPr>
            </w:pPr>
          </w:p>
        </w:tc>
        <w:tc>
          <w:tcPr>
            <w:tcW w:w="1780" w:type="dxa"/>
            <w:vAlign w:val="bottom"/>
            <w:tcBorders>
              <w:bottom w:val="single" w:sz="8" w:color="auto"/>
              <w:right w:val="single" w:sz="8" w:color="auto"/>
            </w:tcBorders>
          </w:tcPr>
          <w:p>
            <w:pPr>
              <w:spacing w:after="0"/>
              <w:rPr>
                <w:sz w:val="19"/>
                <w:szCs w:val="19"/>
                <w:color w:val="auto"/>
              </w:rPr>
            </w:pPr>
          </w:p>
        </w:tc>
      </w:tr>
      <w:tr>
        <w:trPr>
          <w:trHeight w:val="345"/>
        </w:trPr>
        <w:tc>
          <w:tcPr>
            <w:tcW w:w="1620" w:type="dxa"/>
            <w:vAlign w:val="bottom"/>
            <w:tcBorders>
              <w:left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5300" w:type="dxa"/>
            <w:vAlign w:val="bottom"/>
            <w:gridSpan w:val="5"/>
          </w:tcPr>
          <w:p>
            <w:pPr>
              <w:jc w:val="center"/>
              <w:ind w:left="230"/>
              <w:spacing w:after="0"/>
              <w:rPr>
                <w:sz w:val="20"/>
                <w:szCs w:val="20"/>
                <w:color w:val="auto"/>
              </w:rPr>
            </w:pPr>
            <w:r>
              <w:rPr>
                <w:rFonts w:ascii="Times New Roman" w:cs="Times New Roman" w:eastAsia="Times New Roman" w:hAnsi="Times New Roman"/>
                <w:sz w:val="18"/>
                <w:szCs w:val="18"/>
                <w:b w:val="1"/>
                <w:bCs w:val="1"/>
                <w:color w:val="auto"/>
              </w:rPr>
              <w:t>Cash Collection and Administration</w:t>
            </w:r>
          </w:p>
        </w:tc>
        <w:tc>
          <w:tcPr>
            <w:tcW w:w="1340" w:type="dxa"/>
            <w:vAlign w:val="bottom"/>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r>
      <w:tr>
        <w:trPr>
          <w:trHeight w:val="102"/>
        </w:trPr>
        <w:tc>
          <w:tcPr>
            <w:tcW w:w="1620" w:type="dxa"/>
            <w:vAlign w:val="bottom"/>
            <w:tcBorders>
              <w:left w:val="single" w:sz="8" w:color="auto"/>
              <w:bottom w:val="single" w:sz="8" w:color="auto"/>
            </w:tcBorders>
          </w:tcPr>
          <w:p>
            <w:pPr>
              <w:spacing w:after="0"/>
              <w:rPr>
                <w:sz w:val="8"/>
                <w:szCs w:val="8"/>
                <w:color w:val="auto"/>
              </w:rPr>
            </w:pPr>
          </w:p>
        </w:tc>
        <w:tc>
          <w:tcPr>
            <w:tcW w:w="1200" w:type="dxa"/>
            <w:vAlign w:val="bottom"/>
            <w:tcBorders>
              <w:bottom w:val="single" w:sz="8" w:color="auto"/>
            </w:tcBorders>
          </w:tcPr>
          <w:p>
            <w:pPr>
              <w:spacing w:after="0"/>
              <w:rPr>
                <w:sz w:val="8"/>
                <w:szCs w:val="8"/>
                <w:color w:val="auto"/>
              </w:rPr>
            </w:pPr>
          </w:p>
        </w:tc>
        <w:tc>
          <w:tcPr>
            <w:tcW w:w="1420" w:type="dxa"/>
            <w:vAlign w:val="bottom"/>
            <w:tcBorders>
              <w:bottom w:val="single" w:sz="8" w:color="auto"/>
            </w:tcBorders>
          </w:tcPr>
          <w:p>
            <w:pPr>
              <w:spacing w:after="0"/>
              <w:rPr>
                <w:sz w:val="8"/>
                <w:szCs w:val="8"/>
                <w:color w:val="auto"/>
              </w:rPr>
            </w:pPr>
          </w:p>
        </w:tc>
        <w:tc>
          <w:tcPr>
            <w:tcW w:w="80" w:type="dxa"/>
            <w:vAlign w:val="bottom"/>
            <w:tcBorders>
              <w:top w:val="single" w:sz="8" w:color="auto"/>
              <w:bottom w:val="single" w:sz="8" w:color="auto"/>
            </w:tcBorders>
          </w:tcPr>
          <w:p>
            <w:pPr>
              <w:spacing w:after="0"/>
              <w:rPr>
                <w:sz w:val="8"/>
                <w:szCs w:val="8"/>
                <w:color w:val="auto"/>
              </w:rPr>
            </w:pPr>
          </w:p>
        </w:tc>
        <w:tc>
          <w:tcPr>
            <w:tcW w:w="2600" w:type="dxa"/>
            <w:vAlign w:val="bottom"/>
            <w:tcBorders>
              <w:top w:val="single" w:sz="8" w:color="auto"/>
              <w:bottom w:val="single" w:sz="8" w:color="auto"/>
            </w:tcBorders>
          </w:tcPr>
          <w:p>
            <w:pPr>
              <w:spacing w:after="0"/>
              <w:rPr>
                <w:sz w:val="8"/>
                <w:szCs w:val="8"/>
                <w:color w:val="auto"/>
              </w:rPr>
            </w:pPr>
          </w:p>
        </w:tc>
        <w:tc>
          <w:tcPr>
            <w:tcW w:w="100" w:type="dxa"/>
            <w:vAlign w:val="bottom"/>
            <w:tcBorders>
              <w:top w:val="single" w:sz="8" w:color="auto"/>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780" w:type="dxa"/>
            <w:vAlign w:val="bottom"/>
            <w:tcBorders>
              <w:bottom w:val="single" w:sz="8" w:color="auto"/>
              <w:right w:val="single" w:sz="8" w:color="auto"/>
            </w:tcBorders>
          </w:tcPr>
          <w:p>
            <w:pPr>
              <w:spacing w:after="0"/>
              <w:rPr>
                <w:sz w:val="8"/>
                <w:szCs w:val="8"/>
                <w:color w:val="auto"/>
              </w:rPr>
            </w:pPr>
          </w:p>
        </w:tc>
      </w:tr>
      <w:tr>
        <w:trPr>
          <w:trHeight w:val="407"/>
        </w:trPr>
        <w:tc>
          <w:tcPr>
            <w:tcW w:w="1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1122(d)(2)(i)</w:t>
            </w:r>
          </w:p>
        </w:tc>
        <w:tc>
          <w:tcPr>
            <w:tcW w:w="650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Payments on pool assets are deposited into the appropriate custodial bank accounts and</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c>
          <w:tcPr>
            <w:tcW w:w="1780" w:type="dxa"/>
            <w:vAlign w:val="bottom"/>
            <w:tcBorders>
              <w:right w:val="single" w:sz="8" w:color="auto"/>
            </w:tcBorders>
          </w:tcPr>
          <w:p>
            <w:pPr>
              <w:spacing w:after="0"/>
              <w:rPr>
                <w:sz w:val="24"/>
                <w:szCs w:val="24"/>
                <w:color w:val="auto"/>
              </w:rPr>
            </w:pPr>
          </w:p>
        </w:tc>
      </w:tr>
      <w:tr>
        <w:trPr>
          <w:trHeight w:val="216"/>
        </w:trPr>
        <w:tc>
          <w:tcPr>
            <w:tcW w:w="1620" w:type="dxa"/>
            <w:vAlign w:val="bottom"/>
            <w:tcBorders>
              <w:left w:val="single" w:sz="8" w:color="auto"/>
              <w:right w:val="single" w:sz="8" w:color="auto"/>
            </w:tcBorders>
          </w:tcPr>
          <w:p>
            <w:pPr>
              <w:spacing w:after="0"/>
              <w:rPr>
                <w:sz w:val="18"/>
                <w:szCs w:val="18"/>
                <w:color w:val="auto"/>
              </w:rPr>
            </w:pPr>
          </w:p>
        </w:tc>
        <w:tc>
          <w:tcPr>
            <w:tcW w:w="650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related bank clearing accounts no more than two business days following receipt, or</w:t>
            </w:r>
          </w:p>
        </w:tc>
        <w:tc>
          <w:tcPr>
            <w:tcW w:w="13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34"/>
        </w:trPr>
        <w:tc>
          <w:tcPr>
            <w:tcW w:w="1620" w:type="dxa"/>
            <w:vAlign w:val="bottom"/>
            <w:tcBorders>
              <w:left w:val="single" w:sz="8" w:color="auto"/>
              <w:bottom w:val="single" w:sz="8" w:color="auto"/>
              <w:right w:val="single" w:sz="8" w:color="auto"/>
            </w:tcBorders>
          </w:tcPr>
          <w:p>
            <w:pPr>
              <w:spacing w:after="0"/>
              <w:rPr>
                <w:sz w:val="20"/>
                <w:szCs w:val="20"/>
                <w:color w:val="auto"/>
              </w:rPr>
            </w:pPr>
          </w:p>
        </w:tc>
        <w:tc>
          <w:tcPr>
            <w:tcW w:w="6500" w:type="dxa"/>
            <w:vAlign w:val="bottom"/>
            <w:tcBorders>
              <w:bottom w:val="single" w:sz="8" w:color="auto"/>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such other number of days specified in the transaction agreements.</w:t>
            </w:r>
          </w:p>
        </w:tc>
        <w:tc>
          <w:tcPr>
            <w:tcW w:w="134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r>
      <w:tr>
        <w:trPr>
          <w:trHeight w:val="407"/>
        </w:trPr>
        <w:tc>
          <w:tcPr>
            <w:tcW w:w="1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1122(d)(2)(ii)</w:t>
            </w:r>
          </w:p>
        </w:tc>
        <w:tc>
          <w:tcPr>
            <w:tcW w:w="650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Disbursements made via wire transfer on behalf of an obligor or to an investor are</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c>
          <w:tcPr>
            <w:tcW w:w="1780" w:type="dxa"/>
            <w:vAlign w:val="bottom"/>
            <w:tcBorders>
              <w:right w:val="single" w:sz="8" w:color="auto"/>
            </w:tcBorders>
          </w:tcPr>
          <w:p>
            <w:pPr>
              <w:spacing w:after="0"/>
              <w:rPr>
                <w:sz w:val="24"/>
                <w:szCs w:val="24"/>
                <w:color w:val="auto"/>
              </w:rPr>
            </w:pPr>
          </w:p>
        </w:tc>
      </w:tr>
      <w:tr>
        <w:trPr>
          <w:trHeight w:val="234"/>
        </w:trPr>
        <w:tc>
          <w:tcPr>
            <w:tcW w:w="1620" w:type="dxa"/>
            <w:vAlign w:val="bottom"/>
            <w:tcBorders>
              <w:left w:val="single" w:sz="8" w:color="auto"/>
              <w:right w:val="single" w:sz="8" w:color="auto"/>
            </w:tcBorders>
          </w:tcPr>
          <w:p>
            <w:pPr>
              <w:spacing w:after="0"/>
              <w:rPr>
                <w:sz w:val="20"/>
                <w:szCs w:val="20"/>
                <w:color w:val="auto"/>
              </w:rPr>
            </w:pPr>
          </w:p>
        </w:tc>
        <w:tc>
          <w:tcPr>
            <w:tcW w:w="650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made only by authorized personnel.</w:t>
            </w:r>
          </w:p>
        </w:tc>
        <w:tc>
          <w:tcPr>
            <w:tcW w:w="134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r>
      <w:tr>
        <w:trPr>
          <w:trHeight w:val="81"/>
        </w:trPr>
        <w:tc>
          <w:tcPr>
            <w:tcW w:w="1620" w:type="dxa"/>
            <w:vAlign w:val="bottom"/>
            <w:tcBorders>
              <w:left w:val="single" w:sz="8" w:color="auto"/>
              <w:bottom w:val="single" w:sz="8" w:color="auto"/>
              <w:right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6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1780" w:type="dxa"/>
            <w:vAlign w:val="bottom"/>
            <w:tcBorders>
              <w:bottom w:val="single" w:sz="8" w:color="auto"/>
              <w:right w:val="single" w:sz="8" w:color="auto"/>
            </w:tcBorders>
          </w:tcPr>
          <w:p>
            <w:pPr>
              <w:spacing w:after="0"/>
              <w:rPr>
                <w:sz w:val="7"/>
                <w:szCs w:val="7"/>
                <w:color w:val="auto"/>
              </w:rPr>
            </w:pPr>
          </w:p>
        </w:tc>
      </w:tr>
      <w:tr>
        <w:trPr>
          <w:trHeight w:val="412"/>
        </w:trPr>
        <w:tc>
          <w:tcPr>
            <w:tcW w:w="1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1122(d)(2)(iii)</w:t>
            </w:r>
          </w:p>
        </w:tc>
        <w:tc>
          <w:tcPr>
            <w:tcW w:w="650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Advances of funds or guarantees regarding collections, cash flows or distributions, and</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88"/>
              </w:rPr>
              <w:t>X</w:t>
            </w:r>
            <w:r>
              <w:rPr>
                <w:rFonts w:ascii="Times New Roman" w:cs="Times New Roman" w:eastAsia="Times New Roman" w:hAnsi="Times New Roman"/>
                <w:sz w:val="29"/>
                <w:szCs w:val="29"/>
                <w:b w:val="1"/>
                <w:bCs w:val="1"/>
                <w:color w:val="auto"/>
                <w:w w:val="88"/>
                <w:vertAlign w:val="superscript"/>
              </w:rPr>
              <w:t>4</w:t>
            </w:r>
          </w:p>
        </w:tc>
        <w:tc>
          <w:tcPr>
            <w:tcW w:w="1780" w:type="dxa"/>
            <w:vAlign w:val="bottom"/>
            <w:tcBorders>
              <w:right w:val="single" w:sz="8" w:color="auto"/>
            </w:tcBorders>
          </w:tcPr>
          <w:p>
            <w:pPr>
              <w:spacing w:after="0"/>
              <w:rPr>
                <w:sz w:val="24"/>
                <w:szCs w:val="24"/>
                <w:color w:val="auto"/>
              </w:rPr>
            </w:pPr>
          </w:p>
        </w:tc>
      </w:tr>
      <w:tr>
        <w:trPr>
          <w:trHeight w:val="211"/>
        </w:trPr>
        <w:tc>
          <w:tcPr>
            <w:tcW w:w="1620" w:type="dxa"/>
            <w:vAlign w:val="bottom"/>
            <w:tcBorders>
              <w:left w:val="single" w:sz="8" w:color="auto"/>
              <w:right w:val="single" w:sz="8" w:color="auto"/>
            </w:tcBorders>
          </w:tcPr>
          <w:p>
            <w:pPr>
              <w:spacing w:after="0"/>
              <w:rPr>
                <w:sz w:val="18"/>
                <w:szCs w:val="18"/>
                <w:color w:val="auto"/>
              </w:rPr>
            </w:pPr>
          </w:p>
        </w:tc>
        <w:tc>
          <w:tcPr>
            <w:tcW w:w="650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any interest or other fees charged for such advances, are made, reviewed and approved</w:t>
            </w:r>
          </w:p>
        </w:tc>
        <w:tc>
          <w:tcPr>
            <w:tcW w:w="13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34"/>
        </w:trPr>
        <w:tc>
          <w:tcPr>
            <w:tcW w:w="1620" w:type="dxa"/>
            <w:vAlign w:val="bottom"/>
            <w:tcBorders>
              <w:left w:val="single" w:sz="8" w:color="auto"/>
              <w:bottom w:val="single" w:sz="8" w:color="auto"/>
              <w:right w:val="single" w:sz="8" w:color="auto"/>
            </w:tcBorders>
          </w:tcPr>
          <w:p>
            <w:pPr>
              <w:spacing w:after="0"/>
              <w:rPr>
                <w:sz w:val="20"/>
                <w:szCs w:val="20"/>
                <w:color w:val="auto"/>
              </w:rPr>
            </w:pPr>
          </w:p>
        </w:tc>
        <w:tc>
          <w:tcPr>
            <w:tcW w:w="6500" w:type="dxa"/>
            <w:vAlign w:val="bottom"/>
            <w:tcBorders>
              <w:bottom w:val="single" w:sz="8" w:color="auto"/>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as specified in the transaction agreements.</w:t>
            </w:r>
          </w:p>
        </w:tc>
        <w:tc>
          <w:tcPr>
            <w:tcW w:w="134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r>
      <w:tr>
        <w:trPr>
          <w:trHeight w:val="407"/>
        </w:trPr>
        <w:tc>
          <w:tcPr>
            <w:tcW w:w="1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1122(d)(2)(iv)</w:t>
            </w:r>
          </w:p>
        </w:tc>
        <w:tc>
          <w:tcPr>
            <w:tcW w:w="650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The related accounts for the transaction, such as cash reserve accounts or accounts</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c>
          <w:tcPr>
            <w:tcW w:w="1780" w:type="dxa"/>
            <w:vAlign w:val="bottom"/>
            <w:tcBorders>
              <w:right w:val="single" w:sz="8" w:color="auto"/>
            </w:tcBorders>
          </w:tcPr>
          <w:p>
            <w:pPr>
              <w:spacing w:after="0"/>
              <w:rPr>
                <w:sz w:val="24"/>
                <w:szCs w:val="24"/>
                <w:color w:val="auto"/>
              </w:rPr>
            </w:pPr>
          </w:p>
        </w:tc>
      </w:tr>
      <w:tr>
        <w:trPr>
          <w:trHeight w:val="216"/>
        </w:trPr>
        <w:tc>
          <w:tcPr>
            <w:tcW w:w="1620" w:type="dxa"/>
            <w:vAlign w:val="bottom"/>
            <w:tcBorders>
              <w:left w:val="single" w:sz="8" w:color="auto"/>
              <w:right w:val="single" w:sz="8" w:color="auto"/>
            </w:tcBorders>
          </w:tcPr>
          <w:p>
            <w:pPr>
              <w:spacing w:after="0"/>
              <w:rPr>
                <w:sz w:val="18"/>
                <w:szCs w:val="18"/>
                <w:color w:val="auto"/>
              </w:rPr>
            </w:pPr>
          </w:p>
        </w:tc>
        <w:tc>
          <w:tcPr>
            <w:tcW w:w="650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established as a form of over collateralization, are separately maintained (e.g., with</w:t>
            </w:r>
          </w:p>
        </w:tc>
        <w:tc>
          <w:tcPr>
            <w:tcW w:w="13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34"/>
        </w:trPr>
        <w:tc>
          <w:tcPr>
            <w:tcW w:w="1620" w:type="dxa"/>
            <w:vAlign w:val="bottom"/>
            <w:tcBorders>
              <w:left w:val="single" w:sz="8" w:color="auto"/>
              <w:bottom w:val="single" w:sz="8" w:color="auto"/>
              <w:right w:val="single" w:sz="8" w:color="auto"/>
            </w:tcBorders>
          </w:tcPr>
          <w:p>
            <w:pPr>
              <w:spacing w:after="0"/>
              <w:rPr>
                <w:sz w:val="20"/>
                <w:szCs w:val="20"/>
                <w:color w:val="auto"/>
              </w:rPr>
            </w:pPr>
          </w:p>
        </w:tc>
        <w:tc>
          <w:tcPr>
            <w:tcW w:w="6500" w:type="dxa"/>
            <w:vAlign w:val="bottom"/>
            <w:tcBorders>
              <w:bottom w:val="single" w:sz="8" w:color="auto"/>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respect to commingling of cash) as set forth in the transaction agreements.</w:t>
            </w:r>
          </w:p>
        </w:tc>
        <w:tc>
          <w:tcPr>
            <w:tcW w:w="134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r>
      <w:tr>
        <w:trPr>
          <w:trHeight w:val="407"/>
        </w:trPr>
        <w:tc>
          <w:tcPr>
            <w:tcW w:w="162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1122(d)(2)(v)</w:t>
            </w:r>
          </w:p>
        </w:tc>
        <w:tc>
          <w:tcPr>
            <w:tcW w:w="650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Each custodial account is maintained at a federally insured depository institution as set</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c>
          <w:tcPr>
            <w:tcW w:w="1780" w:type="dxa"/>
            <w:vAlign w:val="bottom"/>
            <w:tcBorders>
              <w:right w:val="single" w:sz="8" w:color="auto"/>
            </w:tcBorders>
          </w:tcPr>
          <w:p>
            <w:pPr>
              <w:spacing w:after="0"/>
              <w:rPr>
                <w:sz w:val="24"/>
                <w:szCs w:val="24"/>
                <w:color w:val="auto"/>
              </w:rPr>
            </w:pPr>
          </w:p>
        </w:tc>
      </w:tr>
      <w:tr>
        <w:trPr>
          <w:trHeight w:val="216"/>
        </w:trPr>
        <w:tc>
          <w:tcPr>
            <w:tcW w:w="1620" w:type="dxa"/>
            <w:vAlign w:val="bottom"/>
            <w:tcBorders>
              <w:left w:val="single" w:sz="8" w:color="auto"/>
              <w:right w:val="single" w:sz="8" w:color="auto"/>
            </w:tcBorders>
          </w:tcPr>
          <w:p>
            <w:pPr>
              <w:spacing w:after="0"/>
              <w:rPr>
                <w:sz w:val="18"/>
                <w:szCs w:val="18"/>
                <w:color w:val="auto"/>
              </w:rPr>
            </w:pPr>
          </w:p>
        </w:tc>
        <w:tc>
          <w:tcPr>
            <w:tcW w:w="650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forth in the transaction agreements. For purposes of this criterion, “federally insured</w:t>
            </w:r>
          </w:p>
        </w:tc>
        <w:tc>
          <w:tcPr>
            <w:tcW w:w="13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16"/>
        </w:trPr>
        <w:tc>
          <w:tcPr>
            <w:tcW w:w="1620" w:type="dxa"/>
            <w:vAlign w:val="bottom"/>
            <w:tcBorders>
              <w:left w:val="single" w:sz="8" w:color="auto"/>
              <w:right w:val="single" w:sz="8" w:color="auto"/>
            </w:tcBorders>
          </w:tcPr>
          <w:p>
            <w:pPr>
              <w:spacing w:after="0"/>
              <w:rPr>
                <w:sz w:val="18"/>
                <w:szCs w:val="18"/>
                <w:color w:val="auto"/>
              </w:rPr>
            </w:pPr>
          </w:p>
        </w:tc>
        <w:tc>
          <w:tcPr>
            <w:tcW w:w="650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depository institution” with respect to a foreign financial institution means a foreign</w:t>
            </w:r>
          </w:p>
        </w:tc>
        <w:tc>
          <w:tcPr>
            <w:tcW w:w="13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16"/>
        </w:trPr>
        <w:tc>
          <w:tcPr>
            <w:tcW w:w="1620" w:type="dxa"/>
            <w:vAlign w:val="bottom"/>
            <w:tcBorders>
              <w:left w:val="single" w:sz="8" w:color="auto"/>
              <w:right w:val="single" w:sz="8" w:color="auto"/>
            </w:tcBorders>
          </w:tcPr>
          <w:p>
            <w:pPr>
              <w:spacing w:after="0"/>
              <w:rPr>
                <w:sz w:val="18"/>
                <w:szCs w:val="18"/>
                <w:color w:val="auto"/>
              </w:rPr>
            </w:pPr>
          </w:p>
        </w:tc>
        <w:tc>
          <w:tcPr>
            <w:tcW w:w="650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financial institution that meets the requirements of Rule 13k-1(b)(1) of the Securities</w:t>
            </w:r>
          </w:p>
        </w:tc>
        <w:tc>
          <w:tcPr>
            <w:tcW w:w="13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34"/>
        </w:trPr>
        <w:tc>
          <w:tcPr>
            <w:tcW w:w="1620" w:type="dxa"/>
            <w:vAlign w:val="bottom"/>
            <w:tcBorders>
              <w:left w:val="single" w:sz="8" w:color="auto"/>
              <w:right w:val="single" w:sz="8" w:color="auto"/>
            </w:tcBorders>
          </w:tcPr>
          <w:p>
            <w:pPr>
              <w:spacing w:after="0"/>
              <w:rPr>
                <w:sz w:val="20"/>
                <w:szCs w:val="20"/>
                <w:color w:val="auto"/>
              </w:rPr>
            </w:pPr>
          </w:p>
        </w:tc>
        <w:tc>
          <w:tcPr>
            <w:tcW w:w="650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Exchange Act.</w:t>
            </w:r>
          </w:p>
        </w:tc>
        <w:tc>
          <w:tcPr>
            <w:tcW w:w="134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r>
      <w:tr>
        <w:trPr>
          <w:trHeight w:val="81"/>
        </w:trPr>
        <w:tc>
          <w:tcPr>
            <w:tcW w:w="1620" w:type="dxa"/>
            <w:vAlign w:val="bottom"/>
            <w:tcBorders>
              <w:left w:val="single" w:sz="8" w:color="auto"/>
              <w:bottom w:val="single" w:sz="8" w:color="auto"/>
              <w:right w:val="single" w:sz="8" w:color="auto"/>
            </w:tcBorders>
          </w:tcPr>
          <w:p>
            <w:pPr>
              <w:spacing w:after="0"/>
              <w:rPr>
                <w:sz w:val="7"/>
                <w:szCs w:val="7"/>
                <w:color w:val="auto"/>
              </w:rPr>
            </w:pPr>
          </w:p>
        </w:tc>
        <w:tc>
          <w:tcPr>
            <w:tcW w:w="1200" w:type="dxa"/>
            <w:vAlign w:val="bottom"/>
            <w:tcBorders>
              <w:bottom w:val="single" w:sz="8" w:color="auto"/>
            </w:tcBorders>
          </w:tcPr>
          <w:p>
            <w:pPr>
              <w:spacing w:after="0"/>
              <w:rPr>
                <w:sz w:val="7"/>
                <w:szCs w:val="7"/>
                <w:color w:val="auto"/>
              </w:rPr>
            </w:pPr>
          </w:p>
        </w:tc>
        <w:tc>
          <w:tcPr>
            <w:tcW w:w="14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600" w:type="dxa"/>
            <w:vAlign w:val="bottom"/>
            <w:tcBorders>
              <w:bottom w:val="single" w:sz="8" w:color="auto"/>
            </w:tcBorders>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1780" w:type="dxa"/>
            <w:vAlign w:val="bottom"/>
            <w:tcBorders>
              <w:bottom w:val="single" w:sz="8" w:color="auto"/>
              <w:right w:val="single" w:sz="8" w:color="auto"/>
            </w:tcBorders>
          </w:tcPr>
          <w:p>
            <w:pPr>
              <w:spacing w:after="0"/>
              <w:rPr>
                <w:sz w:val="7"/>
                <w:szCs w:val="7"/>
                <w:color w:val="auto"/>
              </w:rPr>
            </w:pPr>
          </w:p>
        </w:tc>
      </w:tr>
      <w:tr>
        <w:trPr>
          <w:trHeight w:val="425"/>
        </w:trPr>
        <w:tc>
          <w:tcPr>
            <w:tcW w:w="1620" w:type="dxa"/>
            <w:vAlign w:val="bottom"/>
            <w:tcBorders>
              <w:left w:val="single" w:sz="8" w:color="auto"/>
              <w:right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rPr>
              <w:t>1122(d)(2)(vi)</w:t>
            </w:r>
          </w:p>
        </w:tc>
        <w:tc>
          <w:tcPr>
            <w:tcW w:w="6500" w:type="dxa"/>
            <w:vAlign w:val="bottom"/>
            <w:tcBorders>
              <w:right w:val="single" w:sz="8" w:color="auto"/>
            </w:tcBorders>
            <w:gridSpan w:val="6"/>
          </w:tcPr>
          <w:p>
            <w:pPr>
              <w:ind w:left="80"/>
              <w:spacing w:after="0"/>
              <w:rPr>
                <w:sz w:val="20"/>
                <w:szCs w:val="20"/>
                <w:color w:val="auto"/>
              </w:rPr>
            </w:pPr>
            <w:r>
              <w:rPr>
                <w:rFonts w:ascii="Times New Roman" w:cs="Times New Roman" w:eastAsia="Times New Roman" w:hAnsi="Times New Roman"/>
                <w:sz w:val="18"/>
                <w:szCs w:val="18"/>
                <w:color w:val="auto"/>
              </w:rPr>
              <w:t>Unissued checks are safeguarded so as to prevent unauthorized access.</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c>
          <w:tcPr>
            <w:tcW w:w="1780" w:type="dxa"/>
            <w:vAlign w:val="bottom"/>
            <w:tcBorders>
              <w:right w:val="single" w:sz="8" w:color="auto"/>
            </w:tcBorders>
          </w:tcPr>
          <w:p>
            <w:pPr>
              <w:spacing w:after="0"/>
              <w:rPr>
                <w:sz w:val="24"/>
                <w:szCs w:val="24"/>
                <w:color w:val="auto"/>
              </w:rPr>
            </w:pPr>
          </w:p>
        </w:tc>
      </w:tr>
      <w:tr>
        <w:trPr>
          <w:trHeight w:val="216"/>
        </w:trPr>
        <w:tc>
          <w:tcPr>
            <w:tcW w:w="1620" w:type="dxa"/>
            <w:vAlign w:val="bottom"/>
            <w:tcBorders>
              <w:left w:val="single" w:sz="8" w:color="auto"/>
              <w:bottom w:val="single" w:sz="8" w:color="auto"/>
              <w:right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00" w:type="dxa"/>
            <w:vAlign w:val="bottom"/>
            <w:tcBorders>
              <w:bottom w:val="single" w:sz="8" w:color="auto"/>
              <w:right w:val="single" w:sz="8" w:color="auto"/>
            </w:tcBorders>
          </w:tcPr>
          <w:p>
            <w:pPr>
              <w:spacing w:after="0"/>
              <w:rPr>
                <w:sz w:val="18"/>
                <w:szCs w:val="18"/>
                <w:color w:val="auto"/>
              </w:rPr>
            </w:pPr>
          </w:p>
        </w:tc>
        <w:tc>
          <w:tcPr>
            <w:tcW w:w="1340" w:type="dxa"/>
            <w:vAlign w:val="bottom"/>
            <w:tcBorders>
              <w:bottom w:val="single" w:sz="8" w:color="auto"/>
              <w:right w:val="single" w:sz="8" w:color="auto"/>
            </w:tcBorders>
          </w:tcPr>
          <w:p>
            <w:pPr>
              <w:spacing w:after="0"/>
              <w:rPr>
                <w:sz w:val="18"/>
                <w:szCs w:val="18"/>
                <w:color w:val="auto"/>
              </w:rPr>
            </w:pPr>
          </w:p>
        </w:tc>
        <w:tc>
          <w:tcPr>
            <w:tcW w:w="1780" w:type="dxa"/>
            <w:vAlign w:val="bottom"/>
            <w:tcBorders>
              <w:bottom w:val="single" w:sz="8" w:color="auto"/>
              <w:right w:val="single" w:sz="8" w:color="auto"/>
            </w:tcBorders>
          </w:tcPr>
          <w:p>
            <w:pPr>
              <w:spacing w:after="0"/>
              <w:rPr>
                <w:sz w:val="18"/>
                <w:szCs w:val="18"/>
                <w:color w:val="auto"/>
              </w:rPr>
            </w:pPr>
          </w:p>
        </w:tc>
      </w:tr>
      <w:tr>
        <w:trPr>
          <w:trHeight w:val="210"/>
        </w:trPr>
        <w:tc>
          <w:tcPr>
            <w:tcW w:w="16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4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780" w:type="dxa"/>
            <w:vAlign w:val="bottom"/>
          </w:tcPr>
          <w:p>
            <w:pPr>
              <w:spacing w:after="0"/>
              <w:rPr>
                <w:sz w:val="18"/>
                <w:szCs w:val="18"/>
                <w:color w:val="auto"/>
              </w:rPr>
            </w:pPr>
          </w:p>
        </w:tc>
      </w:tr>
    </w:tbl>
    <w:p>
      <w:pPr>
        <w:ind w:left="120" w:hanging="112"/>
        <w:spacing w:after="0" w:line="187" w:lineRule="auto"/>
        <w:tabs>
          <w:tab w:leader="none" w:pos="120" w:val="left"/>
        </w:tabs>
        <w:numPr>
          <w:ilvl w:val="0"/>
          <w:numId w:val="12"/>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No servicing activities were performed by the Company that required the servicing criteria to be complied with.</w:t>
      </w:r>
    </w:p>
    <w:p>
      <w:pPr>
        <w:spacing w:after="0" w:line="43" w:lineRule="exact"/>
        <w:rPr>
          <w:rFonts w:ascii="Times New Roman" w:cs="Times New Roman" w:eastAsia="Times New Roman" w:hAnsi="Times New Roman"/>
          <w:sz w:val="30"/>
          <w:szCs w:val="30"/>
          <w:color w:val="auto"/>
          <w:vertAlign w:val="superscript"/>
        </w:rPr>
      </w:pPr>
    </w:p>
    <w:p>
      <w:pPr>
        <w:jc w:val="both"/>
        <w:ind w:right="3060"/>
        <w:spacing w:after="0" w:line="333"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8"/>
          <w:szCs w:val="28"/>
          <w:color w:val="auto"/>
          <w:vertAlign w:val="superscript"/>
        </w:rPr>
        <w:t>3</w:t>
      </w:r>
      <w:r>
        <w:rPr>
          <w:rFonts w:ascii="Times New Roman" w:cs="Times New Roman" w:eastAsia="Times New Roman" w:hAnsi="Times New Roman"/>
          <w:sz w:val="17"/>
          <w:szCs w:val="17"/>
          <w:color w:val="auto"/>
        </w:rPr>
        <w:t xml:space="preserve"> No servicing activities were performed by the Company that required the servicing criteria to be complied with. </w:t>
      </w:r>
      <w:r>
        <w:rPr>
          <w:rFonts w:ascii="Times New Roman" w:cs="Times New Roman" w:eastAsia="Times New Roman" w:hAnsi="Times New Roman"/>
          <w:sz w:val="28"/>
          <w:szCs w:val="28"/>
          <w:color w:val="auto"/>
          <w:vertAlign w:val="superscript"/>
        </w:rPr>
        <w:t>4</w:t>
      </w:r>
      <w:r>
        <w:rPr>
          <w:rFonts w:ascii="Times New Roman" w:cs="Times New Roman" w:eastAsia="Times New Roman" w:hAnsi="Times New Roman"/>
          <w:sz w:val="17"/>
          <w:szCs w:val="17"/>
          <w:color w:val="auto"/>
        </w:rPr>
        <w:t xml:space="preserve"> No servicing activities were performed by the Company that required the servicing criteria to be complied 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9" w:name="page20"/>
    <w:bookmarkEnd w:id="19"/>
    <w:tbl>
      <w:tblPr>
        <w:tblLayout w:type="fixed"/>
        <w:tblInd w:w="10" w:type="dxa"/>
        <w:tblCellMar>
          <w:top w:w="0" w:type="dxa"/>
          <w:left w:w="0" w:type="dxa"/>
          <w:bottom w:w="0" w:type="dxa"/>
          <w:right w:w="0" w:type="dxa"/>
        </w:tblCellMar>
      </w:tblPr>
      <w:tr>
        <w:trPr>
          <w:trHeight w:val="207"/>
        </w:trPr>
        <w:tc>
          <w:tcPr>
            <w:tcW w:w="1600" w:type="dxa"/>
            <w:vAlign w:val="bottom"/>
            <w:tcBorders>
              <w:top w:val="single" w:sz="8" w:color="auto"/>
              <w:left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Reference</w:t>
            </w:r>
          </w:p>
        </w:tc>
        <w:tc>
          <w:tcPr>
            <w:tcW w:w="6520" w:type="dxa"/>
            <w:vAlign w:val="bottom"/>
            <w:tcBorders>
              <w:top w:val="single" w:sz="8" w:color="auto"/>
              <w:right w:val="single" w:sz="8" w:color="auto"/>
            </w:tcBorders>
            <w:gridSpan w:val="5"/>
          </w:tcPr>
          <w:p>
            <w:pPr>
              <w:ind w:left="2560"/>
              <w:spacing w:after="0"/>
              <w:rPr>
                <w:sz w:val="20"/>
                <w:szCs w:val="20"/>
                <w:color w:val="auto"/>
              </w:rPr>
            </w:pPr>
            <w:r>
              <w:rPr>
                <w:rFonts w:ascii="Times New Roman" w:cs="Times New Roman" w:eastAsia="Times New Roman" w:hAnsi="Times New Roman"/>
                <w:sz w:val="18"/>
                <w:szCs w:val="18"/>
                <w:b w:val="1"/>
                <w:bCs w:val="1"/>
                <w:color w:val="auto"/>
              </w:rPr>
              <w:t>Servicing Criteria</w:t>
            </w:r>
          </w:p>
        </w:tc>
        <w:tc>
          <w:tcPr>
            <w:tcW w:w="1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Applicable</w:t>
            </w:r>
          </w:p>
        </w:tc>
        <w:tc>
          <w:tcPr>
            <w:tcW w:w="1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Inapplicable</w:t>
            </w: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26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10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Servicing</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Servicing Criteria</w:t>
            </w:r>
          </w:p>
        </w:tc>
      </w:tr>
      <w:tr>
        <w:trPr>
          <w:trHeight w:val="238"/>
        </w:trPr>
        <w:tc>
          <w:tcPr>
            <w:tcW w:w="1600" w:type="dxa"/>
            <w:vAlign w:val="bottom"/>
            <w:tcBorders>
              <w:left w:val="single" w:sz="8" w:color="auto"/>
              <w:bottom w:val="single" w:sz="8" w:color="auto"/>
              <w:right w:val="single" w:sz="8" w:color="auto"/>
            </w:tcBorders>
          </w:tcPr>
          <w:p>
            <w:pPr>
              <w:spacing w:after="0"/>
              <w:rPr>
                <w:sz w:val="20"/>
                <w:szCs w:val="20"/>
                <w:color w:val="auto"/>
              </w:rPr>
            </w:pPr>
          </w:p>
        </w:tc>
        <w:tc>
          <w:tcPr>
            <w:tcW w:w="262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0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10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Criteria</w:t>
            </w:r>
          </w:p>
        </w:tc>
        <w:tc>
          <w:tcPr>
            <w:tcW w:w="1780" w:type="dxa"/>
            <w:vAlign w:val="bottom"/>
            <w:tcBorders>
              <w:bottom w:val="single" w:sz="8" w:color="auto"/>
              <w:right w:val="single" w:sz="8" w:color="auto"/>
            </w:tcBorders>
          </w:tcPr>
          <w:p>
            <w:pPr>
              <w:spacing w:after="0"/>
              <w:rPr>
                <w:sz w:val="20"/>
                <w:szCs w:val="20"/>
                <w:color w:val="auto"/>
              </w:rPr>
            </w:pPr>
          </w:p>
        </w:tc>
      </w:tr>
      <w:tr>
        <w:trPr>
          <w:trHeight w:val="407"/>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1122(d)(2)(vii)</w:t>
            </w:r>
          </w:p>
        </w:tc>
        <w:tc>
          <w:tcPr>
            <w:tcW w:w="652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Reconciliations are prepared on a monthly basis for all asset-backed securities related</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c>
          <w:tcPr>
            <w:tcW w:w="1780" w:type="dxa"/>
            <w:vAlign w:val="bottom"/>
            <w:tcBorders>
              <w:right w:val="single" w:sz="8" w:color="auto"/>
            </w:tcBorders>
          </w:tcPr>
          <w:p>
            <w:pPr>
              <w:spacing w:after="0"/>
              <w:rPr>
                <w:sz w:val="24"/>
                <w:szCs w:val="24"/>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652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bank accounts, including custodial accounts and related bank clearing accounts. These</w:t>
            </w:r>
          </w:p>
        </w:tc>
        <w:tc>
          <w:tcPr>
            <w:tcW w:w="13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652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reconciliations are (A) mathematically accurate; (B) prepared within 30 calendar days</w:t>
            </w:r>
          </w:p>
        </w:tc>
        <w:tc>
          <w:tcPr>
            <w:tcW w:w="13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652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after the bank statement cutoff date, or such other number of days specified in the</w:t>
            </w:r>
          </w:p>
        </w:tc>
        <w:tc>
          <w:tcPr>
            <w:tcW w:w="13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652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transaction agreements; (C) reviewed and approved by someone other than the person</w:t>
            </w:r>
          </w:p>
        </w:tc>
        <w:tc>
          <w:tcPr>
            <w:tcW w:w="13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652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who prepared the reconciliation; and (D) contain explanations for reconciling items.</w:t>
            </w:r>
          </w:p>
        </w:tc>
        <w:tc>
          <w:tcPr>
            <w:tcW w:w="13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652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These reconciling items are resolved within 90 calendar days of their original</w:t>
            </w:r>
          </w:p>
        </w:tc>
        <w:tc>
          <w:tcPr>
            <w:tcW w:w="13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34"/>
        </w:trPr>
        <w:tc>
          <w:tcPr>
            <w:tcW w:w="1600" w:type="dxa"/>
            <w:vAlign w:val="bottom"/>
            <w:tcBorders>
              <w:left w:val="single" w:sz="8" w:color="auto"/>
              <w:right w:val="single" w:sz="8" w:color="auto"/>
            </w:tcBorders>
          </w:tcPr>
          <w:p>
            <w:pPr>
              <w:spacing w:after="0"/>
              <w:rPr>
                <w:sz w:val="20"/>
                <w:szCs w:val="20"/>
                <w:color w:val="auto"/>
              </w:rPr>
            </w:pPr>
          </w:p>
        </w:tc>
        <w:tc>
          <w:tcPr>
            <w:tcW w:w="652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identification, or such other number of days specified in the transaction agreements.</w:t>
            </w:r>
          </w:p>
        </w:tc>
        <w:tc>
          <w:tcPr>
            <w:tcW w:w="134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r>
      <w:tr>
        <w:trPr>
          <w:trHeight w:val="81"/>
        </w:trPr>
        <w:tc>
          <w:tcPr>
            <w:tcW w:w="1600" w:type="dxa"/>
            <w:vAlign w:val="bottom"/>
            <w:tcBorders>
              <w:left w:val="single" w:sz="8" w:color="auto"/>
              <w:bottom w:val="single" w:sz="8" w:color="auto"/>
              <w:right w:val="single" w:sz="8" w:color="auto"/>
            </w:tcBorders>
          </w:tcPr>
          <w:p>
            <w:pPr>
              <w:spacing w:after="0"/>
              <w:rPr>
                <w:sz w:val="7"/>
                <w:szCs w:val="7"/>
                <w:color w:val="auto"/>
              </w:rPr>
            </w:pPr>
          </w:p>
        </w:tc>
        <w:tc>
          <w:tcPr>
            <w:tcW w:w="26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0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1780" w:type="dxa"/>
            <w:vAlign w:val="bottom"/>
            <w:tcBorders>
              <w:bottom w:val="single" w:sz="8" w:color="auto"/>
              <w:right w:val="single" w:sz="8" w:color="auto"/>
            </w:tcBorders>
          </w:tcPr>
          <w:p>
            <w:pPr>
              <w:spacing w:after="0"/>
              <w:rPr>
                <w:sz w:val="7"/>
                <w:szCs w:val="7"/>
                <w:color w:val="auto"/>
              </w:rPr>
            </w:pPr>
          </w:p>
        </w:tc>
      </w:tr>
      <w:tr>
        <w:trPr>
          <w:trHeight w:val="345"/>
        </w:trPr>
        <w:tc>
          <w:tcPr>
            <w:tcW w:w="1600" w:type="dxa"/>
            <w:vAlign w:val="bottom"/>
            <w:tcBorders>
              <w:left w:val="single" w:sz="8" w:color="auto"/>
            </w:tcBorders>
          </w:tcPr>
          <w:p>
            <w:pPr>
              <w:spacing w:after="0"/>
              <w:rPr>
                <w:sz w:val="24"/>
                <w:szCs w:val="24"/>
                <w:color w:val="auto"/>
              </w:rPr>
            </w:pPr>
          </w:p>
        </w:tc>
        <w:tc>
          <w:tcPr>
            <w:tcW w:w="2620" w:type="dxa"/>
            <w:vAlign w:val="bottom"/>
          </w:tcPr>
          <w:p>
            <w:pPr>
              <w:spacing w:after="0"/>
              <w:rPr>
                <w:sz w:val="24"/>
                <w:szCs w:val="24"/>
                <w:color w:val="auto"/>
              </w:rPr>
            </w:pPr>
          </w:p>
        </w:tc>
        <w:tc>
          <w:tcPr>
            <w:tcW w:w="3900" w:type="dxa"/>
            <w:vAlign w:val="bottom"/>
            <w:gridSpan w:val="4"/>
          </w:tcPr>
          <w:p>
            <w:pPr>
              <w:jc w:val="center"/>
              <w:ind w:right="1100"/>
              <w:spacing w:after="0"/>
              <w:rPr>
                <w:sz w:val="20"/>
                <w:szCs w:val="20"/>
                <w:color w:val="auto"/>
              </w:rPr>
            </w:pPr>
            <w:r>
              <w:rPr>
                <w:rFonts w:ascii="Times New Roman" w:cs="Times New Roman" w:eastAsia="Times New Roman" w:hAnsi="Times New Roman"/>
                <w:sz w:val="18"/>
                <w:szCs w:val="18"/>
                <w:b w:val="1"/>
                <w:bCs w:val="1"/>
                <w:color w:val="auto"/>
              </w:rPr>
              <w:t>Investor Remittances and Reporting</w:t>
            </w:r>
          </w:p>
        </w:tc>
        <w:tc>
          <w:tcPr>
            <w:tcW w:w="1340" w:type="dxa"/>
            <w:vAlign w:val="bottom"/>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r>
      <w:tr>
        <w:trPr>
          <w:trHeight w:val="102"/>
        </w:trPr>
        <w:tc>
          <w:tcPr>
            <w:tcW w:w="1600" w:type="dxa"/>
            <w:vAlign w:val="bottom"/>
            <w:tcBorders>
              <w:left w:val="single" w:sz="8" w:color="auto"/>
              <w:bottom w:val="single" w:sz="8" w:color="auto"/>
            </w:tcBorders>
          </w:tcPr>
          <w:p>
            <w:pPr>
              <w:spacing w:after="0"/>
              <w:rPr>
                <w:sz w:val="8"/>
                <w:szCs w:val="8"/>
                <w:color w:val="auto"/>
              </w:rPr>
            </w:pPr>
          </w:p>
        </w:tc>
        <w:tc>
          <w:tcPr>
            <w:tcW w:w="2620" w:type="dxa"/>
            <w:vAlign w:val="bottom"/>
            <w:tcBorders>
              <w:bottom w:val="single" w:sz="8" w:color="auto"/>
            </w:tcBorders>
          </w:tcPr>
          <w:p>
            <w:pPr>
              <w:spacing w:after="0"/>
              <w:rPr>
                <w:sz w:val="8"/>
                <w:szCs w:val="8"/>
                <w:color w:val="auto"/>
              </w:rPr>
            </w:pPr>
          </w:p>
        </w:tc>
        <w:tc>
          <w:tcPr>
            <w:tcW w:w="400" w:type="dxa"/>
            <w:vAlign w:val="bottom"/>
            <w:tcBorders>
              <w:top w:val="single" w:sz="8" w:color="auto"/>
              <w:bottom w:val="single" w:sz="8" w:color="auto"/>
            </w:tcBorders>
          </w:tcPr>
          <w:p>
            <w:pPr>
              <w:spacing w:after="0"/>
              <w:rPr>
                <w:sz w:val="8"/>
                <w:szCs w:val="8"/>
                <w:color w:val="auto"/>
              </w:rPr>
            </w:pPr>
          </w:p>
        </w:tc>
        <w:tc>
          <w:tcPr>
            <w:tcW w:w="2020" w:type="dxa"/>
            <w:vAlign w:val="bottom"/>
            <w:tcBorders>
              <w:top w:val="single" w:sz="8" w:color="auto"/>
              <w:bottom w:val="single" w:sz="8" w:color="auto"/>
            </w:tcBorders>
          </w:tcPr>
          <w:p>
            <w:pPr>
              <w:spacing w:after="0"/>
              <w:rPr>
                <w:sz w:val="8"/>
                <w:szCs w:val="8"/>
                <w:color w:val="auto"/>
              </w:rPr>
            </w:pPr>
          </w:p>
        </w:tc>
        <w:tc>
          <w:tcPr>
            <w:tcW w:w="380" w:type="dxa"/>
            <w:vAlign w:val="bottom"/>
            <w:tcBorders>
              <w:top w:val="single" w:sz="8" w:color="auto"/>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780" w:type="dxa"/>
            <w:vAlign w:val="bottom"/>
            <w:tcBorders>
              <w:bottom w:val="single" w:sz="8" w:color="auto"/>
              <w:right w:val="single" w:sz="8" w:color="auto"/>
            </w:tcBorders>
          </w:tcPr>
          <w:p>
            <w:pPr>
              <w:spacing w:after="0"/>
              <w:rPr>
                <w:sz w:val="8"/>
                <w:szCs w:val="8"/>
                <w:color w:val="auto"/>
              </w:rPr>
            </w:pPr>
          </w:p>
        </w:tc>
      </w:tr>
      <w:tr>
        <w:trPr>
          <w:trHeight w:val="407"/>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1122(d)(3)(i)</w:t>
            </w:r>
          </w:p>
        </w:tc>
        <w:tc>
          <w:tcPr>
            <w:tcW w:w="652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Reports to investors, including those to be filed with the Commission, are maintained</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c>
          <w:tcPr>
            <w:tcW w:w="1780" w:type="dxa"/>
            <w:vAlign w:val="bottom"/>
            <w:tcBorders>
              <w:right w:val="single" w:sz="8" w:color="auto"/>
            </w:tcBorders>
          </w:tcPr>
          <w:p>
            <w:pPr>
              <w:spacing w:after="0"/>
              <w:rPr>
                <w:sz w:val="24"/>
                <w:szCs w:val="24"/>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652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in accordance with the transaction agreements and applicable Commission</w:t>
            </w:r>
          </w:p>
        </w:tc>
        <w:tc>
          <w:tcPr>
            <w:tcW w:w="13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652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requirements. Specifically, such reports (A) are prepared in accordance with</w:t>
            </w:r>
          </w:p>
        </w:tc>
        <w:tc>
          <w:tcPr>
            <w:tcW w:w="13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652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timeframes and other terms set forth in the transaction agreements; (B) provide</w:t>
            </w:r>
          </w:p>
        </w:tc>
        <w:tc>
          <w:tcPr>
            <w:tcW w:w="13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652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information calculated in accordance with the terms specified in the transaction</w:t>
            </w:r>
          </w:p>
        </w:tc>
        <w:tc>
          <w:tcPr>
            <w:tcW w:w="13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652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agreements; (C) are filed with the Commission as required by its rules and regulations;</w:t>
            </w:r>
          </w:p>
        </w:tc>
        <w:tc>
          <w:tcPr>
            <w:tcW w:w="13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652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and (D) agree with investors’ or the trustee’s records as to the total unpaid principal</w:t>
            </w:r>
          </w:p>
        </w:tc>
        <w:tc>
          <w:tcPr>
            <w:tcW w:w="13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34"/>
        </w:trPr>
        <w:tc>
          <w:tcPr>
            <w:tcW w:w="1600" w:type="dxa"/>
            <w:vAlign w:val="bottom"/>
            <w:tcBorders>
              <w:left w:val="single" w:sz="8" w:color="auto"/>
              <w:bottom w:val="single" w:sz="8" w:color="auto"/>
              <w:right w:val="single" w:sz="8" w:color="auto"/>
            </w:tcBorders>
          </w:tcPr>
          <w:p>
            <w:pPr>
              <w:spacing w:after="0"/>
              <w:rPr>
                <w:sz w:val="20"/>
                <w:szCs w:val="20"/>
                <w:color w:val="auto"/>
              </w:rPr>
            </w:pPr>
          </w:p>
        </w:tc>
        <w:tc>
          <w:tcPr>
            <w:tcW w:w="6520" w:type="dxa"/>
            <w:vAlign w:val="bottom"/>
            <w:tcBorders>
              <w:bottom w:val="single" w:sz="8" w:color="auto"/>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balance and number of Pool Assets serviced by the Servicer.</w:t>
            </w:r>
          </w:p>
        </w:tc>
        <w:tc>
          <w:tcPr>
            <w:tcW w:w="134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r>
      <w:tr>
        <w:trPr>
          <w:trHeight w:val="407"/>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1122(d)(3)(ii)</w:t>
            </w:r>
          </w:p>
        </w:tc>
        <w:tc>
          <w:tcPr>
            <w:tcW w:w="652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Amounts due to investors are allocated and remitted in accordance with timeframes,</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c>
          <w:tcPr>
            <w:tcW w:w="1780" w:type="dxa"/>
            <w:vAlign w:val="bottom"/>
            <w:tcBorders>
              <w:right w:val="single" w:sz="8" w:color="auto"/>
            </w:tcBorders>
          </w:tcPr>
          <w:p>
            <w:pPr>
              <w:spacing w:after="0"/>
              <w:rPr>
                <w:sz w:val="24"/>
                <w:szCs w:val="24"/>
                <w:color w:val="auto"/>
              </w:rPr>
            </w:pPr>
          </w:p>
        </w:tc>
      </w:tr>
      <w:tr>
        <w:trPr>
          <w:trHeight w:val="234"/>
        </w:trPr>
        <w:tc>
          <w:tcPr>
            <w:tcW w:w="1600" w:type="dxa"/>
            <w:vAlign w:val="bottom"/>
            <w:tcBorders>
              <w:left w:val="single" w:sz="8" w:color="auto"/>
              <w:bottom w:val="single" w:sz="8" w:color="auto"/>
              <w:right w:val="single" w:sz="8" w:color="auto"/>
            </w:tcBorders>
          </w:tcPr>
          <w:p>
            <w:pPr>
              <w:spacing w:after="0"/>
              <w:rPr>
                <w:sz w:val="20"/>
                <w:szCs w:val="20"/>
                <w:color w:val="auto"/>
              </w:rPr>
            </w:pPr>
          </w:p>
        </w:tc>
        <w:tc>
          <w:tcPr>
            <w:tcW w:w="6520" w:type="dxa"/>
            <w:vAlign w:val="bottom"/>
            <w:tcBorders>
              <w:bottom w:val="single" w:sz="8" w:color="auto"/>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distribution priority and other terms set forth in the transaction agreements.</w:t>
            </w:r>
          </w:p>
        </w:tc>
        <w:tc>
          <w:tcPr>
            <w:tcW w:w="134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r>
      <w:tr>
        <w:trPr>
          <w:trHeight w:val="407"/>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1122(d)(3)(iii)</w:t>
            </w:r>
          </w:p>
        </w:tc>
        <w:tc>
          <w:tcPr>
            <w:tcW w:w="652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Disbursements made to an investor are posted within two business days to the</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c>
          <w:tcPr>
            <w:tcW w:w="1780" w:type="dxa"/>
            <w:vAlign w:val="bottom"/>
            <w:tcBorders>
              <w:right w:val="single" w:sz="8" w:color="auto"/>
            </w:tcBorders>
          </w:tcPr>
          <w:p>
            <w:pPr>
              <w:spacing w:after="0"/>
              <w:rPr>
                <w:sz w:val="24"/>
                <w:szCs w:val="24"/>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652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Servicer’s investor records, or such other number of days specified in the transaction</w:t>
            </w:r>
          </w:p>
        </w:tc>
        <w:tc>
          <w:tcPr>
            <w:tcW w:w="13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34"/>
        </w:trPr>
        <w:tc>
          <w:tcPr>
            <w:tcW w:w="1600" w:type="dxa"/>
            <w:vAlign w:val="bottom"/>
            <w:tcBorders>
              <w:left w:val="single" w:sz="8" w:color="auto"/>
              <w:bottom w:val="single" w:sz="8" w:color="auto"/>
              <w:right w:val="single" w:sz="8" w:color="auto"/>
            </w:tcBorders>
          </w:tcPr>
          <w:p>
            <w:pPr>
              <w:spacing w:after="0"/>
              <w:rPr>
                <w:sz w:val="20"/>
                <w:szCs w:val="20"/>
                <w:color w:val="auto"/>
              </w:rPr>
            </w:pPr>
          </w:p>
        </w:tc>
        <w:tc>
          <w:tcPr>
            <w:tcW w:w="6520" w:type="dxa"/>
            <w:vAlign w:val="bottom"/>
            <w:tcBorders>
              <w:bottom w:val="single" w:sz="8" w:color="auto"/>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agreements.</w:t>
            </w:r>
          </w:p>
        </w:tc>
        <w:tc>
          <w:tcPr>
            <w:tcW w:w="134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r>
      <w:tr>
        <w:trPr>
          <w:trHeight w:val="407"/>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1122(d)(3)(iv)</w:t>
            </w:r>
          </w:p>
        </w:tc>
        <w:tc>
          <w:tcPr>
            <w:tcW w:w="652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Amounts remitted to investors per the investor reports agree with cancelled checks, or</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c>
          <w:tcPr>
            <w:tcW w:w="1780" w:type="dxa"/>
            <w:vAlign w:val="bottom"/>
            <w:tcBorders>
              <w:right w:val="single" w:sz="8" w:color="auto"/>
            </w:tcBorders>
          </w:tcPr>
          <w:p>
            <w:pPr>
              <w:spacing w:after="0"/>
              <w:rPr>
                <w:sz w:val="24"/>
                <w:szCs w:val="24"/>
                <w:color w:val="auto"/>
              </w:rPr>
            </w:pPr>
          </w:p>
        </w:tc>
      </w:tr>
      <w:tr>
        <w:trPr>
          <w:trHeight w:val="234"/>
        </w:trPr>
        <w:tc>
          <w:tcPr>
            <w:tcW w:w="1600" w:type="dxa"/>
            <w:vAlign w:val="bottom"/>
            <w:tcBorders>
              <w:left w:val="single" w:sz="8" w:color="auto"/>
              <w:bottom w:val="single" w:sz="8" w:color="auto"/>
              <w:right w:val="single" w:sz="8" w:color="auto"/>
            </w:tcBorders>
          </w:tcPr>
          <w:p>
            <w:pPr>
              <w:spacing w:after="0"/>
              <w:rPr>
                <w:sz w:val="20"/>
                <w:szCs w:val="20"/>
                <w:color w:val="auto"/>
              </w:rPr>
            </w:pPr>
          </w:p>
        </w:tc>
        <w:tc>
          <w:tcPr>
            <w:tcW w:w="6520" w:type="dxa"/>
            <w:vAlign w:val="bottom"/>
            <w:tcBorders>
              <w:bottom w:val="single" w:sz="8" w:color="auto"/>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other form of payment, or custodial bank statements.</w:t>
            </w:r>
          </w:p>
        </w:tc>
        <w:tc>
          <w:tcPr>
            <w:tcW w:w="134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r>
      <w:tr>
        <w:trPr>
          <w:trHeight w:val="344"/>
        </w:trPr>
        <w:tc>
          <w:tcPr>
            <w:tcW w:w="1600" w:type="dxa"/>
            <w:vAlign w:val="bottom"/>
            <w:tcBorders>
              <w:left w:val="single" w:sz="8" w:color="auto"/>
            </w:tcBorders>
          </w:tcPr>
          <w:p>
            <w:pPr>
              <w:spacing w:after="0"/>
              <w:rPr>
                <w:sz w:val="24"/>
                <w:szCs w:val="24"/>
                <w:color w:val="auto"/>
              </w:rPr>
            </w:pPr>
          </w:p>
        </w:tc>
        <w:tc>
          <w:tcPr>
            <w:tcW w:w="2620" w:type="dxa"/>
            <w:vAlign w:val="bottom"/>
          </w:tcPr>
          <w:p>
            <w:pPr>
              <w:spacing w:after="0"/>
              <w:rPr>
                <w:sz w:val="24"/>
                <w:szCs w:val="24"/>
                <w:color w:val="auto"/>
              </w:rPr>
            </w:pPr>
          </w:p>
        </w:tc>
        <w:tc>
          <w:tcPr>
            <w:tcW w:w="3900" w:type="dxa"/>
            <w:vAlign w:val="bottom"/>
            <w:gridSpan w:val="4"/>
          </w:tcPr>
          <w:p>
            <w:pPr>
              <w:jc w:val="center"/>
              <w:ind w:right="1080"/>
              <w:spacing w:after="0"/>
              <w:rPr>
                <w:sz w:val="20"/>
                <w:szCs w:val="20"/>
                <w:color w:val="auto"/>
              </w:rPr>
            </w:pPr>
            <w:r>
              <w:rPr>
                <w:rFonts w:ascii="Times New Roman" w:cs="Times New Roman" w:eastAsia="Times New Roman" w:hAnsi="Times New Roman"/>
                <w:sz w:val="18"/>
                <w:szCs w:val="18"/>
                <w:b w:val="1"/>
                <w:bCs w:val="1"/>
                <w:color w:val="auto"/>
                <w:w w:val="99"/>
              </w:rPr>
              <w:t>Pool Asset Administration</w:t>
            </w:r>
          </w:p>
        </w:tc>
        <w:tc>
          <w:tcPr>
            <w:tcW w:w="1340" w:type="dxa"/>
            <w:vAlign w:val="bottom"/>
          </w:tcPr>
          <w:p>
            <w:pPr>
              <w:spacing w:after="0"/>
              <w:rPr>
                <w:sz w:val="24"/>
                <w:szCs w:val="24"/>
                <w:color w:val="auto"/>
              </w:rPr>
            </w:pPr>
          </w:p>
        </w:tc>
        <w:tc>
          <w:tcPr>
            <w:tcW w:w="1780" w:type="dxa"/>
            <w:vAlign w:val="bottom"/>
            <w:tcBorders>
              <w:right w:val="single" w:sz="8" w:color="auto"/>
            </w:tcBorders>
          </w:tcPr>
          <w:p>
            <w:pPr>
              <w:spacing w:after="0"/>
              <w:rPr>
                <w:sz w:val="24"/>
                <w:szCs w:val="24"/>
                <w:color w:val="auto"/>
              </w:rPr>
            </w:pPr>
          </w:p>
        </w:tc>
      </w:tr>
      <w:tr>
        <w:trPr>
          <w:trHeight w:val="102"/>
        </w:trPr>
        <w:tc>
          <w:tcPr>
            <w:tcW w:w="1600" w:type="dxa"/>
            <w:vAlign w:val="bottom"/>
            <w:tcBorders>
              <w:left w:val="single" w:sz="8" w:color="auto"/>
              <w:bottom w:val="single" w:sz="8" w:color="auto"/>
            </w:tcBorders>
          </w:tcPr>
          <w:p>
            <w:pPr>
              <w:spacing w:after="0"/>
              <w:rPr>
                <w:sz w:val="8"/>
                <w:szCs w:val="8"/>
                <w:color w:val="auto"/>
              </w:rPr>
            </w:pPr>
          </w:p>
        </w:tc>
        <w:tc>
          <w:tcPr>
            <w:tcW w:w="262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2020" w:type="dxa"/>
            <w:vAlign w:val="bottom"/>
            <w:tcBorders>
              <w:top w:val="single" w:sz="8" w:color="auto"/>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1100" w:type="dxa"/>
            <w:vAlign w:val="bottom"/>
            <w:tcBorders>
              <w:bottom w:val="single" w:sz="8" w:color="auto"/>
            </w:tcBorders>
          </w:tcPr>
          <w:p>
            <w:pPr>
              <w:spacing w:after="0"/>
              <w:rPr>
                <w:sz w:val="8"/>
                <w:szCs w:val="8"/>
                <w:color w:val="auto"/>
              </w:rPr>
            </w:pPr>
          </w:p>
        </w:tc>
        <w:tc>
          <w:tcPr>
            <w:tcW w:w="1340" w:type="dxa"/>
            <w:vAlign w:val="bottom"/>
            <w:tcBorders>
              <w:bottom w:val="single" w:sz="8" w:color="auto"/>
            </w:tcBorders>
          </w:tcPr>
          <w:p>
            <w:pPr>
              <w:spacing w:after="0"/>
              <w:rPr>
                <w:sz w:val="8"/>
                <w:szCs w:val="8"/>
                <w:color w:val="auto"/>
              </w:rPr>
            </w:pPr>
          </w:p>
        </w:tc>
        <w:tc>
          <w:tcPr>
            <w:tcW w:w="1780" w:type="dxa"/>
            <w:vAlign w:val="bottom"/>
            <w:tcBorders>
              <w:bottom w:val="single" w:sz="8" w:color="auto"/>
              <w:right w:val="single" w:sz="8" w:color="auto"/>
            </w:tcBorders>
          </w:tcPr>
          <w:p>
            <w:pPr>
              <w:spacing w:after="0"/>
              <w:rPr>
                <w:sz w:val="8"/>
                <w:szCs w:val="8"/>
                <w:color w:val="auto"/>
              </w:rPr>
            </w:pPr>
          </w:p>
        </w:tc>
      </w:tr>
      <w:tr>
        <w:trPr>
          <w:trHeight w:val="407"/>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1122(d)(4)(i)</w:t>
            </w:r>
          </w:p>
        </w:tc>
        <w:tc>
          <w:tcPr>
            <w:tcW w:w="652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Collateral or security on pool assets is maintained as required by the transaction</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c>
          <w:tcPr>
            <w:tcW w:w="1780" w:type="dxa"/>
            <w:vAlign w:val="bottom"/>
            <w:tcBorders>
              <w:right w:val="single" w:sz="8" w:color="auto"/>
            </w:tcBorders>
          </w:tcPr>
          <w:p>
            <w:pPr>
              <w:spacing w:after="0"/>
              <w:rPr>
                <w:sz w:val="24"/>
                <w:szCs w:val="24"/>
                <w:color w:val="auto"/>
              </w:rPr>
            </w:pPr>
          </w:p>
        </w:tc>
      </w:tr>
      <w:tr>
        <w:trPr>
          <w:trHeight w:val="234"/>
        </w:trPr>
        <w:tc>
          <w:tcPr>
            <w:tcW w:w="1600" w:type="dxa"/>
            <w:vAlign w:val="bottom"/>
            <w:tcBorders>
              <w:left w:val="single" w:sz="8" w:color="auto"/>
              <w:bottom w:val="single" w:sz="8" w:color="auto"/>
              <w:right w:val="single" w:sz="8" w:color="auto"/>
            </w:tcBorders>
          </w:tcPr>
          <w:p>
            <w:pPr>
              <w:spacing w:after="0"/>
              <w:rPr>
                <w:sz w:val="20"/>
                <w:szCs w:val="20"/>
                <w:color w:val="auto"/>
              </w:rPr>
            </w:pPr>
          </w:p>
        </w:tc>
        <w:tc>
          <w:tcPr>
            <w:tcW w:w="6520" w:type="dxa"/>
            <w:vAlign w:val="bottom"/>
            <w:tcBorders>
              <w:bottom w:val="single" w:sz="8" w:color="auto"/>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agreements or related pool asset documents.</w:t>
            </w:r>
          </w:p>
        </w:tc>
        <w:tc>
          <w:tcPr>
            <w:tcW w:w="134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r>
      <w:tr>
        <w:trPr>
          <w:trHeight w:val="407"/>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1122(d)(4)(ii)</w:t>
            </w:r>
          </w:p>
        </w:tc>
        <w:tc>
          <w:tcPr>
            <w:tcW w:w="652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Pool assets and related documents are safeguarded as required by the transaction</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c>
          <w:tcPr>
            <w:tcW w:w="1780" w:type="dxa"/>
            <w:vAlign w:val="bottom"/>
            <w:tcBorders>
              <w:right w:val="single" w:sz="8" w:color="auto"/>
            </w:tcBorders>
          </w:tcPr>
          <w:p>
            <w:pPr>
              <w:spacing w:after="0"/>
              <w:rPr>
                <w:sz w:val="24"/>
                <w:szCs w:val="24"/>
                <w:color w:val="auto"/>
              </w:rPr>
            </w:pPr>
          </w:p>
        </w:tc>
      </w:tr>
      <w:tr>
        <w:trPr>
          <w:trHeight w:val="234"/>
        </w:trPr>
        <w:tc>
          <w:tcPr>
            <w:tcW w:w="1600" w:type="dxa"/>
            <w:vAlign w:val="bottom"/>
            <w:tcBorders>
              <w:left w:val="single" w:sz="8" w:color="auto"/>
              <w:bottom w:val="single" w:sz="8" w:color="auto"/>
              <w:right w:val="single" w:sz="8" w:color="auto"/>
            </w:tcBorders>
          </w:tcPr>
          <w:p>
            <w:pPr>
              <w:spacing w:after="0"/>
              <w:rPr>
                <w:sz w:val="20"/>
                <w:szCs w:val="20"/>
                <w:color w:val="auto"/>
              </w:rPr>
            </w:pPr>
          </w:p>
        </w:tc>
        <w:tc>
          <w:tcPr>
            <w:tcW w:w="6520" w:type="dxa"/>
            <w:vAlign w:val="bottom"/>
            <w:tcBorders>
              <w:bottom w:val="single" w:sz="8" w:color="auto"/>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agreements.</w:t>
            </w:r>
          </w:p>
        </w:tc>
        <w:tc>
          <w:tcPr>
            <w:tcW w:w="134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r>
      <w:tr>
        <w:trPr>
          <w:trHeight w:val="407"/>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1122(d)(4)(iii)</w:t>
            </w:r>
          </w:p>
        </w:tc>
        <w:tc>
          <w:tcPr>
            <w:tcW w:w="652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Any additions, removals or substitutions to the asset pool are made, reviewed and</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c>
          <w:tcPr>
            <w:tcW w:w="1780" w:type="dxa"/>
            <w:vAlign w:val="bottom"/>
            <w:tcBorders>
              <w:right w:val="single" w:sz="8" w:color="auto"/>
            </w:tcBorders>
          </w:tcPr>
          <w:p>
            <w:pPr>
              <w:spacing w:after="0"/>
              <w:rPr>
                <w:sz w:val="24"/>
                <w:szCs w:val="24"/>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652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approved in accordance with any conditions or requirements in the transaction</w:t>
            </w:r>
          </w:p>
        </w:tc>
        <w:tc>
          <w:tcPr>
            <w:tcW w:w="13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34"/>
        </w:trPr>
        <w:tc>
          <w:tcPr>
            <w:tcW w:w="1600" w:type="dxa"/>
            <w:vAlign w:val="bottom"/>
            <w:tcBorders>
              <w:left w:val="single" w:sz="8" w:color="auto"/>
              <w:bottom w:val="single" w:sz="8" w:color="auto"/>
              <w:right w:val="single" w:sz="8" w:color="auto"/>
            </w:tcBorders>
          </w:tcPr>
          <w:p>
            <w:pPr>
              <w:spacing w:after="0"/>
              <w:rPr>
                <w:sz w:val="20"/>
                <w:szCs w:val="20"/>
                <w:color w:val="auto"/>
              </w:rPr>
            </w:pPr>
          </w:p>
        </w:tc>
        <w:tc>
          <w:tcPr>
            <w:tcW w:w="6520" w:type="dxa"/>
            <w:vAlign w:val="bottom"/>
            <w:tcBorders>
              <w:bottom w:val="single" w:sz="8" w:color="auto"/>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agreements.</w:t>
            </w:r>
          </w:p>
        </w:tc>
        <w:tc>
          <w:tcPr>
            <w:tcW w:w="134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r>
      <w:tr>
        <w:trPr>
          <w:trHeight w:val="407"/>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1122(d)(4)(iv)</w:t>
            </w:r>
          </w:p>
        </w:tc>
        <w:tc>
          <w:tcPr>
            <w:tcW w:w="652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Payments on pool assets, including any payoffs, made in accordance with the related</w:t>
            </w:r>
          </w:p>
        </w:tc>
        <w:tc>
          <w:tcPr>
            <w:tcW w:w="1340" w:type="dxa"/>
            <w:vAlign w:val="bottom"/>
            <w:tcBorders>
              <w:right w:val="single" w:sz="8" w:color="auto"/>
            </w:tcBorders>
          </w:tcPr>
          <w:p>
            <w:pPr>
              <w:spacing w:after="0"/>
              <w:rPr>
                <w:sz w:val="24"/>
                <w:szCs w:val="24"/>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652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pool asset documents are posted to the Servicer’s obligor records maintained no more</w:t>
            </w:r>
          </w:p>
        </w:tc>
        <w:tc>
          <w:tcPr>
            <w:tcW w:w="13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652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than two business days after receipt, or such other number of days specified in the</w:t>
            </w:r>
          </w:p>
        </w:tc>
        <w:tc>
          <w:tcPr>
            <w:tcW w:w="13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652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transaction agreements, and allocated to principal, interest or other items (e.g., escrow)</w:t>
            </w:r>
          </w:p>
        </w:tc>
        <w:tc>
          <w:tcPr>
            <w:tcW w:w="13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34"/>
        </w:trPr>
        <w:tc>
          <w:tcPr>
            <w:tcW w:w="1600" w:type="dxa"/>
            <w:vAlign w:val="bottom"/>
            <w:tcBorders>
              <w:left w:val="single" w:sz="8" w:color="auto"/>
              <w:right w:val="single" w:sz="8" w:color="auto"/>
            </w:tcBorders>
          </w:tcPr>
          <w:p>
            <w:pPr>
              <w:spacing w:after="0"/>
              <w:rPr>
                <w:sz w:val="20"/>
                <w:szCs w:val="20"/>
                <w:color w:val="auto"/>
              </w:rPr>
            </w:pPr>
          </w:p>
        </w:tc>
        <w:tc>
          <w:tcPr>
            <w:tcW w:w="652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in accordance with the related pool asset documents.</w:t>
            </w:r>
          </w:p>
        </w:tc>
        <w:tc>
          <w:tcPr>
            <w:tcW w:w="134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r>
      <w:tr>
        <w:trPr>
          <w:trHeight w:val="81"/>
        </w:trPr>
        <w:tc>
          <w:tcPr>
            <w:tcW w:w="1600" w:type="dxa"/>
            <w:vAlign w:val="bottom"/>
            <w:tcBorders>
              <w:left w:val="single" w:sz="8" w:color="auto"/>
              <w:bottom w:val="single" w:sz="8" w:color="auto"/>
              <w:right w:val="single" w:sz="8" w:color="auto"/>
            </w:tcBorders>
          </w:tcPr>
          <w:p>
            <w:pPr>
              <w:spacing w:after="0"/>
              <w:rPr>
                <w:sz w:val="7"/>
                <w:szCs w:val="7"/>
                <w:color w:val="auto"/>
              </w:rPr>
            </w:pPr>
          </w:p>
        </w:tc>
        <w:tc>
          <w:tcPr>
            <w:tcW w:w="2620" w:type="dxa"/>
            <w:vAlign w:val="bottom"/>
            <w:tcBorders>
              <w:bottom w:val="single" w:sz="8" w:color="auto"/>
            </w:tcBorders>
          </w:tcPr>
          <w:p>
            <w:pPr>
              <w:spacing w:after="0"/>
              <w:rPr>
                <w:sz w:val="7"/>
                <w:szCs w:val="7"/>
                <w:color w:val="auto"/>
              </w:rPr>
            </w:pPr>
          </w:p>
        </w:tc>
        <w:tc>
          <w:tcPr>
            <w:tcW w:w="400" w:type="dxa"/>
            <w:vAlign w:val="bottom"/>
            <w:tcBorders>
              <w:bottom w:val="single" w:sz="8" w:color="auto"/>
            </w:tcBorders>
          </w:tcPr>
          <w:p>
            <w:pPr>
              <w:spacing w:after="0"/>
              <w:rPr>
                <w:sz w:val="7"/>
                <w:szCs w:val="7"/>
                <w:color w:val="auto"/>
              </w:rPr>
            </w:pPr>
          </w:p>
        </w:tc>
        <w:tc>
          <w:tcPr>
            <w:tcW w:w="202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1100" w:type="dxa"/>
            <w:vAlign w:val="bottom"/>
            <w:tcBorders>
              <w:bottom w:val="single" w:sz="8" w:color="auto"/>
              <w:right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1780" w:type="dxa"/>
            <w:vAlign w:val="bottom"/>
            <w:tcBorders>
              <w:bottom w:val="single" w:sz="8" w:color="auto"/>
              <w:right w:val="single" w:sz="8" w:color="auto"/>
            </w:tcBorders>
          </w:tcPr>
          <w:p>
            <w:pPr>
              <w:spacing w:after="0"/>
              <w:rPr>
                <w:sz w:val="7"/>
                <w:szCs w:val="7"/>
                <w:color w:val="auto"/>
              </w:rPr>
            </w:pPr>
          </w:p>
        </w:tc>
      </w:tr>
      <w:tr>
        <w:trPr>
          <w:trHeight w:val="407"/>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1122(d)(4)(v)</w:t>
            </w:r>
          </w:p>
        </w:tc>
        <w:tc>
          <w:tcPr>
            <w:tcW w:w="6520" w:type="dxa"/>
            <w:vAlign w:val="bottom"/>
            <w:tcBorders>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The Servicer’s records regarding the pool assets agree with the Servicer’s records with</w:t>
            </w:r>
          </w:p>
        </w:tc>
        <w:tc>
          <w:tcPr>
            <w:tcW w:w="1340" w:type="dxa"/>
            <w:vAlign w:val="bottom"/>
            <w:tcBorders>
              <w:right w:val="single" w:sz="8" w:color="auto"/>
            </w:tcBorders>
          </w:tcPr>
          <w:p>
            <w:pPr>
              <w:spacing w:after="0"/>
              <w:rPr>
                <w:sz w:val="24"/>
                <w:szCs w:val="24"/>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r>
      <w:tr>
        <w:trPr>
          <w:trHeight w:val="234"/>
        </w:trPr>
        <w:tc>
          <w:tcPr>
            <w:tcW w:w="1600" w:type="dxa"/>
            <w:vAlign w:val="bottom"/>
            <w:tcBorders>
              <w:left w:val="single" w:sz="8" w:color="auto"/>
              <w:bottom w:val="single" w:sz="8" w:color="auto"/>
              <w:right w:val="single" w:sz="8" w:color="auto"/>
            </w:tcBorders>
          </w:tcPr>
          <w:p>
            <w:pPr>
              <w:spacing w:after="0"/>
              <w:rPr>
                <w:sz w:val="20"/>
                <w:szCs w:val="20"/>
                <w:color w:val="auto"/>
              </w:rPr>
            </w:pPr>
          </w:p>
        </w:tc>
        <w:tc>
          <w:tcPr>
            <w:tcW w:w="6520" w:type="dxa"/>
            <w:vAlign w:val="bottom"/>
            <w:tcBorders>
              <w:bottom w:val="single" w:sz="8" w:color="auto"/>
              <w:right w:val="single" w:sz="8" w:color="auto"/>
            </w:tcBorders>
            <w:gridSpan w:val="5"/>
          </w:tcPr>
          <w:p>
            <w:pPr>
              <w:ind w:left="100"/>
              <w:spacing w:after="0"/>
              <w:rPr>
                <w:sz w:val="20"/>
                <w:szCs w:val="20"/>
                <w:color w:val="auto"/>
              </w:rPr>
            </w:pPr>
            <w:r>
              <w:rPr>
                <w:rFonts w:ascii="Times New Roman" w:cs="Times New Roman" w:eastAsia="Times New Roman" w:hAnsi="Times New Roman"/>
                <w:sz w:val="18"/>
                <w:szCs w:val="18"/>
                <w:color w:val="auto"/>
              </w:rPr>
              <w:t>respect to an obligor’s unpaid principal balance.</w:t>
            </w:r>
          </w:p>
        </w:tc>
        <w:tc>
          <w:tcPr>
            <w:tcW w:w="134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r>
      <w:tr>
        <w:trPr>
          <w:trHeight w:val="695"/>
        </w:trPr>
        <w:tc>
          <w:tcPr>
            <w:tcW w:w="160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20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3" w:right="339" w:bottom="1440" w:gutter="0" w:footer="0" w:header="0"/>
        </w:sectPr>
      </w:pPr>
    </w:p>
    <w:bookmarkStart w:id="20" w:name="page21"/>
    <w:bookmarkEnd w:id="20"/>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07"/>
        </w:trPr>
        <w:tc>
          <w:tcPr>
            <w:tcW w:w="1600" w:type="dxa"/>
            <w:vAlign w:val="bottom"/>
            <w:tcBorders>
              <w:top w:val="single" w:sz="8" w:color="auto"/>
              <w:left w:val="single" w:sz="8" w:color="auto"/>
              <w:right w:val="single" w:sz="8" w:color="auto"/>
            </w:tcBorders>
          </w:tcPr>
          <w:p>
            <w:pPr>
              <w:ind w:left="420"/>
              <w:spacing w:after="0"/>
              <w:rPr>
                <w:sz w:val="20"/>
                <w:szCs w:val="20"/>
                <w:color w:val="auto"/>
              </w:rPr>
            </w:pPr>
            <w:r>
              <w:rPr>
                <w:rFonts w:ascii="Times New Roman" w:cs="Times New Roman" w:eastAsia="Times New Roman" w:hAnsi="Times New Roman"/>
                <w:sz w:val="18"/>
                <w:szCs w:val="18"/>
                <w:b w:val="1"/>
                <w:bCs w:val="1"/>
                <w:color w:val="auto"/>
              </w:rPr>
              <w:t>Reference</w:t>
            </w:r>
          </w:p>
        </w:tc>
        <w:tc>
          <w:tcPr>
            <w:tcW w:w="6520" w:type="dxa"/>
            <w:vAlign w:val="bottom"/>
            <w:tcBorders>
              <w:top w:val="single" w:sz="8" w:color="auto"/>
              <w:right w:val="single" w:sz="8" w:color="auto"/>
            </w:tcBorders>
          </w:tcPr>
          <w:p>
            <w:pPr>
              <w:ind w:left="2560"/>
              <w:spacing w:after="0"/>
              <w:rPr>
                <w:sz w:val="20"/>
                <w:szCs w:val="20"/>
                <w:color w:val="auto"/>
              </w:rPr>
            </w:pPr>
            <w:r>
              <w:rPr>
                <w:rFonts w:ascii="Times New Roman" w:cs="Times New Roman" w:eastAsia="Times New Roman" w:hAnsi="Times New Roman"/>
                <w:sz w:val="18"/>
                <w:szCs w:val="18"/>
                <w:b w:val="1"/>
                <w:bCs w:val="1"/>
                <w:color w:val="auto"/>
              </w:rPr>
              <w:t>Servicing Criteria</w:t>
            </w:r>
          </w:p>
        </w:tc>
        <w:tc>
          <w:tcPr>
            <w:tcW w:w="134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Applicable</w:t>
            </w:r>
          </w:p>
        </w:tc>
        <w:tc>
          <w:tcPr>
            <w:tcW w:w="178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Inapplicable</w:t>
            </w: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6520" w:type="dxa"/>
            <w:vAlign w:val="bottom"/>
            <w:tcBorders>
              <w:right w:val="single" w:sz="8" w:color="auto"/>
            </w:tcBorders>
          </w:tcPr>
          <w:p>
            <w:pPr>
              <w:spacing w:after="0"/>
              <w:rPr>
                <w:sz w:val="18"/>
                <w:szCs w:val="18"/>
                <w:color w:val="auto"/>
              </w:rPr>
            </w:pP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Servicing</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Servicing Criteria</w:t>
            </w:r>
          </w:p>
        </w:tc>
      </w:tr>
      <w:tr>
        <w:trPr>
          <w:trHeight w:val="238"/>
        </w:trPr>
        <w:tc>
          <w:tcPr>
            <w:tcW w:w="1600" w:type="dxa"/>
            <w:vAlign w:val="bottom"/>
            <w:tcBorders>
              <w:left w:val="single" w:sz="8" w:color="auto"/>
              <w:bottom w:val="single" w:sz="8" w:color="auto"/>
              <w:right w:val="single" w:sz="8" w:color="auto"/>
            </w:tcBorders>
          </w:tcPr>
          <w:p>
            <w:pPr>
              <w:spacing w:after="0"/>
              <w:rPr>
                <w:sz w:val="20"/>
                <w:szCs w:val="20"/>
                <w:color w:val="auto"/>
              </w:rPr>
            </w:pPr>
          </w:p>
        </w:tc>
        <w:tc>
          <w:tcPr>
            <w:tcW w:w="6520" w:type="dxa"/>
            <w:vAlign w:val="bottom"/>
            <w:tcBorders>
              <w:bottom w:val="single" w:sz="8" w:color="auto"/>
              <w:right w:val="single" w:sz="8" w:color="auto"/>
            </w:tcBorders>
          </w:tcPr>
          <w:p>
            <w:pPr>
              <w:spacing w:after="0"/>
              <w:rPr>
                <w:sz w:val="20"/>
                <w:szCs w:val="20"/>
                <w:color w:val="auto"/>
              </w:rPr>
            </w:pPr>
          </w:p>
        </w:tc>
        <w:tc>
          <w:tcPr>
            <w:tcW w:w="1340" w:type="dxa"/>
            <w:vAlign w:val="bottom"/>
            <w:tcBorders>
              <w:bottom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Criteria</w:t>
            </w:r>
          </w:p>
        </w:tc>
        <w:tc>
          <w:tcPr>
            <w:tcW w:w="1780" w:type="dxa"/>
            <w:vAlign w:val="bottom"/>
            <w:tcBorders>
              <w:bottom w:val="single" w:sz="8" w:color="auto"/>
              <w:right w:val="single" w:sz="8" w:color="auto"/>
            </w:tcBorders>
          </w:tcPr>
          <w:p>
            <w:pPr>
              <w:spacing w:after="0"/>
              <w:rPr>
                <w:sz w:val="20"/>
                <w:szCs w:val="20"/>
                <w:color w:val="auto"/>
              </w:rPr>
            </w:pPr>
          </w:p>
        </w:tc>
      </w:tr>
      <w:tr>
        <w:trPr>
          <w:trHeight w:val="407"/>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1122(d)(4)(vi)</w:t>
            </w:r>
          </w:p>
        </w:tc>
        <w:tc>
          <w:tcPr>
            <w:tcW w:w="6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Changes with respect to the terms or status of an obligor's pool assets (e.g., loan</w:t>
            </w:r>
          </w:p>
        </w:tc>
        <w:tc>
          <w:tcPr>
            <w:tcW w:w="1340" w:type="dxa"/>
            <w:vAlign w:val="bottom"/>
            <w:tcBorders>
              <w:right w:val="single" w:sz="8" w:color="auto"/>
            </w:tcBorders>
          </w:tcPr>
          <w:p>
            <w:pPr>
              <w:spacing w:after="0"/>
              <w:rPr>
                <w:sz w:val="24"/>
                <w:szCs w:val="24"/>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6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modifications or re-agings) are made, reviewed and approved by authorized personnel</w:t>
            </w:r>
          </w:p>
        </w:tc>
        <w:tc>
          <w:tcPr>
            <w:tcW w:w="13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34"/>
        </w:trPr>
        <w:tc>
          <w:tcPr>
            <w:tcW w:w="1600" w:type="dxa"/>
            <w:vAlign w:val="bottom"/>
            <w:tcBorders>
              <w:left w:val="single" w:sz="8" w:color="auto"/>
              <w:right w:val="single" w:sz="8" w:color="auto"/>
            </w:tcBorders>
          </w:tcPr>
          <w:p>
            <w:pPr>
              <w:spacing w:after="0"/>
              <w:rPr>
                <w:sz w:val="20"/>
                <w:szCs w:val="20"/>
                <w:color w:val="auto"/>
              </w:rPr>
            </w:pPr>
          </w:p>
        </w:tc>
        <w:tc>
          <w:tcPr>
            <w:tcW w:w="6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 accordance with the transaction agreements and related pool asset documents.</w:t>
            </w:r>
          </w:p>
        </w:tc>
        <w:tc>
          <w:tcPr>
            <w:tcW w:w="134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r>
      <w:tr>
        <w:trPr>
          <w:trHeight w:val="81"/>
        </w:trPr>
        <w:tc>
          <w:tcPr>
            <w:tcW w:w="1600" w:type="dxa"/>
            <w:vAlign w:val="bottom"/>
            <w:tcBorders>
              <w:left w:val="single" w:sz="8" w:color="auto"/>
              <w:bottom w:val="single" w:sz="8" w:color="auto"/>
              <w:right w:val="single" w:sz="8" w:color="auto"/>
            </w:tcBorders>
          </w:tcPr>
          <w:p>
            <w:pPr>
              <w:spacing w:after="0"/>
              <w:rPr>
                <w:sz w:val="7"/>
                <w:szCs w:val="7"/>
                <w:color w:val="auto"/>
              </w:rPr>
            </w:pPr>
          </w:p>
        </w:tc>
        <w:tc>
          <w:tcPr>
            <w:tcW w:w="6520" w:type="dxa"/>
            <w:vAlign w:val="bottom"/>
            <w:tcBorders>
              <w:bottom w:val="single" w:sz="8" w:color="auto"/>
              <w:right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1780" w:type="dxa"/>
            <w:vAlign w:val="bottom"/>
            <w:tcBorders>
              <w:bottom w:val="single" w:sz="8" w:color="auto"/>
              <w:right w:val="single" w:sz="8" w:color="auto"/>
            </w:tcBorders>
          </w:tcPr>
          <w:p>
            <w:pPr>
              <w:spacing w:after="0"/>
              <w:rPr>
                <w:sz w:val="7"/>
                <w:szCs w:val="7"/>
                <w:color w:val="auto"/>
              </w:rPr>
            </w:pPr>
          </w:p>
        </w:tc>
      </w:tr>
      <w:tr>
        <w:trPr>
          <w:trHeight w:val="407"/>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1122(d)(4)(vii)</w:t>
            </w:r>
          </w:p>
        </w:tc>
        <w:tc>
          <w:tcPr>
            <w:tcW w:w="6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Loss mitigation or recovery actions (e.g., forbearance plans, modifications and deeds</w:t>
            </w:r>
          </w:p>
        </w:tc>
        <w:tc>
          <w:tcPr>
            <w:tcW w:w="1340" w:type="dxa"/>
            <w:vAlign w:val="bottom"/>
            <w:tcBorders>
              <w:right w:val="single" w:sz="8" w:color="auto"/>
            </w:tcBorders>
          </w:tcPr>
          <w:p>
            <w:pPr>
              <w:spacing w:after="0"/>
              <w:rPr>
                <w:sz w:val="24"/>
                <w:szCs w:val="24"/>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6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 lieu of foreclosure, foreclosures and repossessions, as applicable) are initiated,</w:t>
            </w:r>
          </w:p>
        </w:tc>
        <w:tc>
          <w:tcPr>
            <w:tcW w:w="13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6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conducted and concluded in accordance with the timeframes or other requirements</w:t>
            </w:r>
          </w:p>
        </w:tc>
        <w:tc>
          <w:tcPr>
            <w:tcW w:w="13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34"/>
        </w:trPr>
        <w:tc>
          <w:tcPr>
            <w:tcW w:w="1600" w:type="dxa"/>
            <w:vAlign w:val="bottom"/>
            <w:tcBorders>
              <w:left w:val="single" w:sz="8" w:color="auto"/>
              <w:bottom w:val="single" w:sz="8" w:color="auto"/>
              <w:right w:val="single" w:sz="8" w:color="auto"/>
            </w:tcBorders>
          </w:tcPr>
          <w:p>
            <w:pPr>
              <w:spacing w:after="0"/>
              <w:rPr>
                <w:sz w:val="20"/>
                <w:szCs w:val="20"/>
                <w:color w:val="auto"/>
              </w:rPr>
            </w:pPr>
          </w:p>
        </w:tc>
        <w:tc>
          <w:tcPr>
            <w:tcW w:w="6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established by the transaction agreements.</w:t>
            </w:r>
          </w:p>
        </w:tc>
        <w:tc>
          <w:tcPr>
            <w:tcW w:w="134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r>
      <w:tr>
        <w:trPr>
          <w:trHeight w:val="407"/>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1122(d)(4)(viii)</w:t>
            </w:r>
          </w:p>
        </w:tc>
        <w:tc>
          <w:tcPr>
            <w:tcW w:w="6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Records documenting collection efforts are maintained during the period a pool asset is</w:t>
            </w:r>
          </w:p>
        </w:tc>
        <w:tc>
          <w:tcPr>
            <w:tcW w:w="1340" w:type="dxa"/>
            <w:vAlign w:val="bottom"/>
            <w:tcBorders>
              <w:right w:val="single" w:sz="8" w:color="auto"/>
            </w:tcBorders>
          </w:tcPr>
          <w:p>
            <w:pPr>
              <w:spacing w:after="0"/>
              <w:rPr>
                <w:sz w:val="24"/>
                <w:szCs w:val="24"/>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6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delinquent in accordance with the transaction agreements. Such records are maintained</w:t>
            </w:r>
          </w:p>
        </w:tc>
        <w:tc>
          <w:tcPr>
            <w:tcW w:w="13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6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on at least a monthly basis, or such other period specified in the transaction</w:t>
            </w:r>
          </w:p>
        </w:tc>
        <w:tc>
          <w:tcPr>
            <w:tcW w:w="13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6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agreements, and describe the entity’s activities in monitoring delinquent pool assets</w:t>
            </w:r>
          </w:p>
        </w:tc>
        <w:tc>
          <w:tcPr>
            <w:tcW w:w="13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6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including, for example, phone calls, letters and payment rescheduling plans in cases</w:t>
            </w:r>
          </w:p>
        </w:tc>
        <w:tc>
          <w:tcPr>
            <w:tcW w:w="13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34"/>
        </w:trPr>
        <w:tc>
          <w:tcPr>
            <w:tcW w:w="1600" w:type="dxa"/>
            <w:vAlign w:val="bottom"/>
            <w:tcBorders>
              <w:left w:val="single" w:sz="8" w:color="auto"/>
              <w:bottom w:val="single" w:sz="8" w:color="auto"/>
              <w:right w:val="single" w:sz="8" w:color="auto"/>
            </w:tcBorders>
          </w:tcPr>
          <w:p>
            <w:pPr>
              <w:spacing w:after="0"/>
              <w:rPr>
                <w:sz w:val="20"/>
                <w:szCs w:val="20"/>
                <w:color w:val="auto"/>
              </w:rPr>
            </w:pPr>
          </w:p>
        </w:tc>
        <w:tc>
          <w:tcPr>
            <w:tcW w:w="6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where delinquency is deemed temporary (e.g., illness or unemployment).</w:t>
            </w:r>
          </w:p>
        </w:tc>
        <w:tc>
          <w:tcPr>
            <w:tcW w:w="134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r>
      <w:tr>
        <w:trPr>
          <w:trHeight w:val="407"/>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1122(d)(4)(ix)</w:t>
            </w:r>
          </w:p>
        </w:tc>
        <w:tc>
          <w:tcPr>
            <w:tcW w:w="6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Adjustments to interest rates or rates of return for pool assets with variable rates are</w:t>
            </w:r>
          </w:p>
        </w:tc>
        <w:tc>
          <w:tcPr>
            <w:tcW w:w="1340" w:type="dxa"/>
            <w:vAlign w:val="bottom"/>
            <w:tcBorders>
              <w:right w:val="single" w:sz="8" w:color="auto"/>
            </w:tcBorders>
          </w:tcPr>
          <w:p>
            <w:pPr>
              <w:spacing w:after="0"/>
              <w:rPr>
                <w:sz w:val="24"/>
                <w:szCs w:val="24"/>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r>
      <w:tr>
        <w:trPr>
          <w:trHeight w:val="234"/>
        </w:trPr>
        <w:tc>
          <w:tcPr>
            <w:tcW w:w="1600" w:type="dxa"/>
            <w:vAlign w:val="bottom"/>
            <w:tcBorders>
              <w:left w:val="single" w:sz="8" w:color="auto"/>
              <w:right w:val="single" w:sz="8" w:color="auto"/>
            </w:tcBorders>
          </w:tcPr>
          <w:p>
            <w:pPr>
              <w:spacing w:after="0"/>
              <w:rPr>
                <w:sz w:val="20"/>
                <w:szCs w:val="20"/>
                <w:color w:val="auto"/>
              </w:rPr>
            </w:pPr>
          </w:p>
        </w:tc>
        <w:tc>
          <w:tcPr>
            <w:tcW w:w="6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computed based on the related pool asset documents.</w:t>
            </w:r>
          </w:p>
        </w:tc>
        <w:tc>
          <w:tcPr>
            <w:tcW w:w="134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r>
      <w:tr>
        <w:trPr>
          <w:trHeight w:val="81"/>
        </w:trPr>
        <w:tc>
          <w:tcPr>
            <w:tcW w:w="1600" w:type="dxa"/>
            <w:vAlign w:val="bottom"/>
            <w:tcBorders>
              <w:left w:val="single" w:sz="8" w:color="auto"/>
              <w:bottom w:val="single" w:sz="8" w:color="auto"/>
              <w:right w:val="single" w:sz="8" w:color="auto"/>
            </w:tcBorders>
          </w:tcPr>
          <w:p>
            <w:pPr>
              <w:spacing w:after="0"/>
              <w:rPr>
                <w:sz w:val="7"/>
                <w:szCs w:val="7"/>
                <w:color w:val="auto"/>
              </w:rPr>
            </w:pPr>
          </w:p>
        </w:tc>
        <w:tc>
          <w:tcPr>
            <w:tcW w:w="6520" w:type="dxa"/>
            <w:vAlign w:val="bottom"/>
            <w:tcBorders>
              <w:bottom w:val="single" w:sz="8" w:color="auto"/>
              <w:right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1780" w:type="dxa"/>
            <w:vAlign w:val="bottom"/>
            <w:tcBorders>
              <w:bottom w:val="single" w:sz="8" w:color="auto"/>
              <w:right w:val="single" w:sz="8" w:color="auto"/>
            </w:tcBorders>
          </w:tcPr>
          <w:p>
            <w:pPr>
              <w:spacing w:after="0"/>
              <w:rPr>
                <w:sz w:val="7"/>
                <w:szCs w:val="7"/>
                <w:color w:val="auto"/>
              </w:rPr>
            </w:pPr>
          </w:p>
        </w:tc>
      </w:tr>
      <w:tr>
        <w:trPr>
          <w:trHeight w:val="407"/>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1122(d)(4)(x)</w:t>
            </w:r>
          </w:p>
        </w:tc>
        <w:tc>
          <w:tcPr>
            <w:tcW w:w="6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Regarding any funds held in trust for an obligor (such as escrow accounts): (A) such</w:t>
            </w:r>
          </w:p>
        </w:tc>
        <w:tc>
          <w:tcPr>
            <w:tcW w:w="1340" w:type="dxa"/>
            <w:vAlign w:val="bottom"/>
            <w:tcBorders>
              <w:right w:val="single" w:sz="8" w:color="auto"/>
            </w:tcBorders>
          </w:tcPr>
          <w:p>
            <w:pPr>
              <w:spacing w:after="0"/>
              <w:rPr>
                <w:sz w:val="24"/>
                <w:szCs w:val="24"/>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6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funds are analyzed, in accordance with the obligor’s pool asset documents, on at least</w:t>
            </w:r>
          </w:p>
        </w:tc>
        <w:tc>
          <w:tcPr>
            <w:tcW w:w="13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6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 annual basis, or such other period specified in the transaction agreements;</w:t>
            </w:r>
          </w:p>
        </w:tc>
        <w:tc>
          <w:tcPr>
            <w:tcW w:w="13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6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(B) interest on such funds is paid, or credited, to obligors in accordance with applicable</w:t>
            </w:r>
          </w:p>
        </w:tc>
        <w:tc>
          <w:tcPr>
            <w:tcW w:w="13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6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pool asset documents and state laws; and (C) such funds are returned to the obligor</w:t>
            </w:r>
          </w:p>
        </w:tc>
        <w:tc>
          <w:tcPr>
            <w:tcW w:w="13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6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within 30 calendar days of full repayment of the related pool assets, or such other</w:t>
            </w:r>
          </w:p>
        </w:tc>
        <w:tc>
          <w:tcPr>
            <w:tcW w:w="13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34"/>
        </w:trPr>
        <w:tc>
          <w:tcPr>
            <w:tcW w:w="1600" w:type="dxa"/>
            <w:vAlign w:val="bottom"/>
            <w:tcBorders>
              <w:left w:val="single" w:sz="8" w:color="auto"/>
              <w:bottom w:val="single" w:sz="8" w:color="auto"/>
              <w:right w:val="single" w:sz="8" w:color="auto"/>
            </w:tcBorders>
          </w:tcPr>
          <w:p>
            <w:pPr>
              <w:spacing w:after="0"/>
              <w:rPr>
                <w:sz w:val="20"/>
                <w:szCs w:val="20"/>
                <w:color w:val="auto"/>
              </w:rPr>
            </w:pPr>
          </w:p>
        </w:tc>
        <w:tc>
          <w:tcPr>
            <w:tcW w:w="6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number of days specified in the transaction agreements.</w:t>
            </w:r>
          </w:p>
        </w:tc>
        <w:tc>
          <w:tcPr>
            <w:tcW w:w="134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r>
      <w:tr>
        <w:trPr>
          <w:trHeight w:val="407"/>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1122(d)(4)(xi)</w:t>
            </w:r>
          </w:p>
        </w:tc>
        <w:tc>
          <w:tcPr>
            <w:tcW w:w="6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Payments made on behalf of an obligor (such as tax or insurance payments) are made</w:t>
            </w:r>
          </w:p>
        </w:tc>
        <w:tc>
          <w:tcPr>
            <w:tcW w:w="1340" w:type="dxa"/>
            <w:vAlign w:val="bottom"/>
            <w:tcBorders>
              <w:right w:val="single" w:sz="8" w:color="auto"/>
            </w:tcBorders>
          </w:tcPr>
          <w:p>
            <w:pPr>
              <w:spacing w:after="0"/>
              <w:rPr>
                <w:sz w:val="24"/>
                <w:szCs w:val="24"/>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6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on or before the related penalty or expiration dates, as indicated on the appropriate bills</w:t>
            </w:r>
          </w:p>
        </w:tc>
        <w:tc>
          <w:tcPr>
            <w:tcW w:w="13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6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or notices for such payments, provided that such support has been received by the</w:t>
            </w:r>
          </w:p>
        </w:tc>
        <w:tc>
          <w:tcPr>
            <w:tcW w:w="13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6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servicer at least 30 calendar days prior to these dates, or such other number of days</w:t>
            </w:r>
          </w:p>
        </w:tc>
        <w:tc>
          <w:tcPr>
            <w:tcW w:w="13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34"/>
        </w:trPr>
        <w:tc>
          <w:tcPr>
            <w:tcW w:w="1600" w:type="dxa"/>
            <w:vAlign w:val="bottom"/>
            <w:tcBorders>
              <w:left w:val="single" w:sz="8" w:color="auto"/>
              <w:bottom w:val="single" w:sz="8" w:color="auto"/>
              <w:right w:val="single" w:sz="8" w:color="auto"/>
            </w:tcBorders>
          </w:tcPr>
          <w:p>
            <w:pPr>
              <w:spacing w:after="0"/>
              <w:rPr>
                <w:sz w:val="20"/>
                <w:szCs w:val="20"/>
                <w:color w:val="auto"/>
              </w:rPr>
            </w:pPr>
          </w:p>
        </w:tc>
        <w:tc>
          <w:tcPr>
            <w:tcW w:w="6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specified in the transaction agreements.</w:t>
            </w:r>
          </w:p>
        </w:tc>
        <w:tc>
          <w:tcPr>
            <w:tcW w:w="134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r>
      <w:tr>
        <w:trPr>
          <w:trHeight w:val="407"/>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1122(d)(4)(xii)</w:t>
            </w:r>
          </w:p>
        </w:tc>
        <w:tc>
          <w:tcPr>
            <w:tcW w:w="6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Any late payment penalties in connection with any payment to be made on behalf of an</w:t>
            </w:r>
          </w:p>
        </w:tc>
        <w:tc>
          <w:tcPr>
            <w:tcW w:w="1340" w:type="dxa"/>
            <w:vAlign w:val="bottom"/>
            <w:tcBorders>
              <w:right w:val="single" w:sz="8" w:color="auto"/>
            </w:tcBorders>
          </w:tcPr>
          <w:p>
            <w:pPr>
              <w:spacing w:after="0"/>
              <w:rPr>
                <w:sz w:val="24"/>
                <w:szCs w:val="24"/>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6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obligor are paid from the Servicer’s funds and not charged to the obligor, unless the</w:t>
            </w:r>
          </w:p>
        </w:tc>
        <w:tc>
          <w:tcPr>
            <w:tcW w:w="13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34"/>
        </w:trPr>
        <w:tc>
          <w:tcPr>
            <w:tcW w:w="1600" w:type="dxa"/>
            <w:vAlign w:val="bottom"/>
            <w:tcBorders>
              <w:left w:val="single" w:sz="8" w:color="auto"/>
              <w:bottom w:val="single" w:sz="8" w:color="auto"/>
              <w:right w:val="single" w:sz="8" w:color="auto"/>
            </w:tcBorders>
          </w:tcPr>
          <w:p>
            <w:pPr>
              <w:spacing w:after="0"/>
              <w:rPr>
                <w:sz w:val="20"/>
                <w:szCs w:val="20"/>
                <w:color w:val="auto"/>
              </w:rPr>
            </w:pPr>
          </w:p>
        </w:tc>
        <w:tc>
          <w:tcPr>
            <w:tcW w:w="6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late payment was due to the obligor’s error or omission.</w:t>
            </w:r>
          </w:p>
        </w:tc>
        <w:tc>
          <w:tcPr>
            <w:tcW w:w="134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r>
      <w:tr>
        <w:trPr>
          <w:trHeight w:val="407"/>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1122(d)(4)(xiii)</w:t>
            </w:r>
          </w:p>
        </w:tc>
        <w:tc>
          <w:tcPr>
            <w:tcW w:w="6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Disbursements made on behalf of an obligor are posted within two business days to the</w:t>
            </w:r>
          </w:p>
        </w:tc>
        <w:tc>
          <w:tcPr>
            <w:tcW w:w="1340" w:type="dxa"/>
            <w:vAlign w:val="bottom"/>
            <w:tcBorders>
              <w:right w:val="single" w:sz="8" w:color="auto"/>
            </w:tcBorders>
          </w:tcPr>
          <w:p>
            <w:pPr>
              <w:spacing w:after="0"/>
              <w:rPr>
                <w:sz w:val="24"/>
                <w:szCs w:val="24"/>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6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obligor’s records maintained by the servicer, or such other number of days specified in</w:t>
            </w:r>
          </w:p>
        </w:tc>
        <w:tc>
          <w:tcPr>
            <w:tcW w:w="13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34"/>
        </w:trPr>
        <w:tc>
          <w:tcPr>
            <w:tcW w:w="1600" w:type="dxa"/>
            <w:vAlign w:val="bottom"/>
            <w:tcBorders>
              <w:left w:val="single" w:sz="8" w:color="auto"/>
              <w:bottom w:val="single" w:sz="8" w:color="auto"/>
              <w:right w:val="single" w:sz="8" w:color="auto"/>
            </w:tcBorders>
          </w:tcPr>
          <w:p>
            <w:pPr>
              <w:spacing w:after="0"/>
              <w:rPr>
                <w:sz w:val="20"/>
                <w:szCs w:val="20"/>
                <w:color w:val="auto"/>
              </w:rPr>
            </w:pPr>
          </w:p>
        </w:tc>
        <w:tc>
          <w:tcPr>
            <w:tcW w:w="6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the transaction agreements.</w:t>
            </w:r>
          </w:p>
        </w:tc>
        <w:tc>
          <w:tcPr>
            <w:tcW w:w="134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r>
      <w:tr>
        <w:trPr>
          <w:trHeight w:val="407"/>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1122(d)(4)(xiv)</w:t>
            </w:r>
          </w:p>
        </w:tc>
        <w:tc>
          <w:tcPr>
            <w:tcW w:w="6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Delinquencies, charge-offs and uncollectible accounts are recognized and recorded in</w:t>
            </w:r>
          </w:p>
        </w:tc>
        <w:tc>
          <w:tcPr>
            <w:tcW w:w="1340" w:type="dxa"/>
            <w:vAlign w:val="bottom"/>
            <w:tcBorders>
              <w:right w:val="single" w:sz="8" w:color="auto"/>
            </w:tcBorders>
          </w:tcPr>
          <w:p>
            <w:pPr>
              <w:spacing w:after="0"/>
              <w:rPr>
                <w:sz w:val="24"/>
                <w:szCs w:val="24"/>
                <w:color w:val="auto"/>
              </w:rPr>
            </w:pP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r>
      <w:tr>
        <w:trPr>
          <w:trHeight w:val="234"/>
        </w:trPr>
        <w:tc>
          <w:tcPr>
            <w:tcW w:w="1600" w:type="dxa"/>
            <w:vAlign w:val="bottom"/>
            <w:tcBorders>
              <w:left w:val="single" w:sz="8" w:color="auto"/>
              <w:bottom w:val="single" w:sz="8" w:color="auto"/>
              <w:right w:val="single" w:sz="8" w:color="auto"/>
            </w:tcBorders>
          </w:tcPr>
          <w:p>
            <w:pPr>
              <w:spacing w:after="0"/>
              <w:rPr>
                <w:sz w:val="20"/>
                <w:szCs w:val="20"/>
                <w:color w:val="auto"/>
              </w:rPr>
            </w:pPr>
          </w:p>
        </w:tc>
        <w:tc>
          <w:tcPr>
            <w:tcW w:w="6520" w:type="dxa"/>
            <w:vAlign w:val="bottom"/>
            <w:tcBorders>
              <w:bottom w:val="single" w:sz="8" w:color="auto"/>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accordance with the transaction agreements.</w:t>
            </w:r>
          </w:p>
        </w:tc>
        <w:tc>
          <w:tcPr>
            <w:tcW w:w="1340" w:type="dxa"/>
            <w:vAlign w:val="bottom"/>
            <w:tcBorders>
              <w:bottom w:val="single" w:sz="8" w:color="auto"/>
              <w:right w:val="single" w:sz="8" w:color="auto"/>
            </w:tcBorders>
          </w:tcPr>
          <w:p>
            <w:pPr>
              <w:spacing w:after="0"/>
              <w:rPr>
                <w:sz w:val="20"/>
                <w:szCs w:val="20"/>
                <w:color w:val="auto"/>
              </w:rPr>
            </w:pPr>
          </w:p>
        </w:tc>
        <w:tc>
          <w:tcPr>
            <w:tcW w:w="1780" w:type="dxa"/>
            <w:vAlign w:val="bottom"/>
            <w:tcBorders>
              <w:bottom w:val="single" w:sz="8" w:color="auto"/>
              <w:right w:val="single" w:sz="8" w:color="auto"/>
            </w:tcBorders>
          </w:tcPr>
          <w:p>
            <w:pPr>
              <w:spacing w:after="0"/>
              <w:rPr>
                <w:sz w:val="20"/>
                <w:szCs w:val="20"/>
                <w:color w:val="auto"/>
              </w:rPr>
            </w:pPr>
          </w:p>
        </w:tc>
      </w:tr>
      <w:tr>
        <w:trPr>
          <w:trHeight w:val="407"/>
        </w:trPr>
        <w:tc>
          <w:tcPr>
            <w:tcW w:w="1600" w:type="dxa"/>
            <w:vAlign w:val="bottom"/>
            <w:tcBorders>
              <w:left w:val="single" w:sz="8" w:color="auto"/>
              <w:right w:val="single" w:sz="8" w:color="auto"/>
            </w:tcBorders>
          </w:tcPr>
          <w:p>
            <w:pPr>
              <w:ind w:left="120"/>
              <w:spacing w:after="0"/>
              <w:rPr>
                <w:sz w:val="20"/>
                <w:szCs w:val="20"/>
                <w:color w:val="auto"/>
              </w:rPr>
            </w:pPr>
            <w:r>
              <w:rPr>
                <w:rFonts w:ascii="Times New Roman" w:cs="Times New Roman" w:eastAsia="Times New Roman" w:hAnsi="Times New Roman"/>
                <w:sz w:val="18"/>
                <w:szCs w:val="18"/>
                <w:color w:val="auto"/>
              </w:rPr>
              <w:t>1122(d)(4)(xv)</w:t>
            </w:r>
          </w:p>
        </w:tc>
        <w:tc>
          <w:tcPr>
            <w:tcW w:w="6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Any external enhancement or other support, identified in Item 1114(a)(1) through</w:t>
            </w:r>
          </w:p>
        </w:tc>
        <w:tc>
          <w:tcPr>
            <w:tcW w:w="134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1"/>
              </w:rPr>
              <w:t>X</w:t>
            </w:r>
          </w:p>
        </w:tc>
        <w:tc>
          <w:tcPr>
            <w:tcW w:w="1780" w:type="dxa"/>
            <w:vAlign w:val="bottom"/>
            <w:tcBorders>
              <w:right w:val="single" w:sz="8" w:color="auto"/>
            </w:tcBorders>
          </w:tcPr>
          <w:p>
            <w:pPr>
              <w:spacing w:after="0"/>
              <w:rPr>
                <w:sz w:val="24"/>
                <w:szCs w:val="24"/>
                <w:color w:val="auto"/>
              </w:rPr>
            </w:pPr>
          </w:p>
        </w:tc>
      </w:tr>
      <w:tr>
        <w:trPr>
          <w:trHeight w:val="216"/>
        </w:trPr>
        <w:tc>
          <w:tcPr>
            <w:tcW w:w="1600" w:type="dxa"/>
            <w:vAlign w:val="bottom"/>
            <w:tcBorders>
              <w:left w:val="single" w:sz="8" w:color="auto"/>
              <w:right w:val="single" w:sz="8" w:color="auto"/>
            </w:tcBorders>
          </w:tcPr>
          <w:p>
            <w:pPr>
              <w:spacing w:after="0"/>
              <w:rPr>
                <w:sz w:val="18"/>
                <w:szCs w:val="18"/>
                <w:color w:val="auto"/>
              </w:rPr>
            </w:pPr>
          </w:p>
        </w:tc>
        <w:tc>
          <w:tcPr>
            <w:tcW w:w="6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(3) or Item 1115 of Regulation AB, is maintained as set forth in the transaction</w:t>
            </w:r>
          </w:p>
        </w:tc>
        <w:tc>
          <w:tcPr>
            <w:tcW w:w="1340" w:type="dxa"/>
            <w:vAlign w:val="bottom"/>
            <w:tcBorders>
              <w:right w:val="single" w:sz="8" w:color="auto"/>
            </w:tcBorders>
          </w:tcPr>
          <w:p>
            <w:pPr>
              <w:spacing w:after="0"/>
              <w:rPr>
                <w:sz w:val="18"/>
                <w:szCs w:val="18"/>
                <w:color w:val="auto"/>
              </w:rPr>
            </w:pPr>
          </w:p>
        </w:tc>
        <w:tc>
          <w:tcPr>
            <w:tcW w:w="1780" w:type="dxa"/>
            <w:vAlign w:val="bottom"/>
            <w:tcBorders>
              <w:right w:val="single" w:sz="8" w:color="auto"/>
            </w:tcBorders>
          </w:tcPr>
          <w:p>
            <w:pPr>
              <w:spacing w:after="0"/>
              <w:rPr>
                <w:sz w:val="18"/>
                <w:szCs w:val="18"/>
                <w:color w:val="auto"/>
              </w:rPr>
            </w:pPr>
          </w:p>
        </w:tc>
      </w:tr>
      <w:tr>
        <w:trPr>
          <w:trHeight w:val="234"/>
        </w:trPr>
        <w:tc>
          <w:tcPr>
            <w:tcW w:w="1600" w:type="dxa"/>
            <w:vAlign w:val="bottom"/>
            <w:tcBorders>
              <w:left w:val="single" w:sz="8" w:color="auto"/>
              <w:right w:val="single" w:sz="8" w:color="auto"/>
            </w:tcBorders>
          </w:tcPr>
          <w:p>
            <w:pPr>
              <w:spacing w:after="0"/>
              <w:rPr>
                <w:sz w:val="20"/>
                <w:szCs w:val="20"/>
                <w:color w:val="auto"/>
              </w:rPr>
            </w:pPr>
          </w:p>
        </w:tc>
        <w:tc>
          <w:tcPr>
            <w:tcW w:w="6520" w:type="dxa"/>
            <w:vAlign w:val="bottom"/>
            <w:tcBorders>
              <w:right w:val="single" w:sz="8" w:color="auto"/>
            </w:tcBorders>
          </w:tcPr>
          <w:p>
            <w:pPr>
              <w:ind w:left="100"/>
              <w:spacing w:after="0"/>
              <w:rPr>
                <w:sz w:val="20"/>
                <w:szCs w:val="20"/>
                <w:color w:val="auto"/>
              </w:rPr>
            </w:pPr>
            <w:r>
              <w:rPr>
                <w:rFonts w:ascii="Times New Roman" w:cs="Times New Roman" w:eastAsia="Times New Roman" w:hAnsi="Times New Roman"/>
                <w:sz w:val="18"/>
                <w:szCs w:val="18"/>
                <w:color w:val="auto"/>
              </w:rPr>
              <w:t>agreements.</w:t>
            </w:r>
          </w:p>
        </w:tc>
        <w:tc>
          <w:tcPr>
            <w:tcW w:w="134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r>
      <w:tr>
        <w:trPr>
          <w:trHeight w:val="81"/>
        </w:trPr>
        <w:tc>
          <w:tcPr>
            <w:tcW w:w="1600" w:type="dxa"/>
            <w:vAlign w:val="bottom"/>
            <w:tcBorders>
              <w:left w:val="single" w:sz="8" w:color="auto"/>
              <w:bottom w:val="single" w:sz="8" w:color="auto"/>
              <w:right w:val="single" w:sz="8" w:color="auto"/>
            </w:tcBorders>
          </w:tcPr>
          <w:p>
            <w:pPr>
              <w:spacing w:after="0"/>
              <w:rPr>
                <w:sz w:val="7"/>
                <w:szCs w:val="7"/>
                <w:color w:val="auto"/>
              </w:rPr>
            </w:pPr>
          </w:p>
        </w:tc>
        <w:tc>
          <w:tcPr>
            <w:tcW w:w="6520" w:type="dxa"/>
            <w:vAlign w:val="bottom"/>
            <w:tcBorders>
              <w:bottom w:val="single" w:sz="8" w:color="auto"/>
              <w:right w:val="single" w:sz="8" w:color="auto"/>
            </w:tcBorders>
          </w:tcPr>
          <w:p>
            <w:pPr>
              <w:spacing w:after="0"/>
              <w:rPr>
                <w:sz w:val="7"/>
                <w:szCs w:val="7"/>
                <w:color w:val="auto"/>
              </w:rPr>
            </w:pPr>
          </w:p>
        </w:tc>
        <w:tc>
          <w:tcPr>
            <w:tcW w:w="1340" w:type="dxa"/>
            <w:vAlign w:val="bottom"/>
            <w:tcBorders>
              <w:bottom w:val="single" w:sz="8" w:color="auto"/>
              <w:right w:val="single" w:sz="8" w:color="auto"/>
            </w:tcBorders>
          </w:tcPr>
          <w:p>
            <w:pPr>
              <w:spacing w:after="0"/>
              <w:rPr>
                <w:sz w:val="7"/>
                <w:szCs w:val="7"/>
                <w:color w:val="auto"/>
              </w:rPr>
            </w:pPr>
          </w:p>
        </w:tc>
        <w:tc>
          <w:tcPr>
            <w:tcW w:w="1780" w:type="dxa"/>
            <w:vAlign w:val="bottom"/>
            <w:tcBorders>
              <w:bottom w:val="single" w:sz="8" w:color="auto"/>
              <w:right w:val="single" w:sz="8" w:color="auto"/>
            </w:tcBorders>
          </w:tcPr>
          <w:p>
            <w:pPr>
              <w:spacing w:after="0"/>
              <w:rPr>
                <w:sz w:val="7"/>
                <w:szCs w:val="7"/>
                <w:color w:val="auto"/>
              </w:rPr>
            </w:pPr>
          </w:p>
        </w:tc>
      </w:tr>
      <w:tr>
        <w:trPr>
          <w:trHeight w:val="669"/>
        </w:trPr>
        <w:tc>
          <w:tcPr>
            <w:tcW w:w="1600" w:type="dxa"/>
            <w:vAlign w:val="bottom"/>
            <w:tcBorders>
              <w:bottom w:val="single" w:sz="8" w:color="auto"/>
            </w:tcBorders>
          </w:tcPr>
          <w:p>
            <w:pPr>
              <w:spacing w:after="0"/>
              <w:rPr>
                <w:sz w:val="24"/>
                <w:szCs w:val="24"/>
                <w:color w:val="auto"/>
              </w:rPr>
            </w:pPr>
          </w:p>
        </w:tc>
        <w:tc>
          <w:tcPr>
            <w:tcW w:w="652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30" w:right="339" w:bottom="1440" w:gutter="0" w:footer="0" w:header="0"/>
        </w:sectPr>
      </w:pPr>
    </w:p>
    <w:bookmarkStart w:id="21" w:name="page22"/>
    <w:bookmarkEnd w:id="21"/>
    <w:p>
      <w:pPr>
        <w:jc w:val="right"/>
        <w:spacing w:after="0"/>
        <w:rPr>
          <w:sz w:val="20"/>
          <w:szCs w:val="20"/>
          <w:color w:val="auto"/>
        </w:rPr>
      </w:pPr>
      <w:r>
        <w:rPr>
          <w:rFonts w:ascii="Times New Roman" w:cs="Times New Roman" w:eastAsia="Times New Roman" w:hAnsi="Times New Roman"/>
          <w:sz w:val="18"/>
          <w:szCs w:val="18"/>
          <w:b w:val="1"/>
          <w:bCs w:val="1"/>
          <w:color w:val="auto"/>
        </w:rPr>
        <w:t>Exhibit 34.1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ATTESTATION REPORT ON ASSESSMENT OF COMPLIANCE WITH</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SERVICING CRITERIA FOR ASSET-BACKED SECURITIES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the Member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Southern Indiana Gas and Electric Company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Evansville, Indiana</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examined management of Southern Indiana Gas and Electric Company's assertion, included in the accompanying Report on Assessment of Compliance with Servicing Criteria for Asset-Backed Securities for Southern Indiana Gas and Electric Company, that Southern Indiana Gas and Electric Company (the "Company") complied with the servicing criteria set forth in Item 1122(d) of the Securities and Exchange Commission's Regulation AB for the $341,450,000 original principal amount of SIGECO Securitization I, LLC’s Securitization Bonds (the "Securitization Bonds"), excluding criteria in Items 1122(d)(1)(ii) (outsourcing), (1)(iii) (back-up servicing), (1)(iv) (fidelity bond), (2)(vi) (unissued checks), (3)(ii) (allocation and remittance), (4)</w:t>
      </w:r>
    </w:p>
    <w:p>
      <w:pPr>
        <w:spacing w:after="0" w:line="3" w:lineRule="exact"/>
        <w:rPr>
          <w:sz w:val="20"/>
          <w:szCs w:val="20"/>
          <w:color w:val="auto"/>
        </w:rPr>
      </w:pPr>
    </w:p>
    <w:p>
      <w:pPr>
        <w:ind w:left="340" w:hanging="332"/>
        <w:spacing w:after="0"/>
        <w:tabs>
          <w:tab w:leader="none" w:pos="3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removals or substitutions), (4)(v) (records regarding pool assets), (4)(ix) (adjustments to interest rates), (4)(x) (funds held in trust), (4)</w:t>
      </w:r>
    </w:p>
    <w:p>
      <w:pPr>
        <w:spacing w:after="0" w:line="9" w:lineRule="exact"/>
        <w:rPr>
          <w:rFonts w:ascii="Times New Roman" w:cs="Times New Roman" w:eastAsia="Times New Roman" w:hAnsi="Times New Roman"/>
          <w:sz w:val="18"/>
          <w:szCs w:val="18"/>
          <w:color w:val="auto"/>
        </w:rPr>
      </w:pPr>
    </w:p>
    <w:p>
      <w:pPr>
        <w:jc w:val="both"/>
        <w:ind w:firstLine="8"/>
        <w:spacing w:after="0" w:line="253" w:lineRule="auto"/>
        <w:tabs>
          <w:tab w:leader="none" w:pos="32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on behalf of obligors), (4)(xii) (late payment penalties), (4)(xiii) (obligor disbursements), and (4)(xv) (external credit enhancement) (the "servicing criteria"), as of and for the year ended December 31, 2024, which management has determined are not applicable to the activities performed by the Company with respect to the Securitization Bonds. Management is responsible for the Company's compliance with the servicing criteria and its assertion. Our responsibility is to express an opinion on management's assertion about the Company's compliance with the servicing criteria based on our examination.</w:t>
      </w:r>
    </w:p>
    <w:p>
      <w:pPr>
        <w:spacing w:after="0" w:line="18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Our examination was conducted in accordance with the standards of the Public Company Accounting Oversight Board (United States) and in accordance with attestation standards established by the American Institute of Certified Public Accountants. Those standards require that we plan and perform the examination to obtain reasonable assurance about whether management's assertion about compliance with the servicing criteria is fairly stated, in all material respects. An examination involves performing procedures to obtain evidence about management’s assertion on compliance with the servicing criteria. The nature, timing and extent of the procedures selected depend on our judgment, including an assessment of the risks of material misstatement of management’s assertion on compliance with the servicing criteria, whether due to error or fraud, and, accordingly, included examining, on a test basis, evidence about the Company's compliance with the servicing criteria, including tests on a sample basis of the servicing activities related to the Securitization Bonds, determining whether the Company performed those selected activities in compliance with the servicing criteria during the specified period, and performing such other procedures as we considered necessary in the circumstances. Our procedures were limited to selected servicing activities performed by the Company during the period covered by this report and, accordingly, such samples may not have included servicing activities related to each asset-backed transaction included in the Securitization Bonds. Further, an examination is not designed to detect noncompliance arising from errors that may have occurred prior to the period specified above that may have affected the balances or amounts calculated or reported by the Company during the period covered by this report. We believe that the evidence we obtained in our examination is sufficient and appropriate to provide a reasonable basis for our opinion.</w:t>
      </w:r>
    </w:p>
    <w:p>
      <w:pPr>
        <w:spacing w:after="0" w:line="19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required to be independent and to meet our other ethical responsibilities in accordance with relevant ethical requirements relating to the engagement.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examination does not provide a legal determination on the Company's compliance with the servicing criteria.</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our opinion, management's assertion that the Company complied with the servicing criteria as of and for the year ended December 31, 2024, is fairly stated, in all material respects.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DELOITTE &amp; TOUCHE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Houston, Texas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2" w:name="page23"/>
    <w:bookmarkEnd w:id="22"/>
    <w:p>
      <w:pPr>
        <w:jc w:val="right"/>
        <w:spacing w:after="0"/>
        <w:rPr>
          <w:sz w:val="20"/>
          <w:szCs w:val="20"/>
          <w:color w:val="auto"/>
        </w:rPr>
      </w:pPr>
      <w:r>
        <w:rPr>
          <w:rFonts w:ascii="Times New Roman" w:cs="Times New Roman" w:eastAsia="Times New Roman" w:hAnsi="Times New Roman"/>
          <w:sz w:val="18"/>
          <w:szCs w:val="18"/>
          <w:b w:val="1"/>
          <w:bCs w:val="1"/>
          <w:color w:val="auto"/>
        </w:rPr>
        <w:t>Exhibit 34.2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ATTESTATION REPORT ON ASSESSMENT OF COMPLIANCE WITH</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SERVICING CRITERIA FOR ASSET-BACKED SECURITIES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Board of Directors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Bank National Association and U.S. Bank Trust Company, National Association</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have examined management’s assertion, included in the accompanying Report on Assessment of Compliance with Applicable Servicing Criteria, that U.S. Bank National Association and U.S. Bank Trust Company, National Association (collectively, the “Company”) complied with the servicing criteria set forth in Item 1122(d) of the Securities and Exchange Commission’s Regulation AB for the U.S. Bank Corporate Trust Asset-Backed Securities Platform (the “Platform”), for which the Company provides trustee, securities administration, registrar, paying agent and document custody services, as of and for the year ended December 31, 2024, except for servicing criteria Items 1122(d)(1)(iii) and 1122(d)(4)(iv)-(xiv), which the Company has determined are not applicable to the activities it performs with respect to the servicing platform covered by this report. Management is responsible for the Company’s compliance with those servicing criteria. Our responsibility is to express an opinion on management’s assertion about the Company’s compliance with the servicing criteria based on our examination.</w:t>
      </w:r>
    </w:p>
    <w:p>
      <w:pPr>
        <w:spacing w:after="0" w:line="192"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examination was conducted in accordance with attestation standards established by the American Institute of Certified Public Accountants and the Public Company Accounting Oversight Board (United States) and, accordingly, included examining, on a test basis, evidence about the Company’s compliance with the applicable servicing criteria and performing such other procedures as we considered necessary in the circumstances. Our examination included testing of less than all of the individual asset-backed transactions and securities that comprise the Platform, testing of less than all of the servicing activities related to the Platform, and determining whether the Company processed those selected transactions and performed those selected activities in compliance with the servicing criteria. Furthermore, our procedures were limited to the selected transactions and servicing activities performed by the Company during the period covered by this report. Our procedures were not designed to determine whether errors may have occurred either prior to or subsequent to our tests that may have affected the balances or amounts calculated or reported by the Company during the period covered by this report for the selected transactions or any other transactions. Although the Company is responsible for assessing compliance with Items 1122(d)(1)(ii), 1122(d)(1)(v), and 1122(d)(2)(iii) of Regulation AB, there were no servicing activities performed by the Company during the year ended December 31, 2024 that required these servicing criteria to be complied with. We believe that the evidence we obtained is sufficient and appropriate to provide a reasonable basis for our opinion.</w:t>
      </w:r>
    </w:p>
    <w:p>
      <w:pPr>
        <w:spacing w:after="0" w:line="19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required to be independent of the Company and to meet our other ethical responsibilities, in accordance with the relevant ethical requirements related to our examination engagement.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examination does not provide a legal determination on the Company’s compliance with the servicing criteria.</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our opinion, management’s assertion that the Company complied with the aforementioned servicing criteria as of and for the year ended December 31, 2024, for the U.S. Bank Corporate Trust Asset-Backed Securities Platform is fairly stated, in all material respects.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Minneapolis, Minnesota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February 27,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451485</wp:posOffset>
            </wp:positionV>
            <wp:extent cx="713232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0" w:right="339" w:bottom="1440" w:gutter="0" w:footer="0" w:header="0"/>
        </w:sectPr>
      </w:pPr>
    </w:p>
    <w:bookmarkStart w:id="23" w:name="page24"/>
    <w:bookmarkEnd w:id="23"/>
    <w:p>
      <w:pPr>
        <w:jc w:val="right"/>
        <w:spacing w:after="0"/>
        <w:rPr>
          <w:sz w:val="20"/>
          <w:szCs w:val="20"/>
          <w:color w:val="auto"/>
        </w:rPr>
      </w:pPr>
      <w:r>
        <w:rPr>
          <w:rFonts w:ascii="Times New Roman" w:cs="Times New Roman" w:eastAsia="Times New Roman" w:hAnsi="Times New Roman"/>
          <w:sz w:val="18"/>
          <w:szCs w:val="18"/>
          <w:b w:val="1"/>
          <w:bCs w:val="1"/>
          <w:color w:val="auto"/>
        </w:rPr>
        <w:t>Exhibit 35.1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CERTIFICATE OF COMPLIANCE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SIGECO SECURITIZATION I, LLC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$341,450,000 Series 2023-A Senior Secured Securitization Bonds</w:t>
      </w:r>
    </w:p>
    <w:p>
      <w:pPr>
        <w:spacing w:after="0" w:line="229" w:lineRule="exact"/>
        <w:rPr>
          <w:sz w:val="20"/>
          <w:szCs w:val="20"/>
          <w:color w:val="auto"/>
        </w:rPr>
      </w:pPr>
    </w:p>
    <w:p>
      <w:pPr>
        <w:ind w:right="40" w:firstLine="648"/>
        <w:spacing w:after="0" w:line="261" w:lineRule="auto"/>
        <w:rPr>
          <w:sz w:val="20"/>
          <w:szCs w:val="20"/>
          <w:color w:val="auto"/>
        </w:rPr>
      </w:pPr>
      <w:r>
        <w:rPr>
          <w:rFonts w:ascii="Times New Roman" w:cs="Times New Roman" w:eastAsia="Times New Roman" w:hAnsi="Times New Roman"/>
          <w:sz w:val="18"/>
          <w:szCs w:val="18"/>
          <w:color w:val="auto"/>
        </w:rPr>
        <w:t>The undersigned hereby certifies that the undersigned is the duly elected and acting Vice President and Treasurer of SOUTHERN INDIANA GAS AND ELECTRIC COMPANY d/b/a CenterPoint Energy Indiana South, as servicer (the “</w:t>
      </w:r>
      <w:r>
        <w:rPr>
          <w:rFonts w:ascii="Times New Roman" w:cs="Times New Roman" w:eastAsia="Times New Roman" w:hAnsi="Times New Roman"/>
          <w:sz w:val="18"/>
          <w:szCs w:val="18"/>
          <w:i w:val="1"/>
          <w:iCs w:val="1"/>
          <w:color w:val="auto"/>
        </w:rPr>
        <w:t>Servicer</w:t>
      </w:r>
      <w:r>
        <w:rPr>
          <w:rFonts w:ascii="Times New Roman" w:cs="Times New Roman" w:eastAsia="Times New Roman" w:hAnsi="Times New Roman"/>
          <w:sz w:val="18"/>
          <w:szCs w:val="18"/>
          <w:color w:val="auto"/>
        </w:rPr>
        <w:t>”), under the Securitization Property Servicing Agreement dated as of June 29, 2023 (the “</w:t>
      </w:r>
      <w:r>
        <w:rPr>
          <w:rFonts w:ascii="Times New Roman" w:cs="Times New Roman" w:eastAsia="Times New Roman" w:hAnsi="Times New Roman"/>
          <w:sz w:val="18"/>
          <w:szCs w:val="18"/>
          <w:i w:val="1"/>
          <w:iCs w:val="1"/>
          <w:color w:val="auto"/>
        </w:rPr>
        <w:t>Servicing Agreement</w:t>
      </w:r>
      <w:r>
        <w:rPr>
          <w:rFonts w:ascii="Times New Roman" w:cs="Times New Roman" w:eastAsia="Times New Roman" w:hAnsi="Times New Roman"/>
          <w:sz w:val="18"/>
          <w:szCs w:val="18"/>
          <w:color w:val="auto"/>
        </w:rPr>
        <w:t>”) by and between the Servicer and SIGECO SECURITIZATION I, LLC (the “</w:t>
      </w:r>
      <w:r>
        <w:rPr>
          <w:rFonts w:ascii="Times New Roman" w:cs="Times New Roman" w:eastAsia="Times New Roman" w:hAnsi="Times New Roman"/>
          <w:sz w:val="18"/>
          <w:szCs w:val="18"/>
          <w:i w:val="1"/>
          <w:iCs w:val="1"/>
          <w:color w:val="auto"/>
        </w:rPr>
        <w:t>Issuer</w:t>
      </w:r>
      <w:r>
        <w:rPr>
          <w:rFonts w:ascii="Times New Roman" w:cs="Times New Roman" w:eastAsia="Times New Roman" w:hAnsi="Times New Roman"/>
          <w:sz w:val="18"/>
          <w:szCs w:val="18"/>
          <w:color w:val="auto"/>
        </w:rPr>
        <w:t>”), and further certifies that:</w:t>
      </w:r>
    </w:p>
    <w:p>
      <w:pPr>
        <w:spacing w:after="0" w:line="180" w:lineRule="exact"/>
        <w:rPr>
          <w:sz w:val="20"/>
          <w:szCs w:val="20"/>
          <w:color w:val="auto"/>
        </w:rPr>
      </w:pPr>
    </w:p>
    <w:p>
      <w:pPr>
        <w:ind w:left="660" w:right="100" w:hanging="4"/>
        <w:spacing w:after="0" w:line="282" w:lineRule="auto"/>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review of the activities of the Servicer and of its performance under the Servicing Agreement during the twelve months ended December 31, 2024 has been made under the supervision of the undersigned pursuant to Section 3.03 of the Servicing Agreement; and</w:t>
      </w:r>
    </w:p>
    <w:p>
      <w:pPr>
        <w:spacing w:after="0" w:line="161" w:lineRule="exact"/>
        <w:rPr>
          <w:rFonts w:ascii="Times New Roman" w:cs="Times New Roman" w:eastAsia="Times New Roman" w:hAnsi="Times New Roman"/>
          <w:sz w:val="18"/>
          <w:szCs w:val="18"/>
          <w:color w:val="auto"/>
        </w:rPr>
      </w:pPr>
    </w:p>
    <w:p>
      <w:pPr>
        <w:ind w:left="660" w:right="720" w:hanging="4"/>
        <w:spacing w:after="0" w:line="282" w:lineRule="auto"/>
        <w:tabs>
          <w:tab w:leader="none" w:pos="8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undersigned’s knowledge, based on such review, the Servicer has fulfilled all of its obligations in all material respects under the Servicing Agreement throughout the twelve months ended December 31, 2024, except as set forth on </w:t>
      </w:r>
      <w:r>
        <w:rPr>
          <w:rFonts w:ascii="Times New Roman" w:cs="Times New Roman" w:eastAsia="Times New Roman" w:hAnsi="Times New Roman"/>
          <w:sz w:val="18"/>
          <w:szCs w:val="18"/>
          <w:i w:val="1"/>
          <w:iCs w:val="1"/>
          <w:color w:val="auto"/>
        </w:rPr>
        <w:t>Annex A</w:t>
      </w:r>
      <w:r>
        <w:rPr>
          <w:rFonts w:ascii="Times New Roman" w:cs="Times New Roman" w:eastAsia="Times New Roman" w:hAnsi="Times New Roman"/>
          <w:sz w:val="18"/>
          <w:szCs w:val="18"/>
          <w:color w:val="auto"/>
        </w:rPr>
        <w:t xml:space="preserve"> hereto.</w:t>
      </w:r>
    </w:p>
    <w:p>
      <w:pPr>
        <w:spacing w:after="0" w:line="165"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IN WITNESS WHEREOF, the undersigned has duly executed and delivered this Servicer Certificate of Compliance this 27</w:t>
      </w:r>
      <w:r>
        <w:rPr>
          <w:rFonts w:ascii="Times New Roman" w:cs="Times New Roman" w:eastAsia="Times New Roman" w:hAnsi="Times New Roman"/>
          <w:sz w:val="29"/>
          <w:szCs w:val="29"/>
          <w:color w:val="auto"/>
          <w:vertAlign w:val="superscript"/>
        </w:rPr>
        <w:t>th</w:t>
      </w:r>
      <w:r>
        <w:rPr>
          <w:rFonts w:ascii="Times New Roman" w:cs="Times New Roman" w:eastAsia="Times New Roman" w:hAnsi="Times New Roman"/>
          <w:sz w:val="18"/>
          <w:szCs w:val="18"/>
          <w:color w:val="auto"/>
        </w:rPr>
        <w:t xml:space="preserve"> of March, 2025.</w:t>
      </w:r>
    </w:p>
    <w:p>
      <w:pPr>
        <w:spacing w:after="0" w:line="1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SOUTHERN INDIANA GAS AND ELECTRIC COMPANY d/b/a</w:t>
      </w:r>
    </w:p>
    <w:p>
      <w:pPr>
        <w:spacing w:after="0" w:line="31"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CenterPoint Energy Indiana South, as Servicer</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By:</w:t>
            </w:r>
          </w:p>
        </w:tc>
        <w:tc>
          <w:tcPr>
            <w:tcW w:w="50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Patricia L. Martin</w:t>
            </w:r>
          </w:p>
        </w:tc>
      </w:tr>
      <w:tr>
        <w:trPr>
          <w:trHeight w:val="191"/>
        </w:trPr>
        <w:tc>
          <w:tcPr>
            <w:tcW w:w="6200" w:type="dxa"/>
            <w:vAlign w:val="bottom"/>
          </w:tcPr>
          <w:p>
            <w:pPr>
              <w:ind w:left="5640"/>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50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Patricia L. Martin</w:t>
            </w:r>
          </w:p>
        </w:tc>
      </w:tr>
      <w:tr>
        <w:trPr>
          <w:trHeight w:val="234"/>
        </w:trPr>
        <w:tc>
          <w:tcPr>
            <w:tcW w:w="6200" w:type="dxa"/>
            <w:vAlign w:val="bottom"/>
          </w:tcPr>
          <w:p>
            <w:pPr>
              <w:ind w:left="5640"/>
              <w:spacing w:after="0"/>
              <w:rPr>
                <w:sz w:val="20"/>
                <w:szCs w:val="20"/>
                <w:color w:val="auto"/>
              </w:rPr>
            </w:pPr>
            <w:r>
              <w:rPr>
                <w:rFonts w:ascii="Times New Roman" w:cs="Times New Roman" w:eastAsia="Times New Roman" w:hAnsi="Times New Roman"/>
                <w:sz w:val="18"/>
                <w:szCs w:val="18"/>
                <w:color w:val="auto"/>
              </w:rPr>
              <w:t>Title:</w:t>
            </w: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Vice President and Treasurer</w:t>
            </w:r>
          </w:p>
        </w:tc>
      </w:tr>
      <w:tr>
        <w:trPr>
          <w:trHeight w:val="675"/>
        </w:trPr>
        <w:tc>
          <w:tcPr>
            <w:tcW w:w="6200" w:type="dxa"/>
            <w:vAlign w:val="bottom"/>
            <w:tcBorders>
              <w:bottom w:val="single" w:sz="8" w:color="auto"/>
            </w:tcBorders>
          </w:tcPr>
          <w:p>
            <w:pPr>
              <w:spacing w:after="0"/>
              <w:rPr>
                <w:sz w:val="24"/>
                <w:szCs w:val="24"/>
                <w:color w:val="auto"/>
              </w:rPr>
            </w:pPr>
          </w:p>
        </w:tc>
        <w:tc>
          <w:tcPr>
            <w:tcW w:w="504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24" w:name="page25"/>
    <w:bookmarkEnd w:id="24"/>
    <w:p>
      <w:pPr>
        <w:jc w:val="center"/>
        <w:spacing w:after="0"/>
        <w:rPr>
          <w:sz w:val="20"/>
          <w:szCs w:val="20"/>
          <w:color w:val="auto"/>
        </w:rPr>
      </w:pPr>
      <w:r>
        <w:rPr>
          <w:rFonts w:ascii="Times New Roman" w:cs="Times New Roman" w:eastAsia="Times New Roman" w:hAnsi="Times New Roman"/>
          <w:sz w:val="18"/>
          <w:szCs w:val="18"/>
          <w:b w:val="1"/>
          <w:bCs w:val="1"/>
          <w:color w:val="auto"/>
        </w:rPr>
        <w:t>ANNEX A</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Certificate of Compliance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LIST OF SERVICER DEFAULTS</w:t>
      </w:r>
    </w:p>
    <w:p>
      <w:pPr>
        <w:spacing w:after="0" w:line="229" w:lineRule="exact"/>
        <w:rPr>
          <w:sz w:val="20"/>
          <w:szCs w:val="20"/>
          <w:color w:val="auto"/>
        </w:rPr>
      </w:pPr>
    </w:p>
    <w:p>
      <w:pPr>
        <w:ind w:right="80" w:firstLine="648"/>
        <w:spacing w:after="0" w:line="282" w:lineRule="auto"/>
        <w:rPr>
          <w:sz w:val="20"/>
          <w:szCs w:val="20"/>
          <w:color w:val="auto"/>
        </w:rPr>
      </w:pPr>
      <w:r>
        <w:rPr>
          <w:rFonts w:ascii="Times New Roman" w:cs="Times New Roman" w:eastAsia="Times New Roman" w:hAnsi="Times New Roman"/>
          <w:sz w:val="18"/>
          <w:szCs w:val="18"/>
          <w:color w:val="auto"/>
        </w:rPr>
        <w:t>The following Servicer Defaults, or events that with the giving of notice, the lapse of time, or both, would become Servicer Defaults known to the undersigned occurred during the twelve months ended December 31, 2024:</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1160" w:type="dxa"/>
            <w:vAlign w:val="bottom"/>
            <w:tcBorders>
              <w:right w:val="single" w:sz="8" w:color="auto"/>
            </w:tcBorders>
          </w:tcPr>
          <w:p>
            <w:pPr>
              <w:spacing w:after="0"/>
              <w:rPr>
                <w:sz w:val="19"/>
                <w:szCs w:val="19"/>
                <w:color w:val="auto"/>
              </w:rPr>
            </w:pPr>
          </w:p>
        </w:tc>
        <w:tc>
          <w:tcPr>
            <w:tcW w:w="14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Nature of Default</w:t>
            </w:r>
          </w:p>
        </w:tc>
        <w:tc>
          <w:tcPr>
            <w:tcW w:w="2160" w:type="dxa"/>
            <w:vAlign w:val="bottom"/>
            <w:tcBorders>
              <w:top w:val="single" w:sz="8" w:color="auto"/>
              <w:bottom w:val="single" w:sz="8" w:color="auto"/>
              <w:right w:val="single" w:sz="8" w:color="auto"/>
            </w:tcBorders>
          </w:tcPr>
          <w:p>
            <w:pPr>
              <w:spacing w:after="0"/>
              <w:rPr>
                <w:sz w:val="19"/>
                <w:szCs w:val="19"/>
                <w:color w:val="auto"/>
              </w:rPr>
            </w:pPr>
          </w:p>
        </w:tc>
        <w:tc>
          <w:tcPr>
            <w:tcW w:w="2320" w:type="dxa"/>
            <w:vAlign w:val="bottom"/>
            <w:tcBorders>
              <w:top w:val="single" w:sz="8" w:color="auto"/>
              <w:bottom w:val="single" w:sz="8" w:color="auto"/>
              <w:right w:val="single" w:sz="8" w:color="auto"/>
            </w:tcBorders>
          </w:tcPr>
          <w:p>
            <w:pPr>
              <w:spacing w:after="0"/>
              <w:rPr>
                <w:sz w:val="19"/>
                <w:szCs w:val="19"/>
                <w:color w:val="auto"/>
              </w:rPr>
            </w:pPr>
          </w:p>
        </w:tc>
        <w:tc>
          <w:tcPr>
            <w:tcW w:w="3040" w:type="dxa"/>
            <w:vAlign w:val="bottom"/>
            <w:tcBorders>
              <w:top w:val="single" w:sz="8" w:color="auto"/>
              <w:bottom w:val="single" w:sz="8" w:color="auto"/>
              <w:right w:val="single" w:sz="8" w:color="auto"/>
            </w:tcBorders>
          </w:tcPr>
          <w:p>
            <w:pPr>
              <w:ind w:left="40"/>
              <w:spacing w:after="0"/>
              <w:rPr>
                <w:sz w:val="20"/>
                <w:szCs w:val="20"/>
                <w:color w:val="auto"/>
              </w:rPr>
            </w:pPr>
            <w:r>
              <w:rPr>
                <w:rFonts w:ascii="Times New Roman" w:cs="Times New Roman" w:eastAsia="Times New Roman" w:hAnsi="Times New Roman"/>
                <w:sz w:val="18"/>
                <w:szCs w:val="18"/>
                <w:color w:val="auto"/>
              </w:rPr>
              <w:t>Status</w:t>
            </w:r>
          </w:p>
        </w:tc>
        <w:tc>
          <w:tcPr>
            <w:tcW w:w="1120" w:type="dxa"/>
            <w:vAlign w:val="bottom"/>
          </w:tcPr>
          <w:p>
            <w:pPr>
              <w:spacing w:after="0"/>
              <w:rPr>
                <w:sz w:val="19"/>
                <w:szCs w:val="19"/>
                <w:color w:val="auto"/>
              </w:rPr>
            </w:pPr>
          </w:p>
        </w:tc>
      </w:tr>
      <w:tr>
        <w:trPr>
          <w:trHeight w:val="210"/>
        </w:trPr>
        <w:tc>
          <w:tcPr>
            <w:tcW w:w="1160" w:type="dxa"/>
            <w:vAlign w:val="bottom"/>
            <w:tcBorders>
              <w:right w:val="single" w:sz="8" w:color="auto"/>
            </w:tcBorders>
          </w:tcPr>
          <w:p>
            <w:pPr>
              <w:spacing w:after="0"/>
              <w:rPr>
                <w:sz w:val="18"/>
                <w:szCs w:val="18"/>
                <w:color w:val="auto"/>
              </w:rPr>
            </w:pPr>
          </w:p>
        </w:tc>
        <w:tc>
          <w:tcPr>
            <w:tcW w:w="1440" w:type="dxa"/>
            <w:vAlign w:val="bottom"/>
            <w:tcBorders>
              <w:bottom w:val="single" w:sz="8" w:color="auto"/>
            </w:tcBorders>
          </w:tcPr>
          <w:p>
            <w:pPr>
              <w:spacing w:after="0"/>
              <w:rPr>
                <w:sz w:val="18"/>
                <w:szCs w:val="18"/>
                <w:color w:val="auto"/>
              </w:rPr>
            </w:pPr>
          </w:p>
        </w:tc>
        <w:tc>
          <w:tcPr>
            <w:tcW w:w="2160" w:type="dxa"/>
            <w:vAlign w:val="bottom"/>
            <w:tcBorders>
              <w:bottom w:val="single" w:sz="8" w:color="auto"/>
              <w:right w:val="single" w:sz="8" w:color="auto"/>
            </w:tcBorders>
          </w:tcPr>
          <w:p>
            <w:pPr>
              <w:ind w:left="160"/>
              <w:spacing w:after="0"/>
              <w:rPr>
                <w:sz w:val="20"/>
                <w:szCs w:val="20"/>
                <w:color w:val="auto"/>
              </w:rPr>
            </w:pPr>
            <w:r>
              <w:rPr>
                <w:rFonts w:ascii="Times New Roman" w:cs="Times New Roman" w:eastAsia="Times New Roman" w:hAnsi="Times New Roman"/>
                <w:sz w:val="18"/>
                <w:szCs w:val="18"/>
                <w:color w:val="auto"/>
              </w:rPr>
              <w:t>None</w:t>
            </w:r>
          </w:p>
        </w:tc>
        <w:tc>
          <w:tcPr>
            <w:tcW w:w="2320" w:type="dxa"/>
            <w:vAlign w:val="bottom"/>
            <w:tcBorders>
              <w:bottom w:val="single" w:sz="8" w:color="auto"/>
              <w:right w:val="single" w:sz="8" w:color="auto"/>
            </w:tcBorders>
          </w:tcPr>
          <w:p>
            <w:pPr>
              <w:spacing w:after="0"/>
              <w:rPr>
                <w:sz w:val="18"/>
                <w:szCs w:val="18"/>
                <w:color w:val="auto"/>
              </w:rPr>
            </w:pPr>
          </w:p>
        </w:tc>
        <w:tc>
          <w:tcPr>
            <w:tcW w:w="3040" w:type="dxa"/>
            <w:vAlign w:val="bottom"/>
            <w:tcBorders>
              <w:bottom w:val="single" w:sz="8" w:color="auto"/>
              <w:right w:val="single" w:sz="8" w:color="auto"/>
            </w:tcBorders>
          </w:tcPr>
          <w:p>
            <w:pPr>
              <w:spacing w:after="0"/>
              <w:rPr>
                <w:sz w:val="18"/>
                <w:szCs w:val="18"/>
                <w:color w:val="auto"/>
              </w:rPr>
            </w:pPr>
          </w:p>
        </w:tc>
        <w:tc>
          <w:tcPr>
            <w:tcW w:w="1120" w:type="dxa"/>
            <w:vAlign w:val="bottom"/>
          </w:tcPr>
          <w:p>
            <w:pPr>
              <w:spacing w:after="0"/>
              <w:rPr>
                <w:sz w:val="18"/>
                <w:szCs w:val="18"/>
                <w:color w:val="auto"/>
              </w:rPr>
            </w:pPr>
          </w:p>
        </w:tc>
      </w:tr>
      <w:tr>
        <w:trPr>
          <w:trHeight w:val="668"/>
        </w:trPr>
        <w:tc>
          <w:tcPr>
            <w:tcW w:w="1160" w:type="dxa"/>
            <w:vAlign w:val="bottom"/>
            <w:tcBorders>
              <w:bottom w:val="single" w:sz="8" w:color="auto"/>
            </w:tcBorders>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spacing w:after="0"/>
              <w:rPr>
                <w:sz w:val="24"/>
                <w:szCs w:val="24"/>
                <w:color w:val="auto"/>
              </w:rPr>
            </w:pPr>
          </w:p>
        </w:tc>
        <w:tc>
          <w:tcPr>
            <w:tcW w:w="232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4"/>
    </w:lvl>
    <w:lvl w:ilvl="1">
      <w:lvlJc w:val="left"/>
      <w:lvlText w:val="(%2)"/>
      <w:numFmt w:val="lowerRoman"/>
      <w:start w:val="1"/>
    </w:lvl>
  </w:abstractNum>
  <w:abstractNum w:abstractNumId="3">
    <w:nsid w:val="12200854"/>
    <w:multiLevelType w:val="hybridMultilevel"/>
    <w:lvl w:ilvl="0">
      <w:lvlJc w:val="left"/>
      <w:lvlText w:val="(%1)"/>
      <w:numFmt w:val="lowerLetter"/>
      <w:start w:val="1"/>
    </w:lvl>
    <w:lvl w:ilvl="1">
      <w:lvlJc w:val="left"/>
      <w:lvlText w:val="%2."/>
      <w:numFmt w:val="decimal"/>
      <w:start w:val="1"/>
    </w:lvl>
  </w:abstractNum>
  <w:abstractNum w:abstractNumId="4">
    <w:nsid w:val="4DB127F8"/>
    <w:multiLevelType w:val="hybridMultilevel"/>
    <w:lvl w:ilvl="0">
      <w:lvlJc w:val="left"/>
      <w:lvlText w:val="(%1)"/>
      <w:numFmt w:val="lowerLetter"/>
      <w:start w:val="2"/>
    </w:lvl>
  </w:abstractNum>
  <w:abstractNum w:abstractNumId="5">
    <w:nsid w:val="216231B"/>
    <w:multiLevelType w:val="hybridMultilevel"/>
    <w:lvl w:ilvl="0">
      <w:lvlJc w:val="left"/>
      <w:lvlText w:val="(%1)"/>
      <w:numFmt w:val="lowerLetter"/>
      <w:start w:val="3"/>
    </w:lvl>
  </w:abstractNum>
  <w:abstractNum w:abstractNumId="6">
    <w:nsid w:val="1F16E9E8"/>
    <w:multiLevelType w:val="hybridMultilevel"/>
    <w:lvl w:ilvl="0">
      <w:lvlJc w:val="left"/>
      <w:lvlText w:val="%1."/>
      <w:numFmt w:val="decimal"/>
      <w:start w:val="1"/>
    </w:lvl>
  </w:abstractNum>
  <w:abstractNum w:abstractNumId="7">
    <w:nsid w:val="1190CDE7"/>
    <w:multiLevelType w:val="hybridMultilevel"/>
    <w:lvl w:ilvl="0">
      <w:lvlJc w:val="left"/>
      <w:lvlText w:val="%1."/>
      <w:numFmt w:val="decimal"/>
      <w:start w:val="1"/>
    </w:lvl>
  </w:abstractNum>
  <w:abstractNum w:abstractNumId="8">
    <w:nsid w:val="66EF438D"/>
    <w:multiLevelType w:val="hybridMultilevel"/>
    <w:lvl w:ilvl="0">
      <w:lvlJc w:val="left"/>
      <w:lvlText w:val="%1."/>
      <w:numFmt w:val="decimal"/>
      <w:start w:val="3"/>
    </w:lvl>
  </w:abstractNum>
  <w:abstractNum w:abstractNumId="9">
    <w:nsid w:val="140E0F76"/>
    <w:multiLevelType w:val="hybridMultilevel"/>
    <w:lvl w:ilvl="0">
      <w:lvlJc w:val="left"/>
      <w:lvlText w:val="%1."/>
      <w:numFmt w:val="decimal"/>
      <w:start w:val="1"/>
    </w:lvl>
  </w:abstractNum>
  <w:abstractNum w:abstractNumId="10">
    <w:nsid w:val="3352255A"/>
    <w:multiLevelType w:val="hybridMultilevel"/>
    <w:lvl w:ilvl="0">
      <w:lvlJc w:val="left"/>
      <w:lvlText w:val="1"/>
      <w:numFmt w:val="bullet"/>
      <w:start w:val="1"/>
    </w:lvl>
  </w:abstractNum>
  <w:abstractNum w:abstractNumId="11">
    <w:nsid w:val="109CF92E"/>
    <w:multiLevelType w:val="hybridMultilevel"/>
    <w:lvl w:ilvl="0">
      <w:lvlJc w:val="left"/>
      <w:lvlText w:val="2"/>
      <w:numFmt w:val="bullet"/>
      <w:start w:val="1"/>
    </w:lvl>
  </w:abstractNum>
  <w:abstractNum w:abstractNumId="12">
    <w:nsid w:val="DED7263"/>
    <w:multiLevelType w:val="hybridMultilevel"/>
    <w:lvl w:ilvl="0">
      <w:lvlJc w:val="left"/>
      <w:lvlText w:val="(%1)"/>
      <w:numFmt w:val="lowerRoman"/>
      <w:start w:val="3"/>
    </w:lvl>
  </w:abstractNum>
  <w:abstractNum w:abstractNumId="13">
    <w:nsid w:val="7FDCC233"/>
    <w:multiLevelType w:val="hybridMultilevel"/>
    <w:lvl w:ilvl="0">
      <w:lvlJc w:val="left"/>
      <w:lvlText w:val="(%1)"/>
      <w:numFmt w:val="lowerRoman"/>
      <w:start w:val="1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22" Type="http://schemas.openxmlformats.org/officeDocument/2006/relationships/hyperlink" Target="https://www.sec.gov/Archives/edgar/data/92195/000119312523079261/d472510dex31.htm" TargetMode="External"/><Relationship Id="rId23" Type="http://schemas.openxmlformats.org/officeDocument/2006/relationships/hyperlink" Target="https://www.sec.gov/Archives/edgar/data/92195/000119312523178728/d523857dex31.htm" TargetMode="External"/><Relationship Id="rId24" Type="http://schemas.openxmlformats.org/officeDocument/2006/relationships/hyperlink" Target="https://www.sec.gov/Archives/edgar/data/92195/000119312523178728/d523857dex41.htm" TargetMode="External"/><Relationship Id="rId25" Type="http://schemas.openxmlformats.org/officeDocument/2006/relationships/hyperlink" Target="https://www.sec.gov/Archives/edgar/data/92195/000119312523178728/d523857dex42.htm" TargetMode="External"/><Relationship Id="rId26" Type="http://schemas.openxmlformats.org/officeDocument/2006/relationships/hyperlink" Target="https://www.sec.gov/Archives/edgar/data/92195/000119312523178728/d523857dex101.htm" TargetMode="External"/><Relationship Id="rId27" Type="http://schemas.openxmlformats.org/officeDocument/2006/relationships/hyperlink" Target="https://www.sec.gov/Archives/edgar/data/92195/000119312523178728/d523857dex102.htm" TargetMode="External"/><Relationship Id="rId28" Type="http://schemas.openxmlformats.org/officeDocument/2006/relationships/hyperlink" Target="https://www.sec.gov/Archives/edgar/data/92195/000119312523178728/d523857dex10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2025-03-27T15:52:28Z</dcterms:created>
  <dcterms:modified xsi:type="dcterms:W3CDTF">2025-03-27T15:52:28Z</dcterms:modified>
</cp:coreProperties>
</file>