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728345</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 SECURITIES AND EXCHANGE COMMISSION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0" w:lineRule="exact"/>
        <w:rPr>
          <w:sz w:val="24"/>
          <w:szCs w:val="24"/>
          <w:color w:val="auto"/>
        </w:rPr>
      </w:pPr>
    </w:p>
    <w:p>
      <w:pPr>
        <w:ind w:left="540" w:hanging="355"/>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3" w:lineRule="exact"/>
        <w:rPr>
          <w:sz w:val="24"/>
          <w:szCs w:val="24"/>
          <w:color w:val="auto"/>
        </w:rPr>
      </w:pPr>
    </w:p>
    <w:p>
      <w:pPr>
        <w:ind w:left="540" w:right="3520" w:hanging="355"/>
        <w:spacing w:after="0" w:line="297" w:lineRule="auto"/>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 TO __________________</w:t>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1-31447</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CenterPoint Energy, Inc.</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1"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8"/>
              </w:rPr>
              <w:t>74-0694415</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1111 Louisiana</w:t>
            </w:r>
          </w:p>
        </w:tc>
        <w:tc>
          <w:tcPr>
            <w:tcW w:w="12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6"/>
              </w:rPr>
              <w:t>Houston</w:t>
            </w:r>
          </w:p>
        </w:tc>
        <w:tc>
          <w:tcPr>
            <w:tcW w:w="24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(Zip Code)</w:t>
            </w:r>
          </w:p>
        </w:tc>
      </w:tr>
      <w:tr>
        <w:trPr>
          <w:trHeight w:val="320"/>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Times New Roman" w:cs="Times New Roman" w:eastAsia="Times New Roman" w:hAnsi="Times New Roman"/>
                <w:sz w:val="16"/>
                <w:szCs w:val="16"/>
                <w:b w:val="1"/>
                <w:bCs w:val="1"/>
                <w:color w:val="auto"/>
                <w:w w:val="95"/>
              </w:rPr>
              <w:t>(713) 207-1111</w:t>
            </w:r>
          </w:p>
        </w:tc>
        <w:tc>
          <w:tcPr>
            <w:tcW w:w="2260" w:type="dxa"/>
            <w:vAlign w:val="bottom"/>
          </w:tcPr>
          <w:p>
            <w:pPr>
              <w:spacing w:after="0"/>
              <w:rPr>
                <w:sz w:val="24"/>
                <w:szCs w:val="24"/>
                <w:color w:val="auto"/>
              </w:rPr>
            </w:pPr>
          </w:p>
        </w:tc>
      </w:tr>
      <w:tr>
        <w:trPr>
          <w:trHeight w:val="184"/>
        </w:trPr>
        <w:tc>
          <w:tcPr>
            <w:tcW w:w="340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5"/>
                <w:szCs w:val="15"/>
                <w:color w:val="auto"/>
              </w:rPr>
            </w:pPr>
          </w:p>
        </w:tc>
      </w:tr>
      <w:tr>
        <w:trPr>
          <w:trHeight w:val="443"/>
        </w:trPr>
        <w:tc>
          <w:tcPr>
            <w:tcW w:w="3400" w:type="dxa"/>
            <w:vAlign w:val="bottom"/>
          </w:tcPr>
          <w:p>
            <w:pPr>
              <w:spacing w:after="0"/>
              <w:rPr>
                <w:sz w:val="24"/>
                <w:szCs w:val="24"/>
                <w:color w:val="auto"/>
              </w:rPr>
            </w:pPr>
          </w:p>
        </w:tc>
        <w:tc>
          <w:tcPr>
            <w:tcW w:w="372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Commission file number 1-3187</w:t>
            </w:r>
          </w:p>
        </w:tc>
        <w:tc>
          <w:tcPr>
            <w:tcW w:w="2260" w:type="dxa"/>
            <w:vAlign w:val="bottom"/>
          </w:tcPr>
          <w:p>
            <w:pPr>
              <w:spacing w:after="0"/>
              <w:rPr>
                <w:sz w:val="24"/>
                <w:szCs w:val="24"/>
                <w:color w:val="auto"/>
              </w:rPr>
            </w:pPr>
          </w:p>
        </w:tc>
      </w:tr>
      <w:tr>
        <w:trPr>
          <w:trHeight w:val="396"/>
        </w:trPr>
        <w:tc>
          <w:tcPr>
            <w:tcW w:w="9380" w:type="dxa"/>
            <w:vAlign w:val="bottom"/>
            <w:gridSpan w:val="4"/>
          </w:tcPr>
          <w:p>
            <w:pPr>
              <w:jc w:val="center"/>
              <w:ind w:left="855"/>
              <w:spacing w:after="0"/>
              <w:rPr>
                <w:sz w:val="20"/>
                <w:szCs w:val="20"/>
                <w:color w:val="auto"/>
              </w:rPr>
            </w:pPr>
            <w:r>
              <w:rPr>
                <w:rFonts w:ascii="Times New Roman" w:cs="Times New Roman" w:eastAsia="Times New Roman" w:hAnsi="Times New Roman"/>
                <w:sz w:val="28"/>
                <w:szCs w:val="28"/>
                <w:b w:val="1"/>
                <w:bCs w:val="1"/>
                <w:color w:val="auto"/>
              </w:rPr>
              <w:t>CenterPoint Energy Houston Electric, LLC</w:t>
            </w:r>
          </w:p>
        </w:tc>
      </w:tr>
      <w:tr>
        <w:trPr>
          <w:trHeight w:val="240"/>
        </w:trPr>
        <w:tc>
          <w:tcPr>
            <w:tcW w:w="3400" w:type="dxa"/>
            <w:vAlign w:val="bottom"/>
          </w:tcPr>
          <w:p>
            <w:pPr>
              <w:spacing w:after="0"/>
              <w:rPr>
                <w:sz w:val="20"/>
                <w:szCs w:val="20"/>
                <w:color w:val="auto"/>
              </w:rPr>
            </w:pPr>
          </w:p>
        </w:tc>
        <w:tc>
          <w:tcPr>
            <w:tcW w:w="372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2260" w:type="dxa"/>
            <w:vAlign w:val="bottom"/>
          </w:tcPr>
          <w:p>
            <w:pPr>
              <w:spacing w:after="0"/>
              <w:rPr>
                <w:sz w:val="20"/>
                <w:szCs w:val="20"/>
                <w:color w:val="auto"/>
              </w:rPr>
            </w:pPr>
          </w:p>
        </w:tc>
      </w:tr>
      <w:tr>
        <w:trPr>
          <w:trHeight w:val="34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8"/>
              </w:rPr>
              <w:t>22-3865106</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1111 Louisiana</w:t>
            </w:r>
          </w:p>
        </w:tc>
        <w:tc>
          <w:tcPr>
            <w:tcW w:w="12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6"/>
              </w:rPr>
              <w:t>Houston</w:t>
            </w:r>
          </w:p>
        </w:tc>
        <w:tc>
          <w:tcPr>
            <w:tcW w:w="24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(Zip Code)</w:t>
            </w:r>
          </w:p>
        </w:tc>
      </w:tr>
      <w:tr>
        <w:trPr>
          <w:trHeight w:val="333"/>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Times New Roman" w:cs="Times New Roman" w:eastAsia="Times New Roman" w:hAnsi="Times New Roman"/>
                <w:sz w:val="16"/>
                <w:szCs w:val="16"/>
                <w:b w:val="1"/>
                <w:bCs w:val="1"/>
                <w:color w:val="auto"/>
                <w:w w:val="95"/>
              </w:rPr>
              <w:t>(713) 207-1111</w:t>
            </w:r>
          </w:p>
        </w:tc>
        <w:tc>
          <w:tcPr>
            <w:tcW w:w="2260" w:type="dxa"/>
            <w:vAlign w:val="bottom"/>
          </w:tcPr>
          <w:p>
            <w:pPr>
              <w:spacing w:after="0"/>
              <w:rPr>
                <w:sz w:val="24"/>
                <w:szCs w:val="24"/>
                <w:color w:val="auto"/>
              </w:rPr>
            </w:pPr>
          </w:p>
        </w:tc>
      </w:tr>
      <w:tr>
        <w:trPr>
          <w:trHeight w:val="184"/>
        </w:trPr>
        <w:tc>
          <w:tcPr>
            <w:tcW w:w="340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5"/>
                <w:szCs w:val="15"/>
                <w:color w:val="auto"/>
              </w:rPr>
            </w:pPr>
          </w:p>
        </w:tc>
      </w:tr>
      <w:tr>
        <w:trPr>
          <w:trHeight w:val="443"/>
        </w:trPr>
        <w:tc>
          <w:tcPr>
            <w:tcW w:w="3400" w:type="dxa"/>
            <w:vAlign w:val="bottom"/>
          </w:tcPr>
          <w:p>
            <w:pPr>
              <w:spacing w:after="0"/>
              <w:rPr>
                <w:sz w:val="24"/>
                <w:szCs w:val="24"/>
                <w:color w:val="auto"/>
              </w:rPr>
            </w:pPr>
          </w:p>
        </w:tc>
        <w:tc>
          <w:tcPr>
            <w:tcW w:w="372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Commission file number 1-13265</w:t>
            </w:r>
          </w:p>
        </w:tc>
        <w:tc>
          <w:tcPr>
            <w:tcW w:w="2260" w:type="dxa"/>
            <w:vAlign w:val="bottom"/>
          </w:tcPr>
          <w:p>
            <w:pPr>
              <w:spacing w:after="0"/>
              <w:rPr>
                <w:sz w:val="24"/>
                <w:szCs w:val="24"/>
                <w:color w:val="auto"/>
              </w:rPr>
            </w:pPr>
          </w:p>
        </w:tc>
      </w:tr>
      <w:tr>
        <w:trPr>
          <w:trHeight w:val="396"/>
        </w:trPr>
        <w:tc>
          <w:tcPr>
            <w:tcW w:w="9380" w:type="dxa"/>
            <w:vAlign w:val="bottom"/>
            <w:gridSpan w:val="4"/>
          </w:tcPr>
          <w:p>
            <w:pPr>
              <w:jc w:val="center"/>
              <w:ind w:left="855"/>
              <w:spacing w:after="0"/>
              <w:rPr>
                <w:sz w:val="20"/>
                <w:szCs w:val="20"/>
                <w:color w:val="auto"/>
              </w:rPr>
            </w:pPr>
            <w:r>
              <w:rPr>
                <w:rFonts w:ascii="Times New Roman" w:cs="Times New Roman" w:eastAsia="Times New Roman" w:hAnsi="Times New Roman"/>
                <w:sz w:val="28"/>
                <w:szCs w:val="28"/>
                <w:b w:val="1"/>
                <w:bCs w:val="1"/>
                <w:color w:val="auto"/>
              </w:rPr>
              <w:t>CenterPoint Energy Resources Corp.</w:t>
            </w:r>
          </w:p>
        </w:tc>
      </w:tr>
      <w:tr>
        <w:trPr>
          <w:trHeight w:val="240"/>
        </w:trPr>
        <w:tc>
          <w:tcPr>
            <w:tcW w:w="3400" w:type="dxa"/>
            <w:vAlign w:val="bottom"/>
          </w:tcPr>
          <w:p>
            <w:pPr>
              <w:spacing w:after="0"/>
              <w:rPr>
                <w:sz w:val="20"/>
                <w:szCs w:val="20"/>
                <w:color w:val="auto"/>
              </w:rPr>
            </w:pPr>
          </w:p>
        </w:tc>
        <w:tc>
          <w:tcPr>
            <w:tcW w:w="3720" w:type="dxa"/>
            <w:vAlign w:val="bottom"/>
            <w:gridSpan w:val="2"/>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2260" w:type="dxa"/>
            <w:vAlign w:val="bottom"/>
          </w:tcPr>
          <w:p>
            <w:pPr>
              <w:spacing w:after="0"/>
              <w:rPr>
                <w:sz w:val="20"/>
                <w:szCs w:val="20"/>
                <w:color w:val="auto"/>
              </w:rPr>
            </w:pPr>
          </w:p>
        </w:tc>
      </w:tr>
      <w:tr>
        <w:trPr>
          <w:trHeight w:val="345"/>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8"/>
              </w:rPr>
              <w:t>76-0511406</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8"/>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1111 Louisiana</w:t>
            </w:r>
          </w:p>
        </w:tc>
        <w:tc>
          <w:tcPr>
            <w:tcW w:w="12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w w:val="96"/>
              </w:rPr>
              <w:t>Houston</w:t>
            </w:r>
          </w:p>
        </w:tc>
        <w:tc>
          <w:tcPr>
            <w:tcW w:w="246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45"/>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3"/>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Times New Roman" w:cs="Times New Roman" w:eastAsia="Times New Roman" w:hAnsi="Times New Roman"/>
                <w:sz w:val="14"/>
                <w:szCs w:val="14"/>
                <w:color w:val="auto"/>
              </w:rPr>
              <w:t>(Zip Code)</w:t>
            </w:r>
          </w:p>
        </w:tc>
      </w:tr>
      <w:tr>
        <w:trPr>
          <w:trHeight w:val="324"/>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Times New Roman" w:cs="Times New Roman" w:eastAsia="Times New Roman" w:hAnsi="Times New Roman"/>
                <w:sz w:val="16"/>
                <w:szCs w:val="16"/>
                <w:b w:val="1"/>
                <w:bCs w:val="1"/>
                <w:color w:val="auto"/>
                <w:w w:val="95"/>
              </w:rPr>
              <w:t>(713) 207-1111</w:t>
            </w:r>
          </w:p>
        </w:tc>
        <w:tc>
          <w:tcPr>
            <w:tcW w:w="226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372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6"/>
                <w:szCs w:val="16"/>
                <w:color w:val="auto"/>
              </w:rPr>
            </w:pPr>
          </w:p>
        </w:tc>
      </w:tr>
    </w:tbl>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60" w:type="dxa"/>
            <w:vAlign w:val="bottom"/>
            <w:gridSpan w:val="2"/>
          </w:tcPr>
          <w:p>
            <w:pPr>
              <w:jc w:val="center"/>
              <w:ind w:right="1560"/>
              <w:spacing w:after="0"/>
              <w:rPr>
                <w:sz w:val="20"/>
                <w:szCs w:val="20"/>
                <w:color w:val="auto"/>
              </w:rPr>
            </w:pPr>
            <w:r>
              <w:rPr>
                <w:rFonts w:ascii="Times New Roman" w:cs="Times New Roman" w:eastAsia="Times New Roman" w:hAnsi="Times New Roman"/>
                <w:sz w:val="11"/>
                <w:szCs w:val="11"/>
                <w:b w:val="1"/>
                <w:bCs w:val="1"/>
                <w:color w:val="auto"/>
                <w:w w:val="92"/>
              </w:rPr>
              <w:t>Registrant</w:t>
            </w:r>
          </w:p>
        </w:tc>
        <w:tc>
          <w:tcPr>
            <w:tcW w:w="1380" w:type="dxa"/>
            <w:vAlign w:val="bottom"/>
          </w:tcPr>
          <w:p>
            <w:pPr>
              <w:spacing w:after="0"/>
              <w:rPr>
                <w:sz w:val="10"/>
                <w:szCs w:val="10"/>
                <w:color w:val="auto"/>
              </w:rPr>
            </w:pPr>
          </w:p>
        </w:tc>
        <w:tc>
          <w:tcPr>
            <w:tcW w:w="2660" w:type="dxa"/>
            <w:vAlign w:val="bottom"/>
            <w:gridSpan w:val="2"/>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3"/>
              </w:rPr>
              <w:t>Trading Symbol</w:t>
            </w: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4"/>
        </w:trPr>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w w:val="99"/>
              </w:rPr>
              <w:t>CenterPoint Energy, Inc.</w:t>
            </w:r>
          </w:p>
        </w:tc>
        <w:tc>
          <w:tcPr>
            <w:tcW w:w="40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CNP</w:t>
            </w: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99"/>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7"/>
              </w:rPr>
              <w:t>NYSE Texas</w:t>
            </w:r>
          </w:p>
        </w:tc>
      </w:tr>
      <w:tr>
        <w:trPr>
          <w:trHeight w:val="199"/>
        </w:trPr>
        <w:tc>
          <w:tcPr>
            <w:tcW w:w="3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40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6.95% General Mortgage Bonds due 2033</w:t>
            </w: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3"/>
              </w:rPr>
              <w:t>n/a</w:t>
            </w: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99"/>
        </w:trPr>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40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6.625% Senior Notes due 2037</w:t>
            </w: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3"/>
              </w:rPr>
              <w:t>n/a</w:t>
            </w: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104"/>
        </w:trPr>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1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37"/>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30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0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0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37"/>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0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29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500" w:type="dxa"/>
            <w:vAlign w:val="bottom"/>
          </w:tcPr>
          <w:p>
            <w:pPr>
              <w:jc w:val="center"/>
              <w:ind w:left="1149"/>
              <w:spacing w:after="0"/>
              <w:rPr>
                <w:sz w:val="20"/>
                <w:szCs w:val="20"/>
                <w:color w:val="auto"/>
              </w:rPr>
            </w:pPr>
            <w:r>
              <w:rPr>
                <w:rFonts w:ascii="Times New Roman" w:cs="Times New Roman" w:eastAsia="Times New Roman" w:hAnsi="Times New Roman"/>
                <w:sz w:val="14"/>
                <w:szCs w:val="14"/>
                <w:b w:val="1"/>
                <w:bCs w:val="1"/>
                <w:color w:val="auto"/>
              </w:rPr>
              <w:t>Large accelerated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 filer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Non-accelerated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Smaller reporting</w:t>
            </w:r>
          </w:p>
        </w:tc>
        <w:tc>
          <w:tcPr>
            <w:tcW w:w="114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Emerging growth</w:t>
            </w: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500" w:type="dxa"/>
            <w:vAlign w:val="bottom"/>
          </w:tcPr>
          <w:p>
            <w:pPr>
              <w:jc w:val="center"/>
              <w:ind w:left="1149"/>
              <w:spacing w:after="0"/>
              <w:rPr>
                <w:sz w:val="20"/>
                <w:szCs w:val="20"/>
                <w:color w:val="auto"/>
              </w:rPr>
            </w:pPr>
            <w:r>
              <w:rPr>
                <w:rFonts w:ascii="Times New Roman" w:cs="Times New Roman" w:eastAsia="Times New Roman" w:hAnsi="Times New Roman"/>
                <w:sz w:val="14"/>
                <w:szCs w:val="14"/>
                <w:b w:val="1"/>
                <w:bCs w:val="1"/>
                <w:color w:val="auto"/>
                <w:w w:val="96"/>
              </w:rPr>
              <w:t>filer</w:t>
            </w:r>
          </w:p>
        </w:tc>
        <w:tc>
          <w:tcPr>
            <w:tcW w:w="124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14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32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00" w:type="dxa"/>
            <w:vAlign w:val="bottom"/>
          </w:tcPr>
          <w:p>
            <w:pPr>
              <w:jc w:val="center"/>
              <w:ind w:left="114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o</w:t>
            </w:r>
          </w:p>
        </w:tc>
        <w:tc>
          <w:tcPr>
            <w:tcW w:w="1200" w:type="dxa"/>
            <w:vAlign w:val="bottom"/>
          </w:tcPr>
          <w:p>
            <w:pPr>
              <w:jc w:val="center"/>
              <w:spacing w:after="0"/>
              <w:rPr>
                <w:sz w:val="20"/>
                <w:szCs w:val="20"/>
                <w:color w:val="auto"/>
              </w:rPr>
            </w:pPr>
            <w:r>
              <w:rPr>
                <w:rFonts w:ascii="Wingdings" w:cs="Wingdings" w:eastAsia="Wingdings" w:hAnsi="Wingdings"/>
                <w:sz w:val="14"/>
                <w:szCs w:val="14"/>
                <w:b w:val="1"/>
                <w:bCs w:val="1"/>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00" w:type="dxa"/>
            <w:vAlign w:val="bottom"/>
          </w:tcPr>
          <w:p>
            <w:pPr>
              <w:jc w:val="center"/>
              <w:ind w:left="1149"/>
              <w:spacing w:after="0"/>
              <w:rPr>
                <w:sz w:val="20"/>
                <w:szCs w:val="20"/>
                <w:color w:val="auto"/>
              </w:rPr>
            </w:pPr>
            <w:r>
              <w:rPr>
                <w:rFonts w:ascii="Wingdings" w:cs="Wingdings" w:eastAsia="Wingdings" w:hAnsi="Wingdings"/>
                <w:sz w:val="14"/>
                <w:szCs w:val="14"/>
                <w:b w:val="1"/>
                <w:bCs w:val="1"/>
                <w:color w:val="auto"/>
                <w:w w:val="95"/>
              </w:rPr>
              <w:t>o</w:t>
            </w:r>
          </w:p>
        </w:tc>
        <w:tc>
          <w:tcPr>
            <w:tcW w:w="12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00" w:type="dxa"/>
            <w:vAlign w:val="bottom"/>
          </w:tcPr>
          <w:p>
            <w:pPr>
              <w:jc w:val="center"/>
              <w:ind w:left="1149"/>
              <w:spacing w:after="0"/>
              <w:rPr>
                <w:sz w:val="20"/>
                <w:szCs w:val="20"/>
                <w:color w:val="auto"/>
              </w:rPr>
            </w:pPr>
            <w:r>
              <w:rPr>
                <w:rFonts w:ascii="Wingdings" w:cs="Wingdings" w:eastAsia="Wingdings" w:hAnsi="Wingdings"/>
                <w:sz w:val="14"/>
                <w:szCs w:val="14"/>
                <w:b w:val="1"/>
                <w:bCs w:val="1"/>
                <w:color w:val="auto"/>
                <w:w w:val="95"/>
              </w:rPr>
              <w:t>o</w:t>
            </w:r>
          </w:p>
        </w:tc>
        <w:tc>
          <w:tcPr>
            <w:tcW w:w="124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0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0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0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July 21, 2025:</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162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652,864,878</w:t>
            </w:r>
          </w:p>
        </w:tc>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5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1620" w:type="dxa"/>
            <w:vAlign w:val="bottom"/>
            <w:vMerge w:val="restart"/>
          </w:tcPr>
          <w:p>
            <w:pPr>
              <w:jc w:val="center"/>
              <w:ind w:left="469"/>
              <w:spacing w:after="0"/>
              <w:rPr>
                <w:sz w:val="20"/>
                <w:szCs w:val="20"/>
                <w:color w:val="auto"/>
              </w:rPr>
            </w:pPr>
            <w:r>
              <w:rPr>
                <w:rFonts w:ascii="Times New Roman" w:cs="Times New Roman" w:eastAsia="Times New Roman" w:hAnsi="Times New Roman"/>
                <w:sz w:val="14"/>
                <w:szCs w:val="14"/>
                <w:color w:val="auto"/>
              </w:rPr>
              <w:t>1,000</w:t>
            </w:r>
          </w:p>
        </w:tc>
        <w:tc>
          <w:tcPr>
            <w:tcW w:w="616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color w:val="auto"/>
              </w:rPr>
              <w:t>common shares outstanding, all held by Utility Holding, LLC, a wholly-owned subsidiary of CenterPoint</w:t>
            </w:r>
          </w:p>
        </w:tc>
        <w:tc>
          <w:tcPr>
            <w:tcW w:w="0" w:type="dxa"/>
            <w:vAlign w:val="bottom"/>
          </w:tcPr>
          <w:p>
            <w:pPr>
              <w:spacing w:after="0"/>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Energy, Inc.</w:t>
            </w:r>
          </w:p>
        </w:tc>
        <w:tc>
          <w:tcPr>
            <w:tcW w:w="0" w:type="dxa"/>
            <w:vAlign w:val="bottom"/>
          </w:tcPr>
          <w:p>
            <w:pPr>
              <w:spacing w:after="0"/>
              <w:rPr>
                <w:sz w:val="1"/>
                <w:szCs w:val="1"/>
                <w:color w:val="auto"/>
              </w:rPr>
            </w:pPr>
          </w:p>
        </w:tc>
      </w:tr>
      <w:tr>
        <w:trPr>
          <w:trHeight w:val="14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1620" w:type="dxa"/>
            <w:vAlign w:val="bottom"/>
            <w:vMerge w:val="restart"/>
          </w:tcPr>
          <w:p>
            <w:pPr>
              <w:jc w:val="center"/>
              <w:ind w:left="469"/>
              <w:spacing w:after="0"/>
              <w:rPr>
                <w:sz w:val="20"/>
                <w:szCs w:val="20"/>
                <w:color w:val="auto"/>
              </w:rPr>
            </w:pPr>
            <w:r>
              <w:rPr>
                <w:rFonts w:ascii="Times New Roman" w:cs="Times New Roman" w:eastAsia="Times New Roman" w:hAnsi="Times New Roman"/>
                <w:sz w:val="14"/>
                <w:szCs w:val="14"/>
                <w:color w:val="auto"/>
              </w:rPr>
              <w:t>1,000</w:t>
            </w:r>
          </w:p>
        </w:tc>
        <w:tc>
          <w:tcPr>
            <w:tcW w:w="616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shares of common stock outstanding, all held by Utility Holding, LLC, a wholly-owned subsidiary of</w:t>
            </w:r>
          </w:p>
        </w:tc>
        <w:tc>
          <w:tcPr>
            <w:tcW w:w="0" w:type="dxa"/>
            <w:vAlign w:val="bottom"/>
          </w:tcPr>
          <w:p>
            <w:pPr>
              <w:spacing w:after="0"/>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555625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85"/>
        </w:trPr>
        <w:tc>
          <w:tcPr>
            <w:tcW w:w="1220" w:type="dxa"/>
            <w:vAlign w:val="bottom"/>
            <w:shd w:val="clear" w:color="auto" w:fill="CCEEFF"/>
          </w:tcPr>
          <w:p>
            <w:pPr>
              <w:ind w:left="28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tcBorders>
              <w:right w:val="single" w:sz="8" w:color="CCEEFF"/>
            </w:tcBorders>
            <w:gridSpan w:val="2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5"/>
        </w:trPr>
        <w:tc>
          <w:tcPr>
            <w:tcW w:w="1220" w:type="dxa"/>
            <w:vAlign w:val="bottom"/>
          </w:tcPr>
          <w:p>
            <w:pPr>
              <w:spacing w:after="0"/>
              <w:rPr>
                <w:sz w:val="16"/>
                <w:szCs w:val="16"/>
                <w:color w:val="auto"/>
              </w:rPr>
            </w:pPr>
          </w:p>
        </w:tc>
        <w:tc>
          <w:tcPr>
            <w:tcW w:w="9700" w:type="dxa"/>
            <w:vAlign w:val="bottom"/>
            <w:gridSpan w:val="28"/>
          </w:tcPr>
          <w:p>
            <w:pPr>
              <w:spacing w:after="0" w:line="186" w:lineRule="exact"/>
              <w:rPr>
                <w:sz w:val="20"/>
                <w:szCs w:val="20"/>
                <w:color w:val="auto"/>
              </w:rPr>
            </w:pPr>
            <w:r>
              <w:rPr>
                <w:rFonts w:ascii="Times New Roman" w:cs="Times New Roman" w:eastAsia="Times New Roman" w:hAnsi="Times New Roman"/>
                <w:sz w:val="18"/>
                <w:szCs w:val="18"/>
                <w:color w:val="0000FF"/>
              </w:rPr>
              <w:t xml:space="preserve">CenterPoint Energy, Inc. and Subsidiaries Financial Statements </w:t>
            </w:r>
            <w:r>
              <w:rPr>
                <w:rFonts w:ascii="Times New Roman" w:cs="Times New Roman" w:eastAsia="Times New Roman" w:hAnsi="Times New Roman"/>
                <w:sz w:val="18"/>
                <w:szCs w:val="18"/>
                <w:color w:val="000000"/>
              </w:rPr>
              <w:t>(Unaudited)</w:t>
            </w:r>
          </w:p>
        </w:tc>
        <w:tc>
          <w:tcPr>
            <w:tcW w:w="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220" w:type="dxa"/>
            <w:vAlign w:val="bottom"/>
          </w:tcPr>
          <w:p>
            <w:pPr>
              <w:spacing w:after="0"/>
              <w:rPr>
                <w:sz w:val="16"/>
                <w:szCs w:val="16"/>
                <w:color w:val="auto"/>
              </w:rPr>
            </w:pPr>
          </w:p>
        </w:tc>
      </w:tr>
      <w:tr>
        <w:trPr>
          <w:trHeight w:val="30"/>
        </w:trPr>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12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2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 xml:space="preserve">CenterPoint Energy Houston Electric, LLC and Subsidiaries Financial Statements </w:t>
            </w:r>
            <w:r>
              <w:rPr>
                <w:rFonts w:ascii="Times New Roman" w:cs="Times New Roman" w:eastAsia="Times New Roman" w:hAnsi="Times New Roman"/>
                <w:sz w:val="18"/>
                <w:szCs w:val="18"/>
                <w:color w:val="000000"/>
              </w:rPr>
              <w:t>(Unaudited)</w:t>
            </w:r>
          </w:p>
        </w:tc>
        <w:tc>
          <w:tcPr>
            <w:tcW w:w="1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rPr>
              <w:t>7</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9700" w:type="dxa"/>
            <w:vAlign w:val="bottom"/>
            <w:gridSpan w:val="28"/>
          </w:tcPr>
          <w:p>
            <w:pPr>
              <w:spacing w:after="0" w:line="186" w:lineRule="exact"/>
              <w:rPr>
                <w:sz w:val="20"/>
                <w:szCs w:val="20"/>
                <w:color w:val="auto"/>
              </w:rPr>
            </w:pPr>
            <w:r>
              <w:rPr>
                <w:rFonts w:ascii="Times New Roman" w:cs="Times New Roman" w:eastAsia="Times New Roman" w:hAnsi="Times New Roman"/>
                <w:sz w:val="18"/>
                <w:szCs w:val="18"/>
                <w:color w:val="0000FF"/>
              </w:rPr>
              <w:t xml:space="preserve">CenterPoint Energy Resources Corp. and Subsidiaries Financial Statements </w:t>
            </w:r>
            <w:r>
              <w:rPr>
                <w:rFonts w:ascii="Times New Roman" w:cs="Times New Roman" w:eastAsia="Times New Roman" w:hAnsi="Times New Roman"/>
                <w:sz w:val="18"/>
                <w:szCs w:val="18"/>
                <w:color w:val="000000"/>
              </w:rPr>
              <w:t>(Unaudited)</w:t>
            </w:r>
          </w:p>
        </w:tc>
        <w:tc>
          <w:tcPr>
            <w:tcW w:w="1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11</w:t>
            </w:r>
          </w:p>
        </w:tc>
        <w:tc>
          <w:tcPr>
            <w:tcW w:w="220" w:type="dxa"/>
            <w:vAlign w:val="bottom"/>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5340" w:type="dxa"/>
            <w:vAlign w:val="bottom"/>
            <w:tcBorders>
              <w:top w:val="single" w:sz="8" w:color="0000FF"/>
            </w:tcBorders>
            <w:gridSpan w:val="2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 xml:space="preserve">Combined Notes to Interim Condensed Financial Statements </w:t>
            </w:r>
            <w:r>
              <w:rPr>
                <w:rFonts w:ascii="Times New Roman" w:cs="Times New Roman" w:eastAsia="Times New Roman" w:hAnsi="Times New Roman"/>
                <w:sz w:val="18"/>
                <w:szCs w:val="18"/>
                <w:color w:val="000000"/>
              </w:rPr>
              <w:t>(Unaudited)</w:t>
            </w:r>
          </w:p>
        </w:tc>
        <w:tc>
          <w:tcPr>
            <w:tcW w:w="4360" w:type="dxa"/>
            <w:vAlign w:val="bottom"/>
            <w:tcBorders>
              <w:right w:val="single" w:sz="8" w:color="CCEEFF"/>
            </w:tcBorders>
            <w:gridSpan w:val="3"/>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17</w:t>
            </w:r>
          </w:p>
        </w:tc>
        <w:tc>
          <w:tcPr>
            <w:tcW w:w="220" w:type="dxa"/>
            <w:vAlign w:val="bottom"/>
            <w:tcBorders>
              <w:left w:val="single" w:sz="8" w:color="CCEEFF"/>
            </w:tcBorders>
            <w:shd w:val="clear" w:color="auto" w:fill="CCEEFF"/>
          </w:tcPr>
          <w:p>
            <w:pPr>
              <w:spacing w:after="0"/>
              <w:rPr>
                <w:sz w:val="18"/>
                <w:szCs w:val="18"/>
                <w:color w:val="auto"/>
              </w:rPr>
            </w:pPr>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2720" w:type="dxa"/>
            <w:vAlign w:val="bottom"/>
            <w:tcBorders>
              <w:top w:val="single" w:sz="8" w:color="0000FF"/>
              <w:bottom w:val="single" w:sz="8" w:color="0000FF"/>
            </w:tcBorders>
            <w:gridSpan w:val="14"/>
          </w:tcPr>
          <w:p>
            <w:pPr>
              <w:ind w:left="20"/>
              <w:spacing w:after="0" w:line="186" w:lineRule="exact"/>
              <w:rPr>
                <w:sz w:val="20"/>
                <w:szCs w:val="20"/>
                <w:color w:val="auto"/>
              </w:rPr>
            </w:pPr>
            <w:r>
              <w:rPr>
                <w:rFonts w:ascii="Times New Roman" w:cs="Times New Roman" w:eastAsia="Times New Roman" w:hAnsi="Times New Roman"/>
                <w:sz w:val="18"/>
                <w:szCs w:val="18"/>
                <w:color w:val="0000FF"/>
                <w:w w:val="97"/>
              </w:rPr>
              <w:t>Background and Basis of Presentation</w:t>
            </w:r>
          </w:p>
        </w:tc>
        <w:tc>
          <w:tcPr>
            <w:tcW w:w="1140" w:type="dxa"/>
            <w:vAlign w:val="bottom"/>
            <w:tcBorders>
              <w:top w:val="single" w:sz="8" w:color="0000FF"/>
            </w:tcBorders>
            <w:gridSpan w:val="5"/>
          </w:tcPr>
          <w:p>
            <w:pPr>
              <w:spacing w:after="0"/>
              <w:rPr>
                <w:sz w:val="16"/>
                <w:szCs w:val="16"/>
                <w:color w:val="auto"/>
              </w:rPr>
            </w:pPr>
          </w:p>
        </w:tc>
        <w:tc>
          <w:tcPr>
            <w:tcW w:w="5400" w:type="dxa"/>
            <w:vAlign w:val="bottom"/>
            <w:tcBorders>
              <w:top w:val="single" w:sz="8" w:color="CCEEFF"/>
            </w:tcBorders>
            <w:gridSpan w:val="7"/>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17</w:t>
            </w:r>
          </w:p>
        </w:tc>
        <w:tc>
          <w:tcPr>
            <w:tcW w:w="220" w:type="dxa"/>
            <w:vAlign w:val="bottom"/>
            <w:tcBorders>
              <w:top w:val="single" w:sz="8" w:color="CCEEFF"/>
            </w:tcBorders>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(2)</w:t>
            </w:r>
          </w:p>
        </w:tc>
        <w:tc>
          <w:tcPr>
            <w:tcW w:w="9260" w:type="dxa"/>
            <w:vAlign w:val="bottom"/>
            <w:tcBorders>
              <w:right w:val="single" w:sz="8" w:color="CCEEFF"/>
            </w:tcBorders>
            <w:gridSpan w:val="26"/>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rPr>
              <w:t>Accounting Policies and Recent Accounting Pronouncements</w:t>
            </w:r>
          </w:p>
        </w:tc>
        <w:tc>
          <w:tcPr>
            <w:tcW w:w="320" w:type="dxa"/>
            <w:vAlign w:val="bottom"/>
            <w:gridSpan w:val="2"/>
            <w:shd w:val="clear" w:color="auto" w:fill="CCEEFF"/>
          </w:tcPr>
          <w:p>
            <w:pPr>
              <w:jc w:val="center"/>
              <w:ind w:right="180"/>
              <w:spacing w:after="0" w:line="195" w:lineRule="exact"/>
              <w:rPr>
                <w:sz w:val="20"/>
                <w:szCs w:val="20"/>
                <w:color w:val="auto"/>
              </w:rPr>
            </w:pPr>
            <w:r>
              <w:rPr>
                <w:rFonts w:ascii="Times New Roman" w:cs="Times New Roman" w:eastAsia="Times New Roman" w:hAnsi="Times New Roman"/>
                <w:sz w:val="18"/>
                <w:szCs w:val="18"/>
                <w:color w:val="0000FF"/>
                <w:w w:val="77"/>
              </w:rPr>
              <w:t>18</w:t>
            </w:r>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rPr>
              <w:t>(3)</w:t>
            </w:r>
          </w:p>
        </w:tc>
        <w:tc>
          <w:tcPr>
            <w:tcW w:w="4360" w:type="dxa"/>
            <w:vAlign w:val="bottom"/>
            <w:tcBorders>
              <w:top w:val="single" w:sz="8" w:color="0000FF"/>
            </w:tcBorders>
            <w:gridSpan w:val="22"/>
          </w:tcPr>
          <w:p>
            <w:pPr>
              <w:ind w:left="20"/>
              <w:spacing w:after="0" w:line="186" w:lineRule="exact"/>
              <w:rPr>
                <w:sz w:val="20"/>
                <w:szCs w:val="20"/>
                <w:color w:val="auto"/>
              </w:rPr>
            </w:pPr>
            <w:r>
              <w:rPr>
                <w:rFonts w:ascii="Times New Roman" w:cs="Times New Roman" w:eastAsia="Times New Roman" w:hAnsi="Times New Roman"/>
                <w:sz w:val="18"/>
                <w:szCs w:val="18"/>
                <w:color w:val="0000FF"/>
              </w:rPr>
              <w:t>Acquisition and Divestiture</w:t>
            </w:r>
          </w:p>
        </w:tc>
        <w:tc>
          <w:tcPr>
            <w:tcW w:w="490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19</w:t>
            </w:r>
          </w:p>
        </w:tc>
        <w:tc>
          <w:tcPr>
            <w:tcW w:w="220" w:type="dxa"/>
            <w:vAlign w:val="bottom"/>
            <w:tcBorders>
              <w:top w:val="single" w:sz="8" w:color="CCEEFF"/>
            </w:tcBorders>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(4)</w:t>
            </w:r>
          </w:p>
        </w:tc>
        <w:tc>
          <w:tcPr>
            <w:tcW w:w="1960" w:type="dxa"/>
            <w:vAlign w:val="bottom"/>
            <w:tcBorders>
              <w:top w:val="single" w:sz="8" w:color="0000FF"/>
            </w:tcBorders>
            <w:gridSpan w:val="10"/>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rPr>
              <w:t>Revenue Recognition</w:t>
            </w:r>
          </w:p>
        </w:tc>
        <w:tc>
          <w:tcPr>
            <w:tcW w:w="7300" w:type="dxa"/>
            <w:vAlign w:val="bottom"/>
            <w:tcBorders>
              <w:right w:val="single" w:sz="8" w:color="CCEEFF"/>
            </w:tcBorders>
            <w:gridSpan w:val="16"/>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21</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rPr>
              <w:t>(5)</w:t>
            </w:r>
          </w:p>
        </w:tc>
        <w:tc>
          <w:tcPr>
            <w:tcW w:w="9260" w:type="dxa"/>
            <w:vAlign w:val="bottom"/>
            <w:gridSpan w:val="26"/>
          </w:tcPr>
          <w:p>
            <w:pPr>
              <w:ind w:left="20"/>
              <w:spacing w:after="0" w:line="186" w:lineRule="exact"/>
              <w:rPr>
                <w:sz w:val="20"/>
                <w:szCs w:val="20"/>
                <w:color w:val="auto"/>
              </w:rPr>
            </w:pPr>
            <w:r>
              <w:rPr>
                <w:rFonts w:ascii="Times New Roman" w:cs="Times New Roman" w:eastAsia="Times New Roman" w:hAnsi="Times New Roman"/>
                <w:sz w:val="18"/>
                <w:szCs w:val="18"/>
                <w:color w:val="0000FF"/>
              </w:rPr>
              <w:t>Employee Benefit Plans</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23</w:t>
            </w: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(6)</w:t>
            </w:r>
          </w:p>
        </w:tc>
        <w:tc>
          <w:tcPr>
            <w:tcW w:w="1720" w:type="dxa"/>
            <w:vAlign w:val="bottom"/>
            <w:tcBorders>
              <w:top w:val="single" w:sz="8" w:color="0000FF"/>
            </w:tcBorders>
            <w:gridSpan w:val="8"/>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rPr>
              <w:t>Regulatory Matters</w:t>
            </w:r>
          </w:p>
        </w:tc>
        <w:tc>
          <w:tcPr>
            <w:tcW w:w="7540" w:type="dxa"/>
            <w:vAlign w:val="bottom"/>
            <w:tcBorders>
              <w:right w:val="single" w:sz="8" w:color="CCEEFF"/>
            </w:tcBorders>
            <w:gridSpan w:val="18"/>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24</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86"/>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rPr>
              <w:t>(7)</w:t>
            </w:r>
          </w:p>
        </w:tc>
        <w:tc>
          <w:tcPr>
            <w:tcW w:w="9260" w:type="dxa"/>
            <w:vAlign w:val="bottom"/>
            <w:gridSpan w:val="26"/>
          </w:tcPr>
          <w:p>
            <w:pPr>
              <w:ind w:left="20"/>
              <w:spacing w:after="0" w:line="186" w:lineRule="exact"/>
              <w:rPr>
                <w:sz w:val="20"/>
                <w:szCs w:val="20"/>
                <w:color w:val="auto"/>
              </w:rPr>
            </w:pPr>
            <w:r>
              <w:rPr>
                <w:rFonts w:ascii="Times New Roman" w:cs="Times New Roman" w:eastAsia="Times New Roman" w:hAnsi="Times New Roman"/>
                <w:sz w:val="18"/>
                <w:szCs w:val="18"/>
                <w:color w:val="0000FF"/>
              </w:rPr>
              <w:t>Fair Value Measurements</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28</w:t>
            </w:r>
          </w:p>
        </w:tc>
      </w:tr>
      <w:tr>
        <w:trPr>
          <w:trHeight w:val="30"/>
        </w:trPr>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3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(8)</w:t>
            </w:r>
          </w:p>
        </w:tc>
        <w:tc>
          <w:tcPr>
            <w:tcW w:w="3880" w:type="dxa"/>
            <w:vAlign w:val="bottom"/>
            <w:tcBorders>
              <w:bottom w:val="single" w:sz="8" w:color="0000FF"/>
            </w:tcBorders>
            <w:gridSpan w:val="20"/>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Equity Securities and Indexed Debt Securities (ZENS)</w:t>
            </w:r>
          </w:p>
        </w:tc>
        <w:tc>
          <w:tcPr>
            <w:tcW w:w="538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30</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rPr>
              <w:t>(9)</w:t>
            </w:r>
          </w:p>
        </w:tc>
        <w:tc>
          <w:tcPr>
            <w:tcW w:w="9260" w:type="dxa"/>
            <w:vAlign w:val="bottom"/>
            <w:gridSpan w:val="26"/>
          </w:tcPr>
          <w:p>
            <w:pPr>
              <w:ind w:left="20"/>
              <w:spacing w:after="0" w:line="186" w:lineRule="exact"/>
              <w:rPr>
                <w:sz w:val="20"/>
                <w:szCs w:val="20"/>
                <w:color w:val="auto"/>
              </w:rPr>
            </w:pPr>
            <w:r>
              <w:rPr>
                <w:rFonts w:ascii="Times New Roman" w:cs="Times New Roman" w:eastAsia="Times New Roman" w:hAnsi="Times New Roman"/>
                <w:sz w:val="18"/>
                <w:szCs w:val="18"/>
                <w:color w:val="0000FF"/>
              </w:rPr>
              <w:t>Short-term Borrowings and Long-term Debt</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30</w:t>
            </w: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80" w:type="dxa"/>
            <w:vAlign w:val="bottom"/>
            <w:tcBorders>
              <w:top w:val="single" w:sz="8" w:color="0000FF"/>
            </w:tcBorders>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(10) Income Taxes</w:t>
            </w:r>
          </w:p>
        </w:tc>
        <w:tc>
          <w:tcPr>
            <w:tcW w:w="6120" w:type="dxa"/>
            <w:vAlign w:val="bottom"/>
            <w:tcBorders>
              <w:right w:val="single" w:sz="8" w:color="CCEEFF"/>
            </w:tcBorders>
            <w:gridSpan w:val="9"/>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32</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tcBorders>
              <w:bottom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w w:val="97"/>
              </w:rPr>
              <w:t>(11) Commitments and Contingencies</w:t>
            </w:r>
          </w:p>
        </w:tc>
        <w:tc>
          <w:tcPr>
            <w:tcW w:w="6800" w:type="dxa"/>
            <w:vAlign w:val="bottom"/>
            <w:gridSpan w:val="13"/>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33</w:t>
            </w:r>
          </w:p>
        </w:tc>
        <w:tc>
          <w:tcPr>
            <w:tcW w:w="22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0000FF"/>
              <w:right w:val="single" w:sz="8" w:color="CCEEFF"/>
            </w:tcBorders>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6"/>
              </w:rPr>
              <w:t>(12) Earnings Per Share</w:t>
            </w:r>
          </w:p>
        </w:tc>
        <w:tc>
          <w:tcPr>
            <w:tcW w:w="7800" w:type="dxa"/>
            <w:vAlign w:val="bottom"/>
            <w:tcBorders>
              <w:bottom w:val="single" w:sz="8" w:color="CCEEFF"/>
              <w:right w:val="single" w:sz="8" w:color="CCEEFF"/>
            </w:tcBorders>
            <w:gridSpan w:val="21"/>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40</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Borders>
              <w:bottom w:val="single" w:sz="8" w:color="0000FF"/>
            </w:tcBorders>
            <w:gridSpan w:val="8"/>
          </w:tcPr>
          <w:p>
            <w:pPr>
              <w:spacing w:after="0" w:line="186" w:lineRule="exact"/>
              <w:rPr>
                <w:sz w:val="20"/>
                <w:szCs w:val="20"/>
                <w:color w:val="auto"/>
              </w:rPr>
            </w:pPr>
            <w:r>
              <w:rPr>
                <w:rFonts w:ascii="Times New Roman" w:cs="Times New Roman" w:eastAsia="Times New Roman" w:hAnsi="Times New Roman"/>
                <w:sz w:val="18"/>
                <w:szCs w:val="18"/>
                <w:color w:val="0000FF"/>
                <w:w w:val="97"/>
              </w:rPr>
              <w:t>(13) Reportable Segments</w:t>
            </w:r>
          </w:p>
        </w:tc>
        <w:tc>
          <w:tcPr>
            <w:tcW w:w="7640" w:type="dxa"/>
            <w:vAlign w:val="bottom"/>
            <w:gridSpan w:val="19"/>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40</w:t>
            </w:r>
          </w:p>
        </w:tc>
        <w:tc>
          <w:tcPr>
            <w:tcW w:w="220" w:type="dxa"/>
            <w:vAlign w:val="bottom"/>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500" w:type="dxa"/>
            <w:vAlign w:val="bottom"/>
            <w:tcBorders>
              <w:right w:val="single" w:sz="8" w:color="CCEEFF"/>
            </w:tcBorders>
            <w:gridSpan w:val="2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(14) Related Party Transactions</w:t>
            </w:r>
          </w:p>
        </w:tc>
        <w:tc>
          <w:tcPr>
            <w:tcW w:w="320" w:type="dxa"/>
            <w:vAlign w:val="bottom"/>
            <w:gridSpan w:val="2"/>
            <w:shd w:val="clear" w:color="auto" w:fill="CCEEFF"/>
          </w:tcPr>
          <w:p>
            <w:pPr>
              <w:jc w:val="center"/>
              <w:ind w:right="180"/>
              <w:spacing w:after="0" w:line="195" w:lineRule="exact"/>
              <w:rPr>
                <w:sz w:val="20"/>
                <w:szCs w:val="20"/>
                <w:color w:val="auto"/>
              </w:rPr>
            </w:pPr>
            <w:r>
              <w:rPr>
                <w:rFonts w:ascii="Times New Roman" w:cs="Times New Roman" w:eastAsia="Times New Roman" w:hAnsi="Times New Roman"/>
                <w:sz w:val="18"/>
                <w:szCs w:val="18"/>
                <w:color w:val="0000FF"/>
                <w:w w:val="77"/>
              </w:rPr>
              <w:t>44</w:t>
            </w:r>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20" w:type="dxa"/>
            <w:vAlign w:val="bottom"/>
            <w:tcBorders>
              <w:top w:val="single" w:sz="8" w:color="0000FF"/>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6"/>
              </w:rPr>
              <w:t>(15) Equity</w:t>
            </w:r>
          </w:p>
        </w:tc>
        <w:tc>
          <w:tcPr>
            <w:tcW w:w="1460" w:type="dxa"/>
            <w:vAlign w:val="bottom"/>
            <w:tcBorders>
              <w:top w:val="single" w:sz="8" w:color="0000FF"/>
            </w:tcBorders>
            <w:gridSpan w:val="10"/>
          </w:tcPr>
          <w:p>
            <w:pPr>
              <w:spacing w:after="0"/>
              <w:rPr>
                <w:sz w:val="16"/>
                <w:szCs w:val="16"/>
                <w:color w:val="auto"/>
              </w:rPr>
            </w:pPr>
          </w:p>
        </w:tc>
        <w:tc>
          <w:tcPr>
            <w:tcW w:w="7220" w:type="dxa"/>
            <w:vAlign w:val="bottom"/>
            <w:tcBorders>
              <w:top w:val="single" w:sz="8" w:color="CCEEFF"/>
            </w:tcBorders>
            <w:gridSpan w:val="15"/>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45</w:t>
            </w:r>
          </w:p>
        </w:tc>
        <w:tc>
          <w:tcPr>
            <w:tcW w:w="220" w:type="dxa"/>
            <w:vAlign w:val="bottom"/>
            <w:tcBorders>
              <w:top w:val="single" w:sz="8" w:color="CCEEFF"/>
            </w:tcBorders>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00" w:type="dxa"/>
            <w:vAlign w:val="bottom"/>
            <w:tcBorders>
              <w:right w:val="single" w:sz="8" w:color="CCEEFF"/>
            </w:tcBorders>
            <w:gridSpan w:val="2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(16) Subsequent Events</w:t>
            </w:r>
          </w:p>
        </w:tc>
        <w:tc>
          <w:tcPr>
            <w:tcW w:w="320" w:type="dxa"/>
            <w:vAlign w:val="bottom"/>
            <w:gridSpan w:val="2"/>
            <w:shd w:val="clear" w:color="auto" w:fill="CCEEFF"/>
          </w:tcPr>
          <w:p>
            <w:pPr>
              <w:jc w:val="center"/>
              <w:ind w:right="180"/>
              <w:spacing w:after="0" w:line="195" w:lineRule="exact"/>
              <w:rPr>
                <w:sz w:val="20"/>
                <w:szCs w:val="20"/>
                <w:color w:val="auto"/>
              </w:rPr>
            </w:pPr>
            <w:r>
              <w:rPr>
                <w:rFonts w:ascii="Times New Roman" w:cs="Times New Roman" w:eastAsia="Times New Roman" w:hAnsi="Times New Roman"/>
                <w:sz w:val="18"/>
                <w:szCs w:val="18"/>
                <w:color w:val="0000FF"/>
                <w:w w:val="77"/>
              </w:rPr>
              <w:t>47</w:t>
            </w: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ind w:left="28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8"/>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20" w:type="dxa"/>
            <w:vAlign w:val="bottom"/>
            <w:gridSpan w:val="2"/>
          </w:tcPr>
          <w:p>
            <w:pPr>
              <w:jc w:val="center"/>
              <w:ind w:right="180"/>
              <w:spacing w:after="0" w:line="186" w:lineRule="exact"/>
              <w:rPr>
                <w:sz w:val="20"/>
                <w:szCs w:val="20"/>
                <w:color w:val="auto"/>
              </w:rPr>
            </w:pPr>
            <w:r>
              <w:rPr>
                <w:rFonts w:ascii="Times New Roman" w:cs="Times New Roman" w:eastAsia="Times New Roman" w:hAnsi="Times New Roman"/>
                <w:sz w:val="18"/>
                <w:szCs w:val="18"/>
                <w:color w:val="0000FF"/>
                <w:w w:val="77"/>
              </w:rPr>
              <w:t>49</w:t>
            </w:r>
          </w:p>
        </w:tc>
      </w:tr>
      <w:tr>
        <w:trPr>
          <w:trHeight w:val="195"/>
        </w:trPr>
        <w:tc>
          <w:tcPr>
            <w:tcW w:w="122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6140" w:type="dxa"/>
            <w:vAlign w:val="bottom"/>
            <w:tcBorders>
              <w:top w:val="single" w:sz="8" w:color="0000FF"/>
            </w:tcBorders>
            <w:gridSpan w:val="2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Recent Events</w:t>
            </w:r>
          </w:p>
        </w:tc>
        <w:tc>
          <w:tcPr>
            <w:tcW w:w="33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49</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Borders>
              <w:bottom w:val="single" w:sz="8" w:color="0000FF"/>
            </w:tcBorders>
            <w:gridSpan w:val="13"/>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Results of Operations</w:t>
            </w:r>
          </w:p>
        </w:tc>
        <w:tc>
          <w:tcPr>
            <w:tcW w:w="6980" w:type="dxa"/>
            <w:vAlign w:val="bottom"/>
            <w:gridSpan w:val="14"/>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51</w:t>
            </w:r>
          </w:p>
        </w:tc>
        <w:tc>
          <w:tcPr>
            <w:tcW w:w="220" w:type="dxa"/>
            <w:vAlign w:val="bottom"/>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500" w:type="dxa"/>
            <w:vAlign w:val="bottom"/>
            <w:tcBorders>
              <w:right w:val="single" w:sz="8" w:color="CCEEFF"/>
            </w:tcBorders>
            <w:gridSpan w:val="2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Results of Operations by Reportable Segment</w:t>
            </w:r>
          </w:p>
        </w:tc>
        <w:tc>
          <w:tcPr>
            <w:tcW w:w="320" w:type="dxa"/>
            <w:vAlign w:val="bottom"/>
            <w:gridSpan w:val="2"/>
            <w:shd w:val="clear" w:color="auto" w:fill="CCEEFF"/>
          </w:tcPr>
          <w:p>
            <w:pPr>
              <w:jc w:val="center"/>
              <w:ind w:right="180"/>
              <w:spacing w:after="0" w:line="195" w:lineRule="exact"/>
              <w:rPr>
                <w:sz w:val="20"/>
                <w:szCs w:val="20"/>
                <w:color w:val="auto"/>
              </w:rPr>
            </w:pPr>
            <w:r>
              <w:rPr>
                <w:rFonts w:ascii="Times New Roman" w:cs="Times New Roman" w:eastAsia="Times New Roman" w:hAnsi="Times New Roman"/>
                <w:sz w:val="18"/>
                <w:szCs w:val="18"/>
                <w:color w:val="0000FF"/>
                <w:w w:val="77"/>
              </w:rPr>
              <w:t>52</w:t>
            </w:r>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40" w:type="dxa"/>
            <w:vAlign w:val="bottom"/>
            <w:tcBorders>
              <w:top w:val="single" w:sz="8" w:color="0000FF"/>
            </w:tcBorders>
            <w:gridSpan w:val="17"/>
          </w:tcPr>
          <w:p>
            <w:pPr>
              <w:spacing w:after="0" w:line="186" w:lineRule="exact"/>
              <w:rPr>
                <w:sz w:val="20"/>
                <w:szCs w:val="20"/>
                <w:color w:val="auto"/>
              </w:rPr>
            </w:pPr>
            <w:r>
              <w:rPr>
                <w:rFonts w:ascii="Times New Roman" w:cs="Times New Roman" w:eastAsia="Times New Roman" w:hAnsi="Times New Roman"/>
                <w:sz w:val="18"/>
                <w:szCs w:val="18"/>
                <w:color w:val="0000FF"/>
              </w:rPr>
              <w:t>Certain Factors Affecting Future Earnings</w:t>
            </w:r>
          </w:p>
        </w:tc>
        <w:tc>
          <w:tcPr>
            <w:tcW w:w="6260" w:type="dxa"/>
            <w:vAlign w:val="bottom"/>
            <w:tcBorders>
              <w:top w:val="single" w:sz="8" w:color="CCEEFF"/>
            </w:tcBorders>
            <w:gridSpan w:val="10"/>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61</w:t>
            </w:r>
          </w:p>
        </w:tc>
        <w:tc>
          <w:tcPr>
            <w:tcW w:w="220" w:type="dxa"/>
            <w:vAlign w:val="bottom"/>
            <w:tcBorders>
              <w:top w:val="single" w:sz="8" w:color="CCEEFF"/>
            </w:tcBorders>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80" w:type="dxa"/>
            <w:vAlign w:val="bottom"/>
            <w:tcBorders>
              <w:top w:val="single" w:sz="8" w:color="0000FF"/>
            </w:tcBorders>
            <w:gridSpan w:val="1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6520" w:type="dxa"/>
            <w:vAlign w:val="bottom"/>
            <w:tcBorders>
              <w:right w:val="single" w:sz="8" w:color="CCEEFF"/>
            </w:tcBorders>
            <w:gridSpan w:val="11"/>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61</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ind w:left="280"/>
              <w:spacing w:after="0" w:line="186" w:lineRule="exact"/>
              <w:rPr>
                <w:sz w:val="20"/>
                <w:szCs w:val="20"/>
                <w:color w:val="auto"/>
              </w:rPr>
            </w:pPr>
            <w:r>
              <w:rPr>
                <w:rFonts w:ascii="Times New Roman" w:cs="Times New Roman" w:eastAsia="Times New Roman" w:hAnsi="Times New Roman"/>
                <w:sz w:val="18"/>
                <w:szCs w:val="18"/>
                <w:color w:val="auto"/>
              </w:rPr>
              <w:t>Item 3.</w:t>
            </w:r>
          </w:p>
        </w:tc>
        <w:tc>
          <w:tcPr>
            <w:tcW w:w="4240" w:type="dxa"/>
            <w:vAlign w:val="bottom"/>
            <w:tcBorders>
              <w:bottom w:val="single" w:sz="8" w:color="0000FF"/>
            </w:tcBorders>
            <w:gridSpan w:val="20"/>
          </w:tcPr>
          <w:p>
            <w:pPr>
              <w:spacing w:after="0" w:line="186"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5460" w:type="dxa"/>
            <w:vAlign w:val="bottom"/>
            <w:gridSpan w:val="8"/>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74</w:t>
            </w:r>
          </w:p>
        </w:tc>
        <w:tc>
          <w:tcPr>
            <w:tcW w:w="220" w:type="dxa"/>
            <w:vAlign w:val="bottom"/>
          </w:tcPr>
          <w:p>
            <w:pPr>
              <w:spacing w:after="0"/>
              <w:rPr>
                <w:sz w:val="16"/>
                <w:szCs w:val="16"/>
                <w:color w:val="auto"/>
              </w:rPr>
            </w:pPr>
          </w:p>
        </w:tc>
      </w:tr>
      <w:tr>
        <w:trPr>
          <w:trHeight w:val="195"/>
        </w:trPr>
        <w:tc>
          <w:tcPr>
            <w:tcW w:w="1220" w:type="dxa"/>
            <w:vAlign w:val="bottom"/>
            <w:shd w:val="clear" w:color="auto" w:fill="CCEEFF"/>
          </w:tcPr>
          <w:p>
            <w:pPr>
              <w:ind w:left="280"/>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tcBorders>
              <w:right w:val="single" w:sz="8" w:color="CCEEFF"/>
            </w:tcBorders>
            <w:gridSpan w:val="2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320" w:type="dxa"/>
            <w:vAlign w:val="bottom"/>
            <w:gridSpan w:val="2"/>
            <w:shd w:val="clear" w:color="auto" w:fill="CCEEFF"/>
          </w:tcPr>
          <w:p>
            <w:pPr>
              <w:jc w:val="center"/>
              <w:ind w:right="180"/>
              <w:spacing w:after="0" w:line="195" w:lineRule="exact"/>
              <w:rPr>
                <w:sz w:val="20"/>
                <w:szCs w:val="20"/>
                <w:color w:val="auto"/>
              </w:rPr>
            </w:pPr>
            <w:r>
              <w:rPr>
                <w:rFonts w:ascii="Times New Roman" w:cs="Times New Roman" w:eastAsia="Times New Roman" w:hAnsi="Times New Roman"/>
                <w:sz w:val="18"/>
                <w:szCs w:val="18"/>
                <w:color w:val="0000FF"/>
                <w:w w:val="77"/>
              </w:rPr>
              <w:t>75</w:t>
            </w: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95"/>
        </w:trPr>
        <w:tc>
          <w:tcPr>
            <w:tcW w:w="1220" w:type="dxa"/>
            <w:vAlign w:val="bottom"/>
          </w:tcPr>
          <w:p>
            <w:pPr>
              <w:jc w:val="center"/>
              <w:ind w:right="72"/>
              <w:spacing w:after="0" w:line="186" w:lineRule="exact"/>
              <w:rPr>
                <w:sz w:val="20"/>
                <w:szCs w:val="20"/>
                <w:color w:val="auto"/>
              </w:rPr>
            </w:pPr>
            <w:r>
              <w:rPr>
                <w:rFonts w:ascii="Times New Roman" w:cs="Times New Roman" w:eastAsia="Times New Roman" w:hAnsi="Times New Roman"/>
                <w:sz w:val="18"/>
                <w:szCs w:val="18"/>
                <w:color w:val="auto"/>
                <w:w w:val="97"/>
              </w:rPr>
              <w:t>Item 1.</w:t>
            </w:r>
          </w:p>
        </w:tc>
        <w:tc>
          <w:tcPr>
            <w:tcW w:w="1320" w:type="dxa"/>
            <w:vAlign w:val="bottom"/>
            <w:tcBorders>
              <w:bottom w:val="single" w:sz="8" w:color="0000FF"/>
            </w:tcBorders>
            <w:gridSpan w:val="5"/>
          </w:tcPr>
          <w:p>
            <w:pPr>
              <w:spacing w:after="0" w:line="186"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834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75</w:t>
            </w:r>
          </w:p>
        </w:tc>
        <w:tc>
          <w:tcPr>
            <w:tcW w:w="18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jc w:val="center"/>
              <w:ind w:right="72"/>
              <w:spacing w:after="0" w:line="195" w:lineRule="exact"/>
              <w:rPr>
                <w:sz w:val="20"/>
                <w:szCs w:val="20"/>
                <w:color w:val="auto"/>
              </w:rPr>
            </w:pPr>
            <w:r>
              <w:rPr>
                <w:rFonts w:ascii="Times New Roman" w:cs="Times New Roman" w:eastAsia="Times New Roman" w:hAnsi="Times New Roman"/>
                <w:sz w:val="18"/>
                <w:szCs w:val="18"/>
                <w:color w:val="auto"/>
                <w:w w:val="96"/>
              </w:rPr>
              <w:t>Item 1A.</w:t>
            </w:r>
          </w:p>
        </w:tc>
        <w:tc>
          <w:tcPr>
            <w:tcW w:w="900" w:type="dxa"/>
            <w:vAlign w:val="bottom"/>
            <w:tcBorders>
              <w:bottom w:val="single" w:sz="8" w:color="0000FF"/>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Risk Factors</w:t>
            </w:r>
          </w:p>
        </w:tc>
        <w:tc>
          <w:tcPr>
            <w:tcW w:w="87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w w:val="88"/>
              </w:rPr>
              <w:t>75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jc w:val="center"/>
              <w:ind w:right="72"/>
              <w:spacing w:after="0" w:line="186" w:lineRule="exact"/>
              <w:rPr>
                <w:sz w:val="20"/>
                <w:szCs w:val="20"/>
                <w:color w:val="auto"/>
              </w:rPr>
            </w:pPr>
            <w:r>
              <w:rPr>
                <w:rFonts w:ascii="Times New Roman" w:cs="Times New Roman" w:eastAsia="Times New Roman" w:hAnsi="Times New Roman"/>
                <w:sz w:val="18"/>
                <w:szCs w:val="18"/>
                <w:color w:val="auto"/>
                <w:w w:val="97"/>
              </w:rPr>
              <w:t>Item 5.</w:t>
            </w:r>
          </w:p>
        </w:tc>
        <w:tc>
          <w:tcPr>
            <w:tcW w:w="1300" w:type="dxa"/>
            <w:vAlign w:val="bottom"/>
            <w:tcBorders>
              <w:bottom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8360" w:type="dxa"/>
            <w:vAlign w:val="bottom"/>
            <w:gridSpan w:val="2"/>
          </w:tcPr>
          <w:p>
            <w:pPr>
              <w:spacing w:after="0"/>
              <w:rPr>
                <w:sz w:val="16"/>
                <w:szCs w:val="16"/>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75</w:t>
            </w:r>
          </w:p>
        </w:tc>
        <w:tc>
          <w:tcPr>
            <w:tcW w:w="18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jc w:val="center"/>
              <w:ind w:right="72"/>
              <w:spacing w:after="0" w:line="195" w:lineRule="exact"/>
              <w:rPr>
                <w:sz w:val="20"/>
                <w:szCs w:val="20"/>
                <w:color w:val="auto"/>
              </w:rPr>
            </w:pPr>
            <w:r>
              <w:rPr>
                <w:rFonts w:ascii="Times New Roman" w:cs="Times New Roman" w:eastAsia="Times New Roman" w:hAnsi="Times New Roman"/>
                <w:sz w:val="18"/>
                <w:szCs w:val="18"/>
                <w:color w:val="auto"/>
                <w:w w:val="97"/>
              </w:rPr>
              <w:t>Item 6.</w:t>
            </w:r>
          </w:p>
        </w:tc>
        <w:tc>
          <w:tcPr>
            <w:tcW w:w="600" w:type="dxa"/>
            <w:vAlign w:val="bottom"/>
            <w:tcBorders>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6"/>
              </w:rPr>
              <w:t>Exhibits</w:t>
            </w:r>
          </w:p>
        </w:tc>
        <w:tc>
          <w:tcPr>
            <w:tcW w:w="906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0000FF"/>
                <w:w w:val="88"/>
              </w:rPr>
              <w:t>75</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5"/>
        </w:trPr>
        <w:tc>
          <w:tcPr>
            <w:tcW w:w="1220" w:type="dxa"/>
            <w:vAlign w:val="bottom"/>
          </w:tcPr>
          <w:p>
            <w:pPr>
              <w:spacing w:after="0"/>
              <w:rPr>
                <w:sz w:val="16"/>
                <w:szCs w:val="16"/>
                <w:color w:val="auto"/>
              </w:rPr>
            </w:pPr>
          </w:p>
        </w:tc>
        <w:tc>
          <w:tcPr>
            <w:tcW w:w="760" w:type="dxa"/>
            <w:vAlign w:val="bottom"/>
            <w:tcBorders>
              <w:bottom w:val="single" w:sz="8" w:color="0000FF"/>
            </w:tcBorders>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7"/>
              </w:rPr>
              <w:t>Signatures</w:t>
            </w:r>
          </w:p>
        </w:tc>
        <w:tc>
          <w:tcPr>
            <w:tcW w:w="8900" w:type="dxa"/>
            <w:vAlign w:val="bottom"/>
            <w:gridSpan w:val="4"/>
          </w:tcPr>
          <w:p>
            <w:pPr>
              <w:spacing w:after="0"/>
              <w:rPr>
                <w:sz w:val="16"/>
                <w:szCs w:val="16"/>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Times New Roman" w:cs="Times New Roman" w:eastAsia="Times New Roman" w:hAnsi="Times New Roman"/>
                <w:sz w:val="18"/>
                <w:szCs w:val="18"/>
                <w:color w:val="0000FF"/>
                <w:w w:val="88"/>
              </w:rPr>
              <w:t>78</w:t>
            </w:r>
          </w:p>
        </w:tc>
        <w:tc>
          <w:tcPr>
            <w:tcW w:w="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4"/>
        </w:trPr>
        <w:tc>
          <w:tcPr>
            <w:tcW w:w="3000" w:type="dxa"/>
            <w:vAlign w:val="bottom"/>
            <w:tcBorders>
              <w:bottom w:val="single" w:sz="8" w:color="auto"/>
            </w:tcBorders>
          </w:tcPr>
          <w:p>
            <w:pPr>
              <w:spacing w:after="0"/>
              <w:rPr>
                <w:sz w:val="18"/>
                <w:szCs w:val="18"/>
                <w:color w:val="auto"/>
              </w:rPr>
            </w:pPr>
          </w:p>
        </w:tc>
        <w:tc>
          <w:tcPr>
            <w:tcW w:w="78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r>
      <w:tr>
        <w:trPr>
          <w:trHeight w:val="20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AFUDC</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Allowance for funds used during construction</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AI</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Artificial intelligence</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ALJ</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Administrative Law Judge</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AMAs</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Asset Management Agreement</w:t>
            </w:r>
          </w:p>
        </w:tc>
      </w:tr>
      <w:tr>
        <w:trPr>
          <w:trHeight w:val="159"/>
        </w:trPr>
        <w:tc>
          <w:tcPr>
            <w:tcW w:w="3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Arevon</w:t>
            </w:r>
          </w:p>
        </w:tc>
        <w:tc>
          <w:tcPr>
            <w:tcW w:w="7860" w:type="dxa"/>
            <w:vAlign w:val="bottom"/>
            <w:shd w:val="clear" w:color="auto" w:fill="CCEEFF"/>
          </w:tcPr>
          <w:p>
            <w:pPr>
              <w:ind w:left="960"/>
              <w:spacing w:after="0" w:line="159" w:lineRule="exact"/>
              <w:rPr>
                <w:sz w:val="20"/>
                <w:szCs w:val="20"/>
                <w:color w:val="auto"/>
              </w:rPr>
            </w:pPr>
            <w:r>
              <w:rPr>
                <w:rFonts w:ascii="Times New Roman" w:cs="Times New Roman" w:eastAsia="Times New Roman" w:hAnsi="Times New Roman"/>
                <w:sz w:val="16"/>
                <w:szCs w:val="16"/>
                <w:color w:val="auto"/>
              </w:rPr>
              <w:t>Arevon Energy, Inc., which was formed through the combination of Capital Dynamics, Inc.’s U.S. Clean</w:t>
            </w:r>
          </w:p>
        </w:tc>
      </w:tr>
      <w:tr>
        <w:trPr>
          <w:trHeight w:val="212"/>
        </w:trPr>
        <w:tc>
          <w:tcPr>
            <w:tcW w:w="3000" w:type="dxa"/>
            <w:vAlign w:val="bottom"/>
            <w:shd w:val="clear" w:color="auto" w:fill="CCEEFF"/>
          </w:tcPr>
          <w:p>
            <w:pPr>
              <w:spacing w:after="0"/>
              <w:rPr>
                <w:sz w:val="18"/>
                <w:szCs w:val="18"/>
                <w:color w:val="auto"/>
              </w:rPr>
            </w:pP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Energy Infrastructure business unit and Arevon Asset Management</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ARO</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Asset retirement obligation</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ARP</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Alternative revenue program</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ASU</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Accounting Standards Update</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AT&amp;T Common</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AT&amp;T Inc. common stock</w:t>
            </w:r>
          </w:p>
        </w:tc>
      </w:tr>
      <w:tr>
        <w:trPr>
          <w:trHeight w:val="159"/>
        </w:trPr>
        <w:tc>
          <w:tcPr>
            <w:tcW w:w="300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ATM Forward Purchasers</w:t>
            </w: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w w:val="99"/>
              </w:rPr>
              <w:t>Bank of America, N.A., Barclays Bank PLC, Citibank, N.A., Goldman Sachs &amp; Co. LLC, JPMorgan Chase</w:t>
            </w:r>
          </w:p>
        </w:tc>
      </w:tr>
      <w:tr>
        <w:trPr>
          <w:trHeight w:val="159"/>
        </w:trPr>
        <w:tc>
          <w:tcPr>
            <w:tcW w:w="3000" w:type="dxa"/>
            <w:vAlign w:val="bottom"/>
          </w:tcPr>
          <w:p>
            <w:pPr>
              <w:spacing w:after="0"/>
              <w:rPr>
                <w:sz w:val="13"/>
                <w:szCs w:val="13"/>
                <w:color w:val="auto"/>
              </w:rPr>
            </w:pP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w w:val="99"/>
              </w:rPr>
              <w:t>Bank, National Association, Mizuho Markets Americas LLC, MUFG Securities EMEA plc and Royal Bank</w:t>
            </w:r>
          </w:p>
        </w:tc>
      </w:tr>
      <w:tr>
        <w:trPr>
          <w:trHeight w:val="210"/>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of Canada</w:t>
            </w:r>
          </w:p>
        </w:tc>
      </w:tr>
      <w:tr>
        <w:trPr>
          <w:trHeight w:val="161"/>
        </w:trPr>
        <w:tc>
          <w:tcPr>
            <w:tcW w:w="3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ATM Forward Sellers</w:t>
            </w:r>
          </w:p>
        </w:tc>
        <w:tc>
          <w:tcPr>
            <w:tcW w:w="7860" w:type="dxa"/>
            <w:vAlign w:val="bottom"/>
            <w:shd w:val="clear" w:color="auto" w:fill="CCEEFF"/>
          </w:tcPr>
          <w:p>
            <w:pPr>
              <w:ind w:left="960"/>
              <w:spacing w:after="0" w:line="161" w:lineRule="exact"/>
              <w:rPr>
                <w:sz w:val="20"/>
                <w:szCs w:val="20"/>
                <w:color w:val="auto"/>
              </w:rPr>
            </w:pPr>
            <w:r>
              <w:rPr>
                <w:rFonts w:ascii="Times New Roman" w:cs="Times New Roman" w:eastAsia="Times New Roman" w:hAnsi="Times New Roman"/>
                <w:sz w:val="16"/>
                <w:szCs w:val="16"/>
                <w:color w:val="auto"/>
                <w:w w:val="99"/>
              </w:rPr>
              <w:t>BofA Securities, Inc. Barclays Capital Inc., Citigroup Global Markets Inc., Goldman Sachs &amp; Co. LLC, J.P.</w:t>
            </w:r>
          </w:p>
        </w:tc>
      </w:tr>
      <w:tr>
        <w:trPr>
          <w:trHeight w:val="159"/>
        </w:trPr>
        <w:tc>
          <w:tcPr>
            <w:tcW w:w="3000" w:type="dxa"/>
            <w:vAlign w:val="bottom"/>
            <w:shd w:val="clear" w:color="auto" w:fill="CCEEFF"/>
          </w:tcPr>
          <w:p>
            <w:pPr>
              <w:spacing w:after="0"/>
              <w:rPr>
                <w:sz w:val="13"/>
                <w:szCs w:val="13"/>
                <w:color w:val="auto"/>
              </w:rPr>
            </w:pPr>
          </w:p>
        </w:tc>
        <w:tc>
          <w:tcPr>
            <w:tcW w:w="7860" w:type="dxa"/>
            <w:vAlign w:val="bottom"/>
            <w:shd w:val="clear" w:color="auto" w:fill="CCEEFF"/>
          </w:tcPr>
          <w:p>
            <w:pPr>
              <w:ind w:left="960"/>
              <w:spacing w:after="0" w:line="159" w:lineRule="exact"/>
              <w:rPr>
                <w:sz w:val="20"/>
                <w:szCs w:val="20"/>
                <w:color w:val="auto"/>
              </w:rPr>
            </w:pPr>
            <w:r>
              <w:rPr>
                <w:rFonts w:ascii="Times New Roman" w:cs="Times New Roman" w:eastAsia="Times New Roman" w:hAnsi="Times New Roman"/>
                <w:sz w:val="16"/>
                <w:szCs w:val="16"/>
                <w:color w:val="auto"/>
              </w:rPr>
              <w:t>Morgan Securities LLC, Mizuho Securities USA LLC, MUFG Securities Americas Inc. and RBC Capital</w:t>
            </w:r>
          </w:p>
        </w:tc>
      </w:tr>
      <w:tr>
        <w:trPr>
          <w:trHeight w:val="212"/>
        </w:trPr>
        <w:tc>
          <w:tcPr>
            <w:tcW w:w="3000" w:type="dxa"/>
            <w:vAlign w:val="bottom"/>
            <w:shd w:val="clear" w:color="auto" w:fill="CCEEFF"/>
          </w:tcPr>
          <w:p>
            <w:pPr>
              <w:spacing w:after="0"/>
              <w:rPr>
                <w:sz w:val="18"/>
                <w:szCs w:val="18"/>
                <w:color w:val="auto"/>
              </w:rPr>
            </w:pP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Markets, LLC</w:t>
            </w:r>
          </w:p>
        </w:tc>
      </w:tr>
      <w:tr>
        <w:trPr>
          <w:trHeight w:val="159"/>
        </w:trPr>
        <w:tc>
          <w:tcPr>
            <w:tcW w:w="300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ATM Managers</w:t>
            </w: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BofA Securities, Inc., Barclays Capital Inc., Citigroup Global Markets Inc., Goldman Sachs &amp; Co. LLC,</w:t>
            </w:r>
          </w:p>
        </w:tc>
      </w:tr>
      <w:tr>
        <w:trPr>
          <w:trHeight w:val="159"/>
        </w:trPr>
        <w:tc>
          <w:tcPr>
            <w:tcW w:w="3000" w:type="dxa"/>
            <w:vAlign w:val="bottom"/>
          </w:tcPr>
          <w:p>
            <w:pPr>
              <w:spacing w:after="0"/>
              <w:rPr>
                <w:sz w:val="13"/>
                <w:szCs w:val="13"/>
                <w:color w:val="auto"/>
              </w:rPr>
            </w:pP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J.P. Morgan Securities LLC, Mizuho Securities USA LLC, MUFG Securities Americas Inc. and RBC</w:t>
            </w:r>
          </w:p>
        </w:tc>
      </w:tr>
      <w:tr>
        <w:trPr>
          <w:trHeight w:val="210"/>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Capital Markets, LLC</w:t>
            </w: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Bcf</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Billion cubic feet</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Board</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Board of Directors of CenterPoint Energy, Inc.</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BTA</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Build Transfer Agreement</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CAMT</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Corporate Alternative Minimum Tax</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CCN</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Certificate of Convenience and Necessity</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CCR</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Coal Combustion Residuals</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CECA</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Clean Energy Cost Adjustment</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CEIP</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CenterPoint Energy Intrastate Pipelines, LLC, a wholly-owned subsidiary of CERC Corp.</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CenterPoint Energy</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CenterPoint Energy, Inc., and its subsidiaries</w:t>
            </w:r>
          </w:p>
        </w:tc>
      </w:tr>
      <w:tr>
        <w:trPr>
          <w:trHeight w:val="159"/>
        </w:trPr>
        <w:tc>
          <w:tcPr>
            <w:tcW w:w="300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CEOH</w:t>
            </w: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Vectren Energy Delivery of Ohio, LLC, doing business as CenterPoint Energy Ohio, which converted its</w:t>
            </w:r>
          </w:p>
        </w:tc>
      </w:tr>
      <w:tr>
        <w:trPr>
          <w:trHeight w:val="159"/>
        </w:trPr>
        <w:tc>
          <w:tcPr>
            <w:tcW w:w="3000" w:type="dxa"/>
            <w:vAlign w:val="bottom"/>
          </w:tcPr>
          <w:p>
            <w:pPr>
              <w:spacing w:after="0"/>
              <w:rPr>
                <w:sz w:val="13"/>
                <w:szCs w:val="13"/>
                <w:color w:val="auto"/>
              </w:rPr>
            </w:pP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corporate structure from Vectren Energy Delivery of Ohio, Inc. to an Ohio limited liability company on</w:t>
            </w:r>
          </w:p>
        </w:tc>
      </w:tr>
      <w:tr>
        <w:trPr>
          <w:trHeight w:val="210"/>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June 13, 2022, formerly a wholly-owned subsidiary of Vectren, acquired by CERC on June 30, 2022</w:t>
            </w: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CEP</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Capital Expenditure Program</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CERC</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CERC Corp., together with its subsidiaries</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CERC Corp.</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CenterPoint Energy Resources Corp.</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Charter Common</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Charter Communications, Inc. common stock</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CIP</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Conservation Improvement Program</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CODM</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Chief Operating Decision Maker, who is each Registrant’s Chief Operating Executive</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CenterPoint Energy, Inc. common stock, par value $0.01 per share</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CPCN</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Certificate of Public Convenience and Necessity</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CSIA</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Compliance and System Improvement Adjustment</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DCRF</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Distribution Cost Recovery Factor</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DOC</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U.S. Department of Commerce</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DRR</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Distribution Replacement Rider</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DSMA</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Demand Side Management Adjustment</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ECA</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Environmental Cost Adjustment</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EDIT</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Excess deferred income taxes</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EECRF</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Energy Efficiency Cost Recovery Factor</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EEFC</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Energy Efficiency Funding Component</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EEFR</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Energy Efficiency Funding Rider</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ELG</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Effluent Limitation Guidelines</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Energy Systems Group</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Energy Systems Group, LLC, previously a wholly-owned subsidiary of Vectren</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EPA</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Environmental Protection Agency</w:t>
            </w:r>
          </w:p>
        </w:tc>
      </w:tr>
      <w:tr>
        <w:trPr>
          <w:trHeight w:val="159"/>
        </w:trPr>
        <w:tc>
          <w:tcPr>
            <w:tcW w:w="300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Equity Distribution Agreement</w:t>
            </w: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Equity Distribution Agreement, dated as of January 10, 2024, by and between CenterPoint Energy, the</w:t>
            </w:r>
          </w:p>
        </w:tc>
      </w:tr>
      <w:tr>
        <w:trPr>
          <w:trHeight w:val="208"/>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ATM Managers, the ATM Forward Purchasers and the ATM Forward Sellers</w:t>
            </w: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520" w:top="797"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4"/>
        </w:trPr>
        <w:tc>
          <w:tcPr>
            <w:tcW w:w="3640" w:type="dxa"/>
            <w:vAlign w:val="bottom"/>
          </w:tcPr>
          <w:p>
            <w:pPr>
              <w:spacing w:after="0"/>
              <w:rPr>
                <w:sz w:val="18"/>
                <w:szCs w:val="18"/>
                <w:color w:val="auto"/>
              </w:rPr>
            </w:pPr>
          </w:p>
        </w:tc>
        <w:tc>
          <w:tcPr>
            <w:tcW w:w="722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r>
      <w:tr>
        <w:trPr>
          <w:trHeight w:val="161"/>
        </w:trPr>
        <w:tc>
          <w:tcPr>
            <w:tcW w:w="36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Equity Purchase Agreement</w:t>
            </w:r>
          </w:p>
        </w:tc>
        <w:tc>
          <w:tcPr>
            <w:tcW w:w="7220" w:type="dxa"/>
            <w:vAlign w:val="bottom"/>
            <w:shd w:val="clear" w:color="auto" w:fill="CCEEFF"/>
          </w:tcPr>
          <w:p>
            <w:pPr>
              <w:ind w:left="320"/>
              <w:spacing w:after="0" w:line="161" w:lineRule="exact"/>
              <w:rPr>
                <w:sz w:val="20"/>
                <w:szCs w:val="20"/>
                <w:color w:val="auto"/>
              </w:rPr>
            </w:pPr>
            <w:r>
              <w:rPr>
                <w:rFonts w:ascii="Times New Roman" w:cs="Times New Roman" w:eastAsia="Times New Roman" w:hAnsi="Times New Roman"/>
                <w:sz w:val="16"/>
                <w:szCs w:val="16"/>
                <w:color w:val="auto"/>
              </w:rPr>
              <w:t>Equity Purchase Agreement, dated as of May 21, 2023, by and between Vectren Energy Services and ESG</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Holdings Group</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ERCOT</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Electric Reliability Council of Texas</w:t>
            </w:r>
          </w:p>
        </w:tc>
      </w:tr>
      <w:tr>
        <w:trPr>
          <w:trHeight w:val="159"/>
        </w:trPr>
        <w:tc>
          <w:tcPr>
            <w:tcW w:w="3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ESG Holdings Group</w:t>
            </w: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ESG Holdings Group, LLC, a Delaware limited liability company, and an affiliate of Oaktree Capital</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Management</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Act</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Securities Exchange Act of 1934, as amended</w:t>
            </w:r>
          </w:p>
        </w:tc>
      </w:tr>
      <w:tr>
        <w:trPr>
          <w:trHeight w:val="159"/>
        </w:trPr>
        <w:tc>
          <w:tcPr>
            <w:tcW w:w="3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February 2021 Winter Storm Event</w:t>
            </w: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The extreme and unprecedented winter weather event in February 2021 (Winter Storm Uri) that resulted in</w:t>
            </w:r>
          </w:p>
        </w:tc>
      </w:tr>
      <w:tr>
        <w:trPr>
          <w:trHeight w:val="159"/>
        </w:trPr>
        <w:tc>
          <w:tcPr>
            <w:tcW w:w="3640" w:type="dxa"/>
            <w:vAlign w:val="bottom"/>
            <w:shd w:val="clear" w:color="auto" w:fill="CCEEFF"/>
          </w:tcPr>
          <w:p>
            <w:pPr>
              <w:spacing w:after="0"/>
              <w:rPr>
                <w:sz w:val="13"/>
                <w:szCs w:val="13"/>
                <w:color w:val="auto"/>
              </w:rPr>
            </w:pP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electricity generation supply shortages, including in Texas, and natural gas supply shortages and increased</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wholesale prices of natural gas in the United States, primarily due to prolonged freezing temperatures</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FASB</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Financial Accounting Standards Board</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FERC</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Federal Energy Regulatory Commission</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Fitch</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Fitch Ratings, Inc.</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Form 10-Q</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Quarterly Report on Form 10-Q</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GAAP</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Generally Accepted Accounting Principles</w:t>
            </w:r>
          </w:p>
        </w:tc>
      </w:tr>
      <w:tr>
        <w:trPr>
          <w:trHeight w:val="159"/>
        </w:trPr>
        <w:tc>
          <w:tcPr>
            <w:tcW w:w="3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General Mortgage</w:t>
            </w: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w w:val="99"/>
              </w:rPr>
              <w:t>General Mortgage Indenture, dated as of October 10, 2002, between Houston Electric and JPMorgan Chase</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Bank, as Trustee, as supplemented</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GHG</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Greenhouse gases</w:t>
            </w:r>
          </w:p>
        </w:tc>
      </w:tr>
      <w:tr>
        <w:trPr>
          <w:trHeight w:val="159"/>
        </w:trPr>
        <w:tc>
          <w:tcPr>
            <w:tcW w:w="3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GHRI</w:t>
            </w: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The Greater Houston Resiliency Initiative, which was initially announced by Houston Electric in August</w:t>
            </w:r>
          </w:p>
        </w:tc>
      </w:tr>
      <w:tr>
        <w:trPr>
          <w:trHeight w:val="159"/>
        </w:trPr>
        <w:tc>
          <w:tcPr>
            <w:tcW w:w="3640" w:type="dxa"/>
            <w:vAlign w:val="bottom"/>
            <w:shd w:val="clear" w:color="auto" w:fill="CCEEFF"/>
          </w:tcPr>
          <w:p>
            <w:pPr>
              <w:spacing w:after="0"/>
              <w:rPr>
                <w:sz w:val="13"/>
                <w:szCs w:val="13"/>
                <w:color w:val="auto"/>
              </w:rPr>
            </w:pP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2024 and includes targeted actions to improve the resiliency of Houston Electric’s electric grid, as well as</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improve customer communications and community partnerships</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GRIP</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Gas Reliability Infrastructure Program</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GWh</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Gigawatt-hours</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Houston Electric</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CenterPoint Energy Houston Electric, LLC and its subsidiaries</w:t>
            </w:r>
          </w:p>
        </w:tc>
      </w:tr>
      <w:tr>
        <w:trPr>
          <w:trHeight w:val="159"/>
        </w:trPr>
        <w:tc>
          <w:tcPr>
            <w:tcW w:w="3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Hurricane Beryl</w:t>
            </w: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The powerful and destructive storm that made landfall in Texas on July 8, 2024 and caused widespread</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damage to Houston Electric’s electric system</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IDEM</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Indiana Department of Environmental Management</w:t>
            </w:r>
          </w:p>
        </w:tc>
      </w:tr>
      <w:tr>
        <w:trPr>
          <w:trHeight w:val="159"/>
        </w:trPr>
        <w:tc>
          <w:tcPr>
            <w:tcW w:w="3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Indiana Electric</w:t>
            </w: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Operations of SIGECO’s electric transmission and distribution services, and includes its power generating</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and wholesale power operations</w:t>
            </w:r>
          </w:p>
        </w:tc>
      </w:tr>
      <w:tr>
        <w:trPr>
          <w:trHeight w:val="159"/>
        </w:trPr>
        <w:tc>
          <w:tcPr>
            <w:tcW w:w="364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Indiana Gas</w:t>
            </w:r>
          </w:p>
        </w:tc>
        <w:tc>
          <w:tcPr>
            <w:tcW w:w="7220" w:type="dxa"/>
            <w:vAlign w:val="bottom"/>
          </w:tcPr>
          <w:p>
            <w:pPr>
              <w:ind w:left="320"/>
              <w:spacing w:after="0" w:line="159" w:lineRule="exact"/>
              <w:rPr>
                <w:sz w:val="20"/>
                <w:szCs w:val="20"/>
                <w:color w:val="auto"/>
              </w:rPr>
            </w:pPr>
            <w:r>
              <w:rPr>
                <w:rFonts w:ascii="Times New Roman" w:cs="Times New Roman" w:eastAsia="Times New Roman" w:hAnsi="Times New Roman"/>
                <w:sz w:val="16"/>
                <w:szCs w:val="16"/>
                <w:color w:val="auto"/>
                <w:w w:val="98"/>
              </w:rPr>
              <w:t>Indiana Gas Company, Inc., formerly a wholly-owned subsidiary of Vectren, acquired by CERC on June 30,</w:t>
            </w:r>
          </w:p>
        </w:tc>
      </w:tr>
      <w:tr>
        <w:trPr>
          <w:trHeight w:val="210"/>
        </w:trPr>
        <w:tc>
          <w:tcPr>
            <w:tcW w:w="364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2022</w:t>
            </w:r>
          </w:p>
        </w:tc>
      </w:tr>
      <w:tr>
        <w:trPr>
          <w:trHeight w:val="21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Indiana North</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Gas operations of Indiana Gas</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Indiana South</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Gas operations of SIGECO</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Interim Condensed Financial Statements</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Unaudited condensed consolidated interim financial statements and combined notes</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IRA</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Inflation Reduction Act of 2022</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IRP</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Integrated Resource Plan</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IRS</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Internal Revenue Service</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ITC</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U.S. International Trade Commission</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IURC</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Indiana Utility Regulatory Commission</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kV</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Kilovolt</w:t>
            </w:r>
          </w:p>
        </w:tc>
      </w:tr>
      <w:tr>
        <w:trPr>
          <w:trHeight w:val="159"/>
        </w:trPr>
        <w:tc>
          <w:tcPr>
            <w:tcW w:w="364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LAMS Asset Purchase Agreement</w:t>
            </w:r>
          </w:p>
        </w:tc>
        <w:tc>
          <w:tcPr>
            <w:tcW w:w="7220" w:type="dxa"/>
            <w:vAlign w:val="bottom"/>
          </w:tcPr>
          <w:p>
            <w:pPr>
              <w:ind w:left="320"/>
              <w:spacing w:after="0" w:line="159" w:lineRule="exact"/>
              <w:rPr>
                <w:sz w:val="20"/>
                <w:szCs w:val="20"/>
                <w:color w:val="auto"/>
              </w:rPr>
            </w:pPr>
            <w:r>
              <w:rPr>
                <w:rFonts w:ascii="Times New Roman" w:cs="Times New Roman" w:eastAsia="Times New Roman" w:hAnsi="Times New Roman"/>
                <w:sz w:val="16"/>
                <w:szCs w:val="16"/>
                <w:color w:val="auto"/>
              </w:rPr>
              <w:t>Asset Purchase Agreement, dated as of February 19, 2024, by and among CERC Corp. and the LAMS</w:t>
            </w:r>
          </w:p>
        </w:tc>
      </w:tr>
      <w:tr>
        <w:trPr>
          <w:trHeight w:val="210"/>
        </w:trPr>
        <w:tc>
          <w:tcPr>
            <w:tcW w:w="364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Buyers</w:t>
            </w:r>
          </w:p>
        </w:tc>
      </w:tr>
      <w:tr>
        <w:trPr>
          <w:trHeight w:val="161"/>
        </w:trPr>
        <w:tc>
          <w:tcPr>
            <w:tcW w:w="36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LAMS Buyers</w:t>
            </w:r>
          </w:p>
        </w:tc>
        <w:tc>
          <w:tcPr>
            <w:tcW w:w="7220" w:type="dxa"/>
            <w:vAlign w:val="bottom"/>
            <w:shd w:val="clear" w:color="auto" w:fill="CCEEFF"/>
          </w:tcPr>
          <w:p>
            <w:pPr>
              <w:ind w:left="320"/>
              <w:spacing w:after="0" w:line="161" w:lineRule="exact"/>
              <w:rPr>
                <w:sz w:val="20"/>
                <w:szCs w:val="20"/>
                <w:color w:val="auto"/>
              </w:rPr>
            </w:pPr>
            <w:r>
              <w:rPr>
                <w:rFonts w:ascii="Times New Roman" w:cs="Times New Roman" w:eastAsia="Times New Roman" w:hAnsi="Times New Roman"/>
                <w:sz w:val="16"/>
                <w:szCs w:val="16"/>
                <w:color w:val="auto"/>
                <w:w w:val="99"/>
              </w:rPr>
              <w:t>Delta North Louisiana Gas Company, LLC (f/k/a Delta Utilities No. LA, LLC), a Delaware limited liability</w:t>
            </w:r>
          </w:p>
        </w:tc>
      </w:tr>
      <w:tr>
        <w:trPr>
          <w:trHeight w:val="159"/>
        </w:trPr>
        <w:tc>
          <w:tcPr>
            <w:tcW w:w="3640" w:type="dxa"/>
            <w:vAlign w:val="bottom"/>
            <w:shd w:val="clear" w:color="auto" w:fill="CCEEFF"/>
          </w:tcPr>
          <w:p>
            <w:pPr>
              <w:spacing w:after="0"/>
              <w:rPr>
                <w:sz w:val="13"/>
                <w:szCs w:val="13"/>
                <w:color w:val="auto"/>
              </w:rPr>
            </w:pP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w w:val="99"/>
              </w:rPr>
              <w:t>company, Delta South Louisiana Gas Company, LLC (f/k/a Delta Utilities S. LA, LLC), a Delaware limited</w:t>
            </w:r>
          </w:p>
        </w:tc>
      </w:tr>
      <w:tr>
        <w:trPr>
          <w:trHeight w:val="159"/>
        </w:trPr>
        <w:tc>
          <w:tcPr>
            <w:tcW w:w="3640" w:type="dxa"/>
            <w:vAlign w:val="bottom"/>
            <w:shd w:val="clear" w:color="auto" w:fill="CCEEFF"/>
          </w:tcPr>
          <w:p>
            <w:pPr>
              <w:spacing w:after="0"/>
              <w:rPr>
                <w:sz w:val="13"/>
                <w:szCs w:val="13"/>
                <w:color w:val="auto"/>
              </w:rPr>
            </w:pP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liability company, Delta Mississippi Gas Company, LLC (f/k/a Delta Utilities MS, LLC), a Delaware</w:t>
            </w:r>
          </w:p>
        </w:tc>
      </w:tr>
      <w:tr>
        <w:trPr>
          <w:trHeight w:val="159"/>
        </w:trPr>
        <w:tc>
          <w:tcPr>
            <w:tcW w:w="3640" w:type="dxa"/>
            <w:vAlign w:val="bottom"/>
            <w:shd w:val="clear" w:color="auto" w:fill="CCEEFF"/>
          </w:tcPr>
          <w:p>
            <w:pPr>
              <w:spacing w:after="0"/>
              <w:rPr>
                <w:sz w:val="13"/>
                <w:szCs w:val="13"/>
                <w:color w:val="auto"/>
              </w:rPr>
            </w:pPr>
          </w:p>
        </w:tc>
        <w:tc>
          <w:tcPr>
            <w:tcW w:w="7220" w:type="dxa"/>
            <w:vAlign w:val="bottom"/>
            <w:shd w:val="clear" w:color="auto" w:fill="CCEEFF"/>
          </w:tcPr>
          <w:p>
            <w:pPr>
              <w:ind w:left="320"/>
              <w:spacing w:after="0" w:line="159" w:lineRule="exact"/>
              <w:rPr>
                <w:sz w:val="20"/>
                <w:szCs w:val="20"/>
                <w:color w:val="auto"/>
              </w:rPr>
            </w:pPr>
            <w:r>
              <w:rPr>
                <w:rFonts w:ascii="Times New Roman" w:cs="Times New Roman" w:eastAsia="Times New Roman" w:hAnsi="Times New Roman"/>
                <w:sz w:val="16"/>
                <w:szCs w:val="16"/>
                <w:color w:val="auto"/>
              </w:rPr>
              <w:t>limited liability company, and Delta Energy Resources, LLC (f/k/a Delta Shared Services Co., LLC), a</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Delaware limited liability company</w:t>
            </w:r>
          </w:p>
        </w:tc>
      </w:t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LDC</w:t>
            </w: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Local distribution company</w:t>
            </w:r>
          </w:p>
        </w:tc>
      </w:tr>
      <w:tr>
        <w:trPr>
          <w:trHeight w:val="21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Load Shed</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Curtailing the amount of electricity a TDU can transmit and distribute to its customers</w:t>
            </w:r>
          </w:p>
        </w:tc>
      </w:tr>
      <w:tr>
        <w:trPr>
          <w:trHeight w:val="159"/>
        </w:trPr>
        <w:tc>
          <w:tcPr>
            <w:tcW w:w="364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M&amp;DOT</w:t>
            </w:r>
          </w:p>
        </w:tc>
        <w:tc>
          <w:tcPr>
            <w:tcW w:w="7220" w:type="dxa"/>
            <w:vAlign w:val="bottom"/>
          </w:tcPr>
          <w:p>
            <w:pPr>
              <w:ind w:left="320"/>
              <w:spacing w:after="0" w:line="159" w:lineRule="exact"/>
              <w:rPr>
                <w:sz w:val="20"/>
                <w:szCs w:val="20"/>
                <w:color w:val="auto"/>
              </w:rPr>
            </w:pPr>
            <w:r>
              <w:rPr>
                <w:rFonts w:ascii="Times New Roman" w:cs="Times New Roman" w:eastAsia="Times New Roman" w:hAnsi="Times New Roman"/>
                <w:sz w:val="16"/>
                <w:szCs w:val="16"/>
                <w:color w:val="auto"/>
                <w:w w:val="99"/>
              </w:rPr>
              <w:t>Mortgage and Deed of Trust, dated November 1, 1944, between Houston Lighting and Power Company and</w:t>
            </w:r>
          </w:p>
        </w:tc>
      </w:tr>
      <w:tr>
        <w:trPr>
          <w:trHeight w:val="159"/>
        </w:trPr>
        <w:tc>
          <w:tcPr>
            <w:tcW w:w="3640" w:type="dxa"/>
            <w:vAlign w:val="bottom"/>
          </w:tcPr>
          <w:p>
            <w:pPr>
              <w:spacing w:after="0"/>
              <w:rPr>
                <w:sz w:val="13"/>
                <w:szCs w:val="13"/>
                <w:color w:val="auto"/>
              </w:rPr>
            </w:pPr>
          </w:p>
        </w:tc>
        <w:tc>
          <w:tcPr>
            <w:tcW w:w="7220" w:type="dxa"/>
            <w:vAlign w:val="bottom"/>
          </w:tcPr>
          <w:p>
            <w:pPr>
              <w:ind w:left="320"/>
              <w:spacing w:after="0" w:line="159" w:lineRule="exact"/>
              <w:rPr>
                <w:sz w:val="20"/>
                <w:szCs w:val="20"/>
                <w:color w:val="auto"/>
              </w:rPr>
            </w:pPr>
            <w:r>
              <w:rPr>
                <w:rFonts w:ascii="Times New Roman" w:cs="Times New Roman" w:eastAsia="Times New Roman" w:hAnsi="Times New Roman"/>
                <w:sz w:val="16"/>
                <w:szCs w:val="16"/>
                <w:color w:val="auto"/>
              </w:rPr>
              <w:t>Chase Bank of Texas, National Association (formerly, South Texas Commercial National Bank of</w:t>
            </w:r>
          </w:p>
        </w:tc>
      </w:tr>
      <w:tr>
        <w:trPr>
          <w:trHeight w:val="210"/>
        </w:trPr>
        <w:tc>
          <w:tcPr>
            <w:tcW w:w="364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Houston), as Trustee, as amended and supplemented</w:t>
            </w:r>
          </w:p>
        </w:tc>
      </w:tr>
      <w:tr>
        <w:trPr>
          <w:trHeight w:val="161"/>
        </w:trPr>
        <w:tc>
          <w:tcPr>
            <w:tcW w:w="36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May 2024 Storm Events</w:t>
            </w:r>
          </w:p>
        </w:tc>
        <w:tc>
          <w:tcPr>
            <w:tcW w:w="7220" w:type="dxa"/>
            <w:vAlign w:val="bottom"/>
            <w:shd w:val="clear" w:color="auto" w:fill="CCEEFF"/>
          </w:tcPr>
          <w:p>
            <w:pPr>
              <w:ind w:left="320"/>
              <w:spacing w:after="0" w:line="161" w:lineRule="exact"/>
              <w:rPr>
                <w:sz w:val="20"/>
                <w:szCs w:val="20"/>
                <w:color w:val="auto"/>
              </w:rPr>
            </w:pPr>
            <w:r>
              <w:rPr>
                <w:rFonts w:ascii="Times New Roman" w:cs="Times New Roman" w:eastAsia="Times New Roman" w:hAnsi="Times New Roman"/>
                <w:sz w:val="16"/>
                <w:szCs w:val="16"/>
                <w:color w:val="auto"/>
              </w:rPr>
              <w:t>The sudden and destructive severe weather events in May 2024 that included hurricane-like winds and</w:t>
            </w:r>
          </w:p>
        </w:tc>
      </w:tr>
      <w:tr>
        <w:trPr>
          <w:trHeight w:val="212"/>
        </w:trPr>
        <w:tc>
          <w:tcPr>
            <w:tcW w:w="3640" w:type="dxa"/>
            <w:vAlign w:val="bottom"/>
            <w:shd w:val="clear" w:color="auto" w:fill="CCEEFF"/>
          </w:tcPr>
          <w:p>
            <w:pPr>
              <w:spacing w:after="0"/>
              <w:rPr>
                <w:sz w:val="18"/>
                <w:szCs w:val="18"/>
                <w:color w:val="auto"/>
              </w:rPr>
            </w:pP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tornadoes and resulted in widespread damage to Houston Electric’s electric delivery system</w:t>
            </w:r>
          </w:p>
        </w:tc>
      </w:tr>
      <w:tr>
        <w:trPr>
          <w:trHeight w:val="159"/>
        </w:trPr>
        <w:tc>
          <w:tcPr>
            <w:tcW w:w="364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May 2024 Storm Events System Restoration Bonds</w:t>
            </w:r>
          </w:p>
        </w:tc>
        <w:tc>
          <w:tcPr>
            <w:tcW w:w="7220" w:type="dxa"/>
            <w:vAlign w:val="bottom"/>
          </w:tcPr>
          <w:p>
            <w:pPr>
              <w:ind w:left="320"/>
              <w:spacing w:after="0" w:line="159" w:lineRule="exact"/>
              <w:rPr>
                <w:sz w:val="20"/>
                <w:szCs w:val="20"/>
                <w:color w:val="auto"/>
              </w:rPr>
            </w:pPr>
            <w:r>
              <w:rPr>
                <w:rFonts w:ascii="Times New Roman" w:cs="Times New Roman" w:eastAsia="Times New Roman" w:hAnsi="Times New Roman"/>
                <w:sz w:val="16"/>
                <w:szCs w:val="16"/>
                <w:color w:val="auto"/>
                <w:w w:val="99"/>
              </w:rPr>
              <w:t>Restoration Bond Company II’s proposed Series 2025-A Senior Secured System Restoration Bonds relating</w:t>
            </w:r>
          </w:p>
        </w:tc>
      </w:tr>
      <w:tr>
        <w:trPr>
          <w:trHeight w:val="210"/>
        </w:trPr>
        <w:tc>
          <w:tcPr>
            <w:tcW w:w="364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 the securitization of system restoration costs in connection with the May 2024 Storm Events</w:t>
            </w:r>
          </w:p>
        </w:tc>
      </w:tr>
      <w:tr>
        <w:trPr>
          <w:trHeight w:val="21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MDL</w:t>
            </w:r>
          </w:p>
        </w:tc>
        <w:tc>
          <w:tcPr>
            <w:tcW w:w="7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Multi-district litigation</w:t>
            </w:r>
          </w:p>
        </w:tc>
      </w:tr>
    </w:tbl>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520" w:top="797"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774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MGP</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Manufactured gas plant</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MISO</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Midcontinent Independent System Operator</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Moody’s</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Moody’s Investors Service, Inc.</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MPUC</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Minnesota Public Utilities Commission</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MW</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Megawatt</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NERC</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North American Electric Reliability Corporation</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NRG</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NRG Energy, Inc.</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NYSE</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OBBBA</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One Big Beautiful Bill Act of 2025</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Oriden</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Oriden LLC</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Origis</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Origis Energy USA Inc.</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OUCC</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Indiana Office of Utility Consumer Counselor</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PFD</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Proposal for decision</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Posey Solar</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Posey Solar, LLC, a special purpose entity</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Posey Solar Merger Agreement</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Agreement and Plan of Merger, dated as of March 7</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2025, among SIGECO and Posey Solar</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PPA</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Power purchase agreement</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PRP</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Potentially responsible party</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PTCs</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Production Tax Credits</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PUCO</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Public Utilities Commission of Ohio</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PUCT</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Public Utility Commission of Texas</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Railroad Commission</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Railroad Commission of Texas</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RCRA</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Resource Conservation and Recovery Act of 1976</w:t>
            </w:r>
          </w:p>
        </w:tc>
        <w:tc>
          <w:tcPr>
            <w:tcW w:w="0" w:type="dxa"/>
            <w:vAlign w:val="bottom"/>
          </w:tcPr>
          <w:p>
            <w:pPr>
              <w:spacing w:after="0"/>
              <w:rPr>
                <w:sz w:val="1"/>
                <w:szCs w:val="1"/>
                <w:color w:val="auto"/>
              </w:rPr>
            </w:pP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Registrants</w:t>
            </w:r>
          </w:p>
        </w:tc>
        <w:tc>
          <w:tcPr>
            <w:tcW w:w="7740" w:type="dxa"/>
            <w:vAlign w:val="bottom"/>
          </w:tcPr>
          <w:p>
            <w:pPr>
              <w:ind w:left="840"/>
              <w:spacing w:after="0" w:line="159" w:lineRule="exact"/>
              <w:rPr>
                <w:sz w:val="20"/>
                <w:szCs w:val="20"/>
                <w:color w:val="auto"/>
              </w:rPr>
            </w:pPr>
            <w:r>
              <w:rPr>
                <w:rFonts w:ascii="Times New Roman" w:cs="Times New Roman" w:eastAsia="Times New Roman" w:hAnsi="Times New Roman"/>
                <w:sz w:val="16"/>
                <w:szCs w:val="16"/>
                <w:color w:val="auto"/>
              </w:rPr>
              <w:t>CenterPoint Energy, Inc., CenterPoint Energy Houston Electric, LLC and CenterPoint Energy Resources</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Corp., collectively</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Retail electric provider</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CERC Corp.’s common control acquisition of Indiana Gas and CEOH from VUH on June 30, 2022</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Restoration Bond Company II</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CenterPoint Energy Restoration Bond Company II, LLC, a wholly-owned subsidiary of Houston Electric</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ROE</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Return on equity</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S&amp;P</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S&amp;P Global Ratings</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SEC</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159"/>
        </w:trPr>
        <w:tc>
          <w:tcPr>
            <w:tcW w:w="3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Securitization Bonds</w:t>
            </w:r>
          </w:p>
        </w:tc>
        <w:tc>
          <w:tcPr>
            <w:tcW w:w="7740" w:type="dxa"/>
            <w:vAlign w:val="bottom"/>
            <w:shd w:val="clear" w:color="auto" w:fill="CCEEFF"/>
          </w:tcPr>
          <w:p>
            <w:pPr>
              <w:ind w:left="840"/>
              <w:spacing w:after="0" w:line="159" w:lineRule="exact"/>
              <w:rPr>
                <w:sz w:val="20"/>
                <w:szCs w:val="20"/>
                <w:color w:val="auto"/>
              </w:rPr>
            </w:pPr>
            <w:r>
              <w:rPr>
                <w:rFonts w:ascii="Times New Roman" w:cs="Times New Roman" w:eastAsia="Times New Roman" w:hAnsi="Times New Roman"/>
                <w:sz w:val="16"/>
                <w:szCs w:val="16"/>
                <w:color w:val="auto"/>
              </w:rPr>
              <w:t>Transition bonds issued by Transition Bond Company IV and SIGECO Securitization Bonds issued by the</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18"/>
                <w:szCs w:val="18"/>
                <w:color w:val="auto"/>
              </w:rPr>
            </w:pP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SIGECO Securitization Subsidiary</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SIGECO</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Southern Indiana Gas and Electric Company, a wholly-owned subsidiary of Vectren</w:t>
            </w:r>
          </w:p>
        </w:tc>
        <w:tc>
          <w:tcPr>
            <w:tcW w:w="0" w:type="dxa"/>
            <w:vAlign w:val="bottom"/>
          </w:tcPr>
          <w:p>
            <w:pPr>
              <w:spacing w:after="0"/>
              <w:rPr>
                <w:sz w:val="1"/>
                <w:szCs w:val="1"/>
                <w:color w:val="auto"/>
              </w:rPr>
            </w:pPr>
          </w:p>
        </w:tc>
      </w:tr>
      <w:tr>
        <w:trPr>
          <w:trHeight w:val="159"/>
        </w:trPr>
        <w:tc>
          <w:tcPr>
            <w:tcW w:w="3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SIGECO Securitization Bonds</w:t>
            </w:r>
          </w:p>
        </w:tc>
        <w:tc>
          <w:tcPr>
            <w:tcW w:w="7740" w:type="dxa"/>
            <w:vAlign w:val="bottom"/>
            <w:shd w:val="clear" w:color="auto" w:fill="CCEEFF"/>
          </w:tcPr>
          <w:p>
            <w:pPr>
              <w:ind w:left="840"/>
              <w:spacing w:after="0" w:line="159" w:lineRule="exact"/>
              <w:rPr>
                <w:sz w:val="20"/>
                <w:szCs w:val="20"/>
                <w:color w:val="auto"/>
              </w:rPr>
            </w:pPr>
            <w:r>
              <w:rPr>
                <w:rFonts w:ascii="Times New Roman" w:cs="Times New Roman" w:eastAsia="Times New Roman" w:hAnsi="Times New Roman"/>
                <w:sz w:val="16"/>
                <w:szCs w:val="16"/>
                <w:color w:val="auto"/>
              </w:rPr>
              <w:t>SIGECO Securitization Subsidiary’s Series 2023-A Senior Secured Securitization Bonds relating to the</w:t>
            </w:r>
          </w:p>
        </w:tc>
        <w:tc>
          <w:tcPr>
            <w:tcW w:w="0" w:type="dxa"/>
            <w:vAlign w:val="bottom"/>
          </w:tcPr>
          <w:p>
            <w:pPr>
              <w:spacing w:after="0"/>
              <w:rPr>
                <w:sz w:val="1"/>
                <w:szCs w:val="1"/>
                <w:color w:val="auto"/>
              </w:rPr>
            </w:pPr>
          </w:p>
        </w:tc>
      </w:tr>
      <w:tr>
        <w:trPr>
          <w:trHeight w:val="159"/>
        </w:trPr>
        <w:tc>
          <w:tcPr>
            <w:tcW w:w="3120" w:type="dxa"/>
            <w:vAlign w:val="bottom"/>
            <w:shd w:val="clear" w:color="auto" w:fill="CCEEFF"/>
          </w:tcPr>
          <w:p>
            <w:pPr>
              <w:spacing w:after="0"/>
              <w:rPr>
                <w:sz w:val="13"/>
                <w:szCs w:val="13"/>
                <w:color w:val="auto"/>
              </w:rPr>
            </w:pPr>
          </w:p>
        </w:tc>
        <w:tc>
          <w:tcPr>
            <w:tcW w:w="7740" w:type="dxa"/>
            <w:vAlign w:val="bottom"/>
            <w:shd w:val="clear" w:color="auto" w:fill="CCEEFF"/>
          </w:tcPr>
          <w:p>
            <w:pPr>
              <w:ind w:left="840"/>
              <w:spacing w:after="0" w:line="159" w:lineRule="exact"/>
              <w:rPr>
                <w:sz w:val="20"/>
                <w:szCs w:val="20"/>
                <w:color w:val="auto"/>
              </w:rPr>
            </w:pPr>
            <w:r>
              <w:rPr>
                <w:rFonts w:ascii="Times New Roman" w:cs="Times New Roman" w:eastAsia="Times New Roman" w:hAnsi="Times New Roman"/>
                <w:sz w:val="16"/>
                <w:szCs w:val="16"/>
                <w:color w:val="auto"/>
              </w:rPr>
              <w:t>securitization of qualified costs in connection with the retirement of SIGECO’s A.B. Brown Units 1 and 2</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18"/>
                <w:szCs w:val="18"/>
                <w:color w:val="auto"/>
              </w:rPr>
            </w:pP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coal-fired generation facilities</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SIGECO Securitization Subsidiary</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SIGECO Securitization I, LLC, a direct, wholly-owned subsidiary of SIGECO</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SOAH</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Texas State Office of Administrative Hearings</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SOFR</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Secured Overnight Financing Rate</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SRC</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Sales Reconciliation Component</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SRP</w:t>
            </w:r>
          </w:p>
        </w:tc>
        <w:tc>
          <w:tcPr>
            <w:tcW w:w="7740" w:type="dxa"/>
            <w:vAlign w:val="bottom"/>
            <w:vMerge w:val="restart"/>
          </w:tcPr>
          <w:p>
            <w:pPr>
              <w:ind w:left="840"/>
              <w:spacing w:after="0"/>
              <w:rPr>
                <w:sz w:val="20"/>
                <w:szCs w:val="20"/>
                <w:color w:val="auto"/>
              </w:rPr>
            </w:pPr>
            <w:r>
              <w:rPr>
                <w:rFonts w:ascii="Times New Roman" w:cs="Times New Roman" w:eastAsia="Times New Roman" w:hAnsi="Times New Roman"/>
                <w:sz w:val="16"/>
                <w:szCs w:val="16"/>
                <w:color w:val="auto"/>
              </w:rPr>
              <w:t>The transmission and distribution system resiliency plan filed by Houston Electric with the PUCT on</w:t>
            </w:r>
          </w:p>
        </w:tc>
        <w:tc>
          <w:tcPr>
            <w:tcW w:w="0" w:type="dxa"/>
            <w:vAlign w:val="bottom"/>
          </w:tcPr>
          <w:p>
            <w:pPr>
              <w:spacing w:after="0"/>
              <w:rPr>
                <w:sz w:val="1"/>
                <w:szCs w:val="1"/>
                <w:color w:val="auto"/>
              </w:rPr>
            </w:pPr>
          </w:p>
        </w:tc>
      </w:tr>
      <w:tr>
        <w:trPr>
          <w:trHeight w:val="106"/>
        </w:trPr>
        <w:tc>
          <w:tcPr>
            <w:tcW w:w="3120" w:type="dxa"/>
            <w:vAlign w:val="bottom"/>
          </w:tcPr>
          <w:p>
            <w:pPr>
              <w:spacing w:after="0"/>
              <w:rPr>
                <w:sz w:val="9"/>
                <w:szCs w:val="9"/>
                <w:color w:val="auto"/>
              </w:rPr>
            </w:pPr>
          </w:p>
        </w:tc>
        <w:tc>
          <w:tcPr>
            <w:tcW w:w="7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January 31, 2025</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TBD</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To be determined</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TCA</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Texas Consumer Association</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TCOS</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Transmission Cost of Service</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TCRF</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Transmission Cost Recovery Factor</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TDSIC</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Transmission, Distribution and Storage System Improvement Charge</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TDU</w:t>
            </w: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Transmission and distribution utility</w:t>
            </w:r>
          </w:p>
        </w:tc>
        <w:tc>
          <w:tcPr>
            <w:tcW w:w="0" w:type="dxa"/>
            <w:vAlign w:val="bottom"/>
          </w:tcPr>
          <w:p>
            <w:pPr>
              <w:spacing w:after="0"/>
              <w:rPr>
                <w:sz w:val="1"/>
                <w:szCs w:val="1"/>
                <w:color w:val="auto"/>
              </w:rPr>
            </w:pPr>
          </w:p>
        </w:tc>
      </w:tr>
      <w:tr>
        <w:trPr>
          <w:trHeight w:val="159"/>
        </w:trPr>
        <w:tc>
          <w:tcPr>
            <w:tcW w:w="3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TEEEF</w:t>
            </w:r>
          </w:p>
        </w:tc>
        <w:tc>
          <w:tcPr>
            <w:tcW w:w="7740" w:type="dxa"/>
            <w:vAlign w:val="bottom"/>
            <w:shd w:val="clear" w:color="auto" w:fill="CCEEFF"/>
          </w:tcPr>
          <w:p>
            <w:pPr>
              <w:ind w:left="840"/>
              <w:spacing w:after="0" w:line="159" w:lineRule="exact"/>
              <w:rPr>
                <w:sz w:val="20"/>
                <w:szCs w:val="20"/>
                <w:color w:val="auto"/>
              </w:rPr>
            </w:pPr>
            <w:r>
              <w:rPr>
                <w:rFonts w:ascii="Times New Roman" w:cs="Times New Roman" w:eastAsia="Times New Roman" w:hAnsi="Times New Roman"/>
                <w:sz w:val="16"/>
                <w:szCs w:val="16"/>
                <w:color w:val="auto"/>
              </w:rPr>
              <w:t>Assets leased or costs incurred as “temporary emergency electric energy facilities” under the Public Utility</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18"/>
                <w:szCs w:val="18"/>
                <w:color w:val="auto"/>
              </w:rPr>
            </w:pP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Regulatory Act Section 39.918, also referred to as temporary generation</w:t>
            </w:r>
          </w:p>
        </w:tc>
        <w:tc>
          <w:tcPr>
            <w:tcW w:w="0" w:type="dxa"/>
            <w:vAlign w:val="bottom"/>
          </w:tcPr>
          <w:p>
            <w:pPr>
              <w:spacing w:after="0"/>
              <w:rPr>
                <w:sz w:val="1"/>
                <w:szCs w:val="1"/>
                <w:color w:val="auto"/>
              </w:rPr>
            </w:pPr>
          </w:p>
        </w:tc>
      </w:tr>
      <w:tr>
        <w:trPr>
          <w:trHeight w:val="159"/>
        </w:trPr>
        <w:tc>
          <w:tcPr>
            <w:tcW w:w="312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TEEEF Rule</w:t>
            </w:r>
          </w:p>
        </w:tc>
        <w:tc>
          <w:tcPr>
            <w:tcW w:w="7740" w:type="dxa"/>
            <w:vAlign w:val="bottom"/>
          </w:tcPr>
          <w:p>
            <w:pPr>
              <w:ind w:left="840"/>
              <w:spacing w:after="0" w:line="159" w:lineRule="exact"/>
              <w:rPr>
                <w:sz w:val="20"/>
                <w:szCs w:val="20"/>
                <w:color w:val="auto"/>
              </w:rPr>
            </w:pPr>
            <w:r>
              <w:rPr>
                <w:rFonts w:ascii="Times New Roman" w:cs="Times New Roman" w:eastAsia="Times New Roman" w:hAnsi="Times New Roman"/>
                <w:sz w:val="16"/>
                <w:szCs w:val="16"/>
                <w:color w:val="auto"/>
              </w:rPr>
              <w:t>Texas Administrative Code, Title 16, Section 25.56, which became effective January 8, 2025 and refined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7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the scope of TEEEF filings that can be made pursuant to Public Utility Regulatory Act Section 39.918</w:t>
            </w: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Transition Bond Company IV</w:t>
            </w:r>
          </w:p>
        </w:tc>
        <w:tc>
          <w:tcPr>
            <w:tcW w:w="77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CenterPoint Energy Transition Bond Company IV, LLC, a wholly-owned subsidiary of Houston Electric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520" w:top="797"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786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r>
      <w:tr>
        <w:trPr>
          <w:trHeight w:val="164"/>
        </w:trPr>
        <w:tc>
          <w:tcPr>
            <w:tcW w:w="3000" w:type="dxa"/>
            <w:vAlign w:val="bottom"/>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Transition Services Agreement</w:t>
            </w:r>
          </w:p>
        </w:tc>
        <w:tc>
          <w:tcPr>
            <w:tcW w:w="7860" w:type="dxa"/>
            <w:vAlign w:val="bottom"/>
          </w:tcPr>
          <w:p>
            <w:pPr>
              <w:ind w:left="960"/>
              <w:spacing w:after="0" w:line="164" w:lineRule="exact"/>
              <w:rPr>
                <w:sz w:val="20"/>
                <w:szCs w:val="20"/>
                <w:color w:val="auto"/>
              </w:rPr>
            </w:pPr>
            <w:r>
              <w:rPr>
                <w:rFonts w:ascii="Times New Roman" w:cs="Times New Roman" w:eastAsia="Times New Roman" w:hAnsi="Times New Roman"/>
                <w:sz w:val="16"/>
                <w:szCs w:val="16"/>
                <w:color w:val="auto"/>
              </w:rPr>
              <w:t>Transition Services Agreement, dated as of March 31, 2025, by and among CenterPoint Energy Resources</w:t>
            </w:r>
          </w:p>
        </w:tc>
      </w:tr>
      <w:tr>
        <w:trPr>
          <w:trHeight w:val="159"/>
        </w:trPr>
        <w:tc>
          <w:tcPr>
            <w:tcW w:w="3000" w:type="dxa"/>
            <w:vAlign w:val="bottom"/>
          </w:tcPr>
          <w:p>
            <w:pPr>
              <w:spacing w:after="0"/>
              <w:rPr>
                <w:sz w:val="13"/>
                <w:szCs w:val="13"/>
                <w:color w:val="auto"/>
              </w:rPr>
            </w:pP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Corp., Delta North Louisiana Gas Company, LLC, Delta South Louisiana Gas Company, LLC, Delta</w:t>
            </w:r>
          </w:p>
        </w:tc>
      </w:tr>
      <w:tr>
        <w:trPr>
          <w:trHeight w:val="210"/>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Mississippi Gas Company, LLC, and Delta Energy Resources, LLC</w:t>
            </w: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Utility Holding</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Utility Holding, LLC, a wholly-owned subsidiary of CenterPoint Energy</w:t>
            </w:r>
          </w:p>
        </w:tc>
      </w:tr>
      <w:tr>
        <w:trPr>
          <w:trHeight w:val="159"/>
        </w:trPr>
        <w:tc>
          <w:tcPr>
            <w:tcW w:w="300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Vectren</w:t>
            </w: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Vectren, LLC, which converted its corporate structure from Vectren Corporation to a limited liability</w:t>
            </w:r>
          </w:p>
        </w:tc>
      </w:tr>
      <w:tr>
        <w:trPr>
          <w:trHeight w:val="210"/>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company on June 30, 2022, a wholly-owned subsidiary of CenterPoint Energy as of February 1, 2019</w:t>
            </w:r>
          </w:p>
        </w:tc>
      </w:tr>
      <w:tr>
        <w:trPr>
          <w:trHeight w:val="161"/>
        </w:trPr>
        <w:tc>
          <w:tcPr>
            <w:tcW w:w="3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Vectren Energy Services</w:t>
            </w:r>
          </w:p>
        </w:tc>
        <w:tc>
          <w:tcPr>
            <w:tcW w:w="7860" w:type="dxa"/>
            <w:vAlign w:val="bottom"/>
            <w:shd w:val="clear" w:color="auto" w:fill="CCEEFF"/>
          </w:tcPr>
          <w:p>
            <w:pPr>
              <w:ind w:left="960"/>
              <w:spacing w:after="0" w:line="161" w:lineRule="exact"/>
              <w:rPr>
                <w:sz w:val="20"/>
                <w:szCs w:val="20"/>
                <w:color w:val="auto"/>
              </w:rPr>
            </w:pPr>
            <w:r>
              <w:rPr>
                <w:rFonts w:ascii="Times New Roman" w:cs="Times New Roman" w:eastAsia="Times New Roman" w:hAnsi="Times New Roman"/>
                <w:sz w:val="16"/>
                <w:szCs w:val="16"/>
                <w:color w:val="auto"/>
              </w:rPr>
              <w:t>Vectren Energy Services Corporation, an Indiana corporation and a wholly-owned subsidiary of</w:t>
            </w:r>
          </w:p>
        </w:tc>
      </w:tr>
      <w:tr>
        <w:trPr>
          <w:trHeight w:val="212"/>
        </w:trPr>
        <w:tc>
          <w:tcPr>
            <w:tcW w:w="3000" w:type="dxa"/>
            <w:vAlign w:val="bottom"/>
            <w:shd w:val="clear" w:color="auto" w:fill="CCEEFF"/>
          </w:tcPr>
          <w:p>
            <w:pPr>
              <w:spacing w:after="0"/>
              <w:rPr>
                <w:sz w:val="18"/>
                <w:szCs w:val="18"/>
                <w:color w:val="auto"/>
              </w:rPr>
            </w:pP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CenterPoint Energy</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VIE</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Variable interest entity</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Vistra Energy Corp.</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Texas-based energy company focused on the competitive energy and power generation markets</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VRP</w:t>
            </w: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Voluntary Remediation Program</w:t>
            </w:r>
          </w:p>
        </w:tc>
      </w:tr>
      <w:tr>
        <w:trPr>
          <w:trHeight w:val="21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WBD Common</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Warner Bros. Discovery, Inc. Series A common stock</w:t>
            </w:r>
          </w:p>
        </w:tc>
      </w:tr>
      <w:tr>
        <w:trPr>
          <w:trHeight w:val="159"/>
        </w:trPr>
        <w:tc>
          <w:tcPr>
            <w:tcW w:w="300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Winter Storm Elliott</w:t>
            </w: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From December 21 to 26, 2022, a historic extratropical cyclone created winter storm conditions, including</w:t>
            </w:r>
          </w:p>
        </w:tc>
      </w:tr>
      <w:tr>
        <w:trPr>
          <w:trHeight w:val="159"/>
        </w:trPr>
        <w:tc>
          <w:tcPr>
            <w:tcW w:w="3000" w:type="dxa"/>
            <w:vAlign w:val="bottom"/>
          </w:tcPr>
          <w:p>
            <w:pPr>
              <w:spacing w:after="0"/>
              <w:rPr>
                <w:sz w:val="13"/>
                <w:szCs w:val="13"/>
                <w:color w:val="auto"/>
              </w:rPr>
            </w:pP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blizzards, high winds, snowfall and record cold temperatures across the majority of the United States and</w:t>
            </w:r>
          </w:p>
        </w:tc>
      </w:tr>
      <w:tr>
        <w:trPr>
          <w:trHeight w:val="210"/>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parts of Canada</w:t>
            </w: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ZENS</w:t>
            </w: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2.0% Zero-Premium Exchangeable Subordinated Notes due 2029</w:t>
            </w:r>
          </w:p>
        </w:tc>
      </w:tr>
      <w:tr>
        <w:trPr>
          <w:trHeight w:val="159"/>
        </w:trPr>
        <w:tc>
          <w:tcPr>
            <w:tcW w:w="3000" w:type="dxa"/>
            <w:vAlign w:val="bottom"/>
          </w:tcPr>
          <w:p>
            <w:pPr>
              <w:spacing w:after="0" w:line="159" w:lineRule="exact"/>
              <w:rPr>
                <w:sz w:val="20"/>
                <w:szCs w:val="20"/>
                <w:color w:val="auto"/>
              </w:rPr>
            </w:pPr>
            <w:r>
              <w:rPr>
                <w:rFonts w:ascii="Times New Roman" w:cs="Times New Roman" w:eastAsia="Times New Roman" w:hAnsi="Times New Roman"/>
                <w:sz w:val="16"/>
                <w:szCs w:val="16"/>
                <w:b w:val="1"/>
                <w:bCs w:val="1"/>
                <w:i w:val="1"/>
                <w:iCs w:val="1"/>
                <w:color w:val="auto"/>
              </w:rPr>
              <w:t>ZENS-Related Securities</w:t>
            </w:r>
          </w:p>
        </w:tc>
        <w:tc>
          <w:tcPr>
            <w:tcW w:w="7860" w:type="dxa"/>
            <w:vAlign w:val="bottom"/>
          </w:tcPr>
          <w:p>
            <w:pPr>
              <w:ind w:left="960"/>
              <w:spacing w:after="0" w:line="159" w:lineRule="exact"/>
              <w:rPr>
                <w:sz w:val="20"/>
                <w:szCs w:val="20"/>
                <w:color w:val="auto"/>
              </w:rPr>
            </w:pPr>
            <w:r>
              <w:rPr>
                <w:rFonts w:ascii="Times New Roman" w:cs="Times New Roman" w:eastAsia="Times New Roman" w:hAnsi="Times New Roman"/>
                <w:sz w:val="16"/>
                <w:szCs w:val="16"/>
                <w:color w:val="auto"/>
              </w:rPr>
              <w:t>As of June 30, 2025 and December 31, 2024, consisted of AT&amp;T Common, Charter Common and WBD</w:t>
            </w:r>
          </w:p>
        </w:tc>
      </w:tr>
      <w:tr>
        <w:trPr>
          <w:trHeight w:val="210"/>
        </w:trPr>
        <w:tc>
          <w:tcPr>
            <w:tcW w:w="3000" w:type="dxa"/>
            <w:vAlign w:val="bottom"/>
          </w:tcPr>
          <w:p>
            <w:pPr>
              <w:spacing w:after="0"/>
              <w:rPr>
                <w:sz w:val="18"/>
                <w:szCs w:val="18"/>
                <w:color w:val="auto"/>
              </w:rPr>
            </w:pPr>
          </w:p>
        </w:tc>
        <w:tc>
          <w:tcPr>
            <w:tcW w:w="78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Common</w:t>
            </w:r>
          </w:p>
        </w:tc>
      </w:tr>
      <w:tr>
        <w:trPr>
          <w:trHeight w:val="161"/>
        </w:trPr>
        <w:tc>
          <w:tcPr>
            <w:tcW w:w="3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2024 Form 10-K</w:t>
            </w:r>
          </w:p>
        </w:tc>
        <w:tc>
          <w:tcPr>
            <w:tcW w:w="7860" w:type="dxa"/>
            <w:vAlign w:val="bottom"/>
            <w:shd w:val="clear" w:color="auto" w:fill="CCEEFF"/>
          </w:tcPr>
          <w:p>
            <w:pPr>
              <w:ind w:left="960"/>
              <w:spacing w:after="0" w:line="161" w:lineRule="exact"/>
              <w:rPr>
                <w:sz w:val="20"/>
                <w:szCs w:val="20"/>
                <w:color w:val="auto"/>
              </w:rPr>
            </w:pPr>
            <w:r>
              <w:rPr>
                <w:rFonts w:ascii="Times New Roman" w:cs="Times New Roman" w:eastAsia="Times New Roman" w:hAnsi="Times New Roman"/>
                <w:sz w:val="16"/>
                <w:szCs w:val="16"/>
                <w:color w:val="auto"/>
              </w:rPr>
              <w:t>Annual Report on Form 10-K for the fiscal year ended December 31, 2024 as filed with the SEC on</w:t>
            </w:r>
          </w:p>
        </w:tc>
      </w:tr>
      <w:tr>
        <w:trPr>
          <w:trHeight w:val="212"/>
        </w:trPr>
        <w:tc>
          <w:tcPr>
            <w:tcW w:w="3000" w:type="dxa"/>
            <w:vAlign w:val="bottom"/>
            <w:shd w:val="clear" w:color="auto" w:fill="CCEEFF"/>
          </w:tcPr>
          <w:p>
            <w:pPr>
              <w:spacing w:after="0"/>
              <w:rPr>
                <w:sz w:val="18"/>
                <w:szCs w:val="18"/>
                <w:color w:val="auto"/>
              </w:rPr>
            </w:pPr>
          </w:p>
        </w:tc>
        <w:tc>
          <w:tcPr>
            <w:tcW w:w="78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February 20, 2025</w:t>
            </w:r>
          </w:p>
        </w:tc>
      </w:tr>
    </w:tbl>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520" w:top="797" w:right="5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combined Form 10-Q, unless context requires otherwise, the terms “our,” “we” and “us” are used as abbreviated references to CenterPoint Energy, Inc. together with its consolidated subsidiaries, including Houston Electric, CERC and SIGECO.</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90" w:lineRule="exact"/>
        <w:rPr>
          <w:sz w:val="20"/>
          <w:szCs w:val="20"/>
          <w:color w:val="auto"/>
        </w:rPr>
      </w:pPr>
    </w:p>
    <w:p>
      <w:pPr>
        <w:jc w:val="both"/>
        <w:ind w:left="640" w:hanging="316"/>
        <w:spacing w:after="0" w:line="25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our plan to sell our Ohio natural gas LDC business or the completed sale of our Louisiana and Mississippi natural gas LDC businesses, which we cannot assure will have the anticipated benefits to us;</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commercial and residential growth in our service territories and changes in market demand, including in relation to the expansion of data centers, energy export facilities, including hydrogen facilities, electrification of industrial processes and transport and logistics, as well as the effects of energy efficiency measures and demographic patterns, and our ability to appropriately estimate and effectively manage business opportunities relating to such matters;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and invest planned capital and the timely recovery of our investments, including the timing of and amounts sought for those related to Indiana Electric’s generation transition plan as part of its IRPs and Houston Electric’s GHRI and SRP;</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construct, operate, repair, maintain and restart electric generating facilities, natural gas facilities, TEEEF and electric transmission facilities, as applicable, including in the event of a widespread outage and in relation to complying with applicable environmental and safety standards and the implementation of a well-balanced energy and resource mix, as appropriate;</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rate actions that allow and authorize timely recovery of costs and a reasonable return on investment, including the timing of and amounts sought for recovery of Houston Electric’s TEEEF leases and restoration costs relating to, among other things, the May 2024 Storm Events and Hurricane Beryl, and requested or favorable adjustments to rates and approval of other requested items as part of base rate proceedings or interim rate mechanisms;</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and our ability to obtain approval for matters relating to, Houston Electric’s release of its 15 large 27 MW to 32 MW TEEEF units to the San Antonio area, reduction of its TEEEF fleet capacity and reduction of rates to reflect the removal of the 15 large TEEEF units from Houston Electric’s TEEEF fleet, as well as Houston Electric’s ability to complete one or more other future transactions involving various sizes of the TEEEF units on acceptable terms and conditions within the anticipated timeframe;</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regional and national markets, including potential for recession, changes to inflation and interest rates, and their effect on sales, prices and costs;</w:t>
      </w:r>
    </w:p>
    <w:p>
      <w:pPr>
        <w:spacing w:after="0" w:line="1" w:lineRule="exact"/>
        <w:rPr>
          <w:rFonts w:ascii="Times New Roman" w:cs="Times New Roman" w:eastAsia="Times New Roman" w:hAnsi="Times New Roman"/>
          <w:sz w:val="18"/>
          <w:szCs w:val="18"/>
          <w:color w:val="auto"/>
        </w:rPr>
      </w:pPr>
    </w:p>
    <w:p>
      <w:pPr>
        <w:ind w:left="640" w:hanging="316"/>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including the impact of severe weather events on operations, capital, legislation and/or regulations, such as seen in connection with the February 2021 Winter Storm Event, the May 2024 Storm Events and Hurricane Beryl;</w:t>
      </w: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markets for natural gas as a result of, among other factors, tariffs, legislation, bans, retaliatory trade measures taken against the United States or related governmental action, as well as armed conflicts, including the conflict in the Middle East and any broader related conflict, and the conflict in Ukraine, and the related sanctions on certain Russian entities;</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8" w:name="page9"/>
    <w:bookmarkEnd w:id="8"/>
    <w:p>
      <w:pPr>
        <w:ind w:left="320" w:hanging="316"/>
        <w:spacing w:after="0" w:line="257"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jc w:val="both"/>
        <w:ind w:left="320" w:hanging="316"/>
        <w:spacing w:after="0" w:line="243"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legislative, executive and regulatory actions or developments affecting various aspects of our businesses, including, among others, any actions resulting from the May 2024 Storm Events and/or Hurricane Beryl, energy deregulation or re-regulation, pipeline integrity and safety and changes in regulation, legislation and governmental action pertaining to trade (including tariffs, bans, retaliatory trade measures taken against the United States or related governmental action), the implementation of budget and spending cuts to federal government agencies and programs, policies incentivizing the development or utilization of alternative sources of generation (including distributed generation), health care, finance and actions regarding the rates charged by our regulated businesses;</w:t>
      </w:r>
    </w:p>
    <w:p>
      <w:pPr>
        <w:spacing w:after="0" w:line="1" w:lineRule="exact"/>
        <w:rPr>
          <w:rFonts w:ascii="Times New Roman" w:cs="Times New Roman" w:eastAsia="Times New Roman" w:hAnsi="Times New Roman"/>
          <w:sz w:val="18"/>
          <w:szCs w:val="18"/>
          <w:color w:val="auto"/>
        </w:rPr>
      </w:pPr>
    </w:p>
    <w:p>
      <w:pPr>
        <w:ind w:left="320" w:hanging="316"/>
        <w:spacing w:after="0" w:line="230"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execute Houston Electric’s GHRI and SRP;</w:t>
      </w:r>
    </w:p>
    <w:p>
      <w:pPr>
        <w:jc w:val="both"/>
        <w:ind w:left="320" w:hanging="316"/>
        <w:spacing w:after="0" w:line="234"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global supply chain, including as a result of volatility in commodity prices, trade agreements, changes in trade relationships, geopolitical and economic uncertainty, regulatory and policy instability, severe weather events, tariffs, bans, retaliatory trade measures, legislation and governmental action impacting the supply chain, that could prevent CenterPoint Energy from securing the resources needed to, among other things, fully execute on the GHRI and SRP, its 10-year capital plan or achieve its net zero and GHG emissions reduction goals;</w:t>
      </w:r>
    </w:p>
    <w:p>
      <w:pPr>
        <w:jc w:val="both"/>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prices for and our ability to procure materials, supplies or services and scarcity of and changes in labor for current and future projects, including those relating to our GHRI and SRP and those arising from our capital plan, and operations and maintenance costs, including our ability to control such costs;</w:t>
      </w:r>
    </w:p>
    <w:p>
      <w:pPr>
        <w:spacing w:after="0" w:line="2" w:lineRule="exact"/>
        <w:rPr>
          <w:rFonts w:ascii="Times New Roman" w:cs="Times New Roman" w:eastAsia="Times New Roman" w:hAnsi="Times New Roman"/>
          <w:sz w:val="18"/>
          <w:szCs w:val="18"/>
          <w:color w:val="auto"/>
        </w:rPr>
      </w:pPr>
    </w:p>
    <w:p>
      <w:pPr>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and permits from local, federal and other regulatory authorities on acceptable terms and resolve third-party challenges to such licenses or permits as applicable;</w:t>
      </w:r>
    </w:p>
    <w:p>
      <w:pPr>
        <w:spacing w:after="0" w:line="1" w:lineRule="exact"/>
        <w:rPr>
          <w:rFonts w:ascii="Times New Roman" w:cs="Times New Roman" w:eastAsia="Times New Roman" w:hAnsi="Times New Roman"/>
          <w:sz w:val="18"/>
          <w:szCs w:val="18"/>
          <w:color w:val="auto"/>
        </w:rPr>
      </w:pPr>
    </w:p>
    <w:p>
      <w:pPr>
        <w:jc w:val="both"/>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effects on our facilities, resources, operations, reputation and financial condition resulting from terrorism, cyberattacks or intrusions, data security breaches or other attempts to disrupt our businesses or the businesses of third parties, or other catastrophic events such as fires, earthquakes, explosions, leaks, floods, droughts, hurricanes, tornadoes, derecho events, ice storms and other severe weather events, wildfires, pandemic health events, geopolitical conflict or other occurrences;</w:t>
      </w:r>
    </w:p>
    <w:p>
      <w:pPr>
        <w:spacing w:after="0" w:line="2"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potential wildfires, including damages to our network and losses in excess of insurance liability coverage;</w:t>
      </w:r>
    </w:p>
    <w:p>
      <w:pPr>
        <w:spacing w:after="0" w:line="5" w:lineRule="exact"/>
        <w:rPr>
          <w:rFonts w:ascii="Times New Roman" w:cs="Times New Roman" w:eastAsia="Times New Roman" w:hAnsi="Times New Roman"/>
          <w:sz w:val="18"/>
          <w:szCs w:val="18"/>
          <w:color w:val="auto"/>
        </w:rPr>
      </w:pPr>
    </w:p>
    <w:p>
      <w:pPr>
        <w:jc w:val="both"/>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legislation and any changes in tax laws under the current or future administrations, including the effects of the OBBBA, Executive Order 14315, the IRA and any further changes to or the repeal of the IRA, and any potential changes to tax rates, CAMT imposed, tax credits and/or interest deductibility, as well as uncertainties involving state commissions’ and local municipalities’ regulatory requirements and determinations regarding the treatment of EDIT and our rates;</w:t>
      </w:r>
    </w:p>
    <w:p>
      <w:pPr>
        <w:spacing w:after="0" w:line="2"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weather impacts through normalization or rate mechanisms, and the effectiveness of such mechanisms;</w:t>
      </w:r>
    </w:p>
    <w:p>
      <w:pPr>
        <w:spacing w:after="0" w:line="5"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credit rating agencies, including any potential downgrades to credit ratings;</w:t>
      </w:r>
    </w:p>
    <w:p>
      <w:pPr>
        <w:spacing w:after="0" w:line="5" w:lineRule="exact"/>
        <w:rPr>
          <w:rFonts w:ascii="Times New Roman" w:cs="Times New Roman" w:eastAsia="Times New Roman" w:hAnsi="Times New Roman"/>
          <w:sz w:val="18"/>
          <w:szCs w:val="18"/>
          <w:color w:val="auto"/>
        </w:rPr>
      </w:pPr>
    </w:p>
    <w:p>
      <w:pPr>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affecting regulatory approval, legislative or executive actions, construction, implementation of necessary technology or other issues with respect to major capital projects that result in delays or cancellation or in costs that cannot be recouped in rates;</w:t>
      </w:r>
    </w:p>
    <w:p>
      <w:pPr>
        <w:spacing w:after="0" w:line="1" w:lineRule="exact"/>
        <w:rPr>
          <w:rFonts w:ascii="Times New Roman" w:cs="Times New Roman" w:eastAsia="Times New Roman" w:hAnsi="Times New Roman"/>
          <w:sz w:val="18"/>
          <w:szCs w:val="18"/>
          <w:color w:val="auto"/>
        </w:rPr>
      </w:pPr>
    </w:p>
    <w:p>
      <w:pPr>
        <w:jc w:val="both"/>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state and federal legislative, executive and regulatory actions or developments relating to the environment, including, among others, those related to global climate risk, air emissions, GHG emissions, carbon emissions, wastewater discharges and the handling and disposal of CCR that could impact operations, cost recovery of generation plant costs and related assets, and CenterPoint Energy’s net zero and GHG emissions reduction goals;</w:t>
      </w:r>
    </w:p>
    <w:p>
      <w:pPr>
        <w:spacing w:after="0" w:line="2"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unplanned facility outages or other closures;</w:t>
      </w:r>
    </w:p>
    <w:p>
      <w:pPr>
        <w:spacing w:after="0" w:line="5"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insurance coverage, including availability, cost, coverage and terms and ability to recover claims;</w:t>
      </w:r>
    </w:p>
    <w:p>
      <w:pPr>
        <w:spacing w:after="0" w:line="5" w:lineRule="exact"/>
        <w:rPr>
          <w:rFonts w:ascii="Times New Roman" w:cs="Times New Roman" w:eastAsia="Times New Roman" w:hAnsi="Times New Roman"/>
          <w:sz w:val="18"/>
          <w:szCs w:val="18"/>
          <w:color w:val="auto"/>
        </w:rPr>
      </w:pPr>
    </w:p>
    <w:p>
      <w:pPr>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CenterPoint Energy’s pension and postretirement benefit plans, such as the investment performance and increases to net periodic costs as a result of plan settlements and changes in assumptions, including discount rates;</w:t>
      </w:r>
    </w:p>
    <w:p>
      <w:pPr>
        <w:spacing w:after="0" w:line="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their impact on costs of borrowing and the valuation of CenterPoint Energy’s pension benefit obligation;</w:t>
      </w:r>
    </w:p>
    <w:p>
      <w:pPr>
        <w:spacing w:after="0" w:line="5" w:lineRule="exact"/>
        <w:rPr>
          <w:rFonts w:ascii="Times New Roman" w:cs="Times New Roman" w:eastAsia="Times New Roman" w:hAnsi="Times New Roman"/>
          <w:sz w:val="18"/>
          <w:szCs w:val="18"/>
          <w:color w:val="auto"/>
        </w:rPr>
      </w:pPr>
    </w:p>
    <w:p>
      <w:pPr>
        <w:jc w:val="both"/>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spacing w:after="0" w:line="2"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various counterparties to meet their obligations to us;</w:t>
      </w:r>
    </w:p>
    <w:p>
      <w:pPr>
        <w:spacing w:after="0" w:line="5"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our risk management activities;</w:t>
      </w:r>
    </w:p>
    <w:p>
      <w:pPr>
        <w:spacing w:after="0" w:line="5" w:lineRule="exact"/>
        <w:rPr>
          <w:rFonts w:ascii="Times New Roman" w:cs="Times New Roman" w:eastAsia="Times New Roman" w:hAnsi="Times New Roman"/>
          <w:sz w:val="18"/>
          <w:szCs w:val="18"/>
          <w:color w:val="auto"/>
        </w:rPr>
      </w:pPr>
    </w:p>
    <w:p>
      <w:pPr>
        <w:jc w:val="both"/>
        <w:ind w:left="320" w:hanging="316"/>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regulatory actions, which include actions allowing requested securitization, for any hurricanes or other severe weather events, such as the May 2024 Storm Events and Hurricane Beryl, or natural disasters or other amounts sought for recovery of costs, including stranded coal-fired generation asset costs;</w:t>
      </w:r>
    </w:p>
    <w:p>
      <w:pPr>
        <w:spacing w:after="0" w:line="2"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effectively transition, motivate and retain management and key employees and maintain good labor relations;</w:t>
      </w: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757" w:right="339" w:bottom="1440" w:gutter="0" w:footer="0" w:header="0"/>
        </w:sectPr>
      </w:pPr>
    </w:p>
    <w:bookmarkStart w:id="9" w:name="page10"/>
    <w:bookmarkEnd w:id="9"/>
    <w:p>
      <w:pPr>
        <w:ind w:left="640" w:hanging="316"/>
        <w:spacing w:after="0" w:line="25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with respect to efficient battery storage or the emergence or growth of new, developing or alternative sources of generation, and their adoption by consumers, and our ability to anticipate and adapt to technological changes;</w:t>
      </w: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AI and our success in timely adopting, developing and deploying AI;</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risk and alternate energy sources on the demand for natural gas and electricity generated or transmitted by us;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any audits, disputes and other proceedings related to taxes;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recording of impairment charges;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developments and actions, including energy and environmental policies under the current administration;</w:t>
      </w:r>
    </w:p>
    <w:p>
      <w:pPr>
        <w:spacing w:after="0" w:line="5" w:lineRule="exact"/>
        <w:rPr>
          <w:rFonts w:ascii="Times New Roman" w:cs="Times New Roman" w:eastAsia="Times New Roman" w:hAnsi="Times New Roman"/>
          <w:sz w:val="18"/>
          <w:szCs w:val="18"/>
          <w:color w:val="auto"/>
        </w:rPr>
      </w:pPr>
    </w:p>
    <w:p>
      <w:pPr>
        <w:ind w:left="640" w:right="24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ability to execute on its strategy, initiatives, targets and goals, including its net zero and GHG emissions reduction goals and its operations and maintenance expenditure goals;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including litigation related to the February 2021 Winter Storm Event and Hurricane Beryl;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and application of accounting standards and pronouncements; and</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“Risk Factors” in Part I, Item 1A of the Registrants’ combined 2024 Form 10-K, which are incorporated herein by reference, Part II, Item 1A of this combined Form 10-Q, and in other reports that the Registrants file from time to time with the SEC.</w:t>
      </w:r>
    </w:p>
    <w:p>
      <w:pPr>
        <w:spacing w:after="0" w:line="2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Each forward-looking statement speaks only as of the date of the particular statement, and other than as required under applicable securities laws,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2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INCOME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60" w:type="dxa"/>
            <w:vAlign w:val="bottom"/>
            <w:gridSpan w:val="4"/>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56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5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2"/>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revenues</w:t>
            </w:r>
          </w:p>
        </w:tc>
        <w:tc>
          <w:tcPr>
            <w:tcW w:w="8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4,499</w:t>
            </w:r>
          </w:p>
        </w:tc>
      </w:tr>
      <w:tr>
        <w:trPr>
          <w:trHeight w:val="21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Non-utility revenues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4,525</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 fuel and purchased power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1,020</w:t>
            </w:r>
          </w:p>
        </w:tc>
      </w:tr>
      <w:tr>
        <w:trPr>
          <w:trHeight w:val="210"/>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Non-utility cost of revenues, including natural gas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1,387</w:t>
            </w:r>
          </w:p>
        </w:tc>
      </w:tr>
      <w:tr>
        <w:trPr>
          <w:trHeight w:val="210"/>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749</w:t>
            </w:r>
          </w:p>
        </w:tc>
      </w:tr>
      <w:tr>
        <w:trPr>
          <w:trHeight w:val="21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w:t>
            </w:r>
          </w:p>
        </w:tc>
      </w:tr>
      <w:tr>
        <w:trPr>
          <w:trHeight w:val="203"/>
        </w:trPr>
        <w:tc>
          <w:tcPr>
            <w:tcW w:w="5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3,442</w:t>
            </w:r>
          </w:p>
        </w:tc>
      </w:tr>
      <w:tr>
        <w:trPr>
          <w:trHeight w:val="20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1,083</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equity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indexed debt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on Securitization Bonds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5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689</w:t>
            </w:r>
          </w:p>
        </w:tc>
      </w:tr>
      <w:tr>
        <w:trPr>
          <w:trHeight w:val="214"/>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r>
      <w:tr>
        <w:trPr>
          <w:trHeight w:val="179"/>
        </w:trPr>
        <w:tc>
          <w:tcPr>
            <w:tcW w:w="566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840" w:type="dxa"/>
            <w:vAlign w:val="bottom"/>
            <w:tcBorders>
              <w:bottom w:val="single" w:sz="8" w:color="auto"/>
            </w:tcBorders>
          </w:tcPr>
          <w:p>
            <w:pPr>
              <w:jc w:val="right"/>
              <w:ind w:right="68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rPr>
              <w:t>578</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9"/>
        </w:trPr>
        <w:tc>
          <w:tcPr>
            <w:tcW w:w="56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5"/>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Common Share</w:t>
            </w:r>
          </w:p>
        </w:tc>
        <w:tc>
          <w:tcPr>
            <w:tcW w:w="8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0.91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84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0.91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5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Basic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636</w:t>
            </w: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Diluted</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w:t>
            </w: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CONDENSED STATEMENTS OF CONSOLIDATED COMPREHENSIVE INCOME (Unaudited)</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28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20" w:type="dxa"/>
            <w:vAlign w:val="bottom"/>
            <w:gridSpan w:val="4"/>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56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5"/>
        </w:trPr>
        <w:tc>
          <w:tcPr>
            <w:tcW w:w="5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64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Adjustment to pension and other postretirement plans (net of tax of $-0-, $-0-, $-0-</w:t>
            </w:r>
          </w:p>
        </w:tc>
        <w:tc>
          <w:tcPr>
            <w:tcW w:w="9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$-0-)</w:t>
            </w:r>
          </w:p>
        </w:tc>
        <w:tc>
          <w:tcPr>
            <w:tcW w:w="9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deferred gain from cash flow hedges (net of tax of $-0-, $1, $-0- and $1)</w:t>
            </w:r>
          </w:p>
        </w:tc>
        <w:tc>
          <w:tcPr>
            <w:tcW w:w="9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1"/>
        </w:trPr>
        <w:tc>
          <w:tcPr>
            <w:tcW w:w="56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Reclassification of deferred gain from cash flow hedges realized in net income (net of</w:t>
            </w:r>
          </w:p>
        </w:tc>
        <w:tc>
          <w:tcPr>
            <w:tcW w:w="9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of $-0-, $-0-, $-0- and $-0-)</w:t>
            </w:r>
          </w:p>
        </w:tc>
        <w:tc>
          <w:tcPr>
            <w:tcW w:w="9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gridSpan w:val="4"/>
          </w:tcPr>
          <w:p>
            <w:pPr>
              <w:jc w:val="right"/>
              <w:ind w:right="142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 ($22 and $21 related to VIEs, respectively)</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7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in equity securities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161"/>
        </w:trPr>
        <w:tc>
          <w:tcPr>
            <w:tcW w:w="74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Accounts receivable ($1 and $2 related to VIEs, respectively), less allowance for credit losses of $28 and $28,</w:t>
            </w:r>
          </w:p>
        </w:tc>
        <w:tc>
          <w:tcPr>
            <w:tcW w:w="2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42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w w:val="99"/>
              </w:rPr>
              <w:t>Accrued unbilled revenues ($2 and $2 related to VIEs, respectively), less allowance for credit losses of $1 and $2,</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0"/>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Natural gas and coal inventory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0"/>
        </w:trPr>
        <w:tc>
          <w:tcPr>
            <w:tcW w:w="7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Materials and supplies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 receivable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0"/>
        </w:trPr>
        <w:tc>
          <w:tcPr>
            <w:tcW w:w="7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Regulatory 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 ($2 and $2 related to VIEs, respectively)</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7"/>
        </w:trPr>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19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42,667</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0" w:type="dxa"/>
            <w:vAlign w:val="bottom"/>
          </w:tcPr>
          <w:p>
            <w:pPr>
              <w:spacing w:after="0"/>
              <w:rPr>
                <w:sz w:val="1"/>
                <w:szCs w:val="1"/>
                <w:color w:val="auto"/>
              </w:rPr>
            </w:pPr>
          </w:p>
        </w:tc>
      </w:tr>
      <w:tr>
        <w:trPr>
          <w:trHeight w:val="207"/>
        </w:trPr>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32,089</w:t>
            </w:r>
          </w:p>
        </w:tc>
        <w:tc>
          <w:tcPr>
            <w:tcW w:w="0" w:type="dxa"/>
            <w:vAlign w:val="bottom"/>
          </w:tcPr>
          <w:p>
            <w:pPr>
              <w:spacing w:after="0"/>
              <w:rPr>
                <w:sz w:val="1"/>
                <w:szCs w:val="1"/>
                <w:color w:val="auto"/>
              </w:rPr>
            </w:pPr>
          </w:p>
        </w:tc>
      </w:tr>
      <w:tr>
        <w:trPr>
          <w:trHeight w:val="19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0" w:type="dxa"/>
            <w:vAlign w:val="bottom"/>
          </w:tcPr>
          <w:p>
            <w:pPr>
              <w:spacing w:after="0"/>
              <w:rPr>
                <w:sz w:val="1"/>
                <w:szCs w:val="1"/>
                <w:color w:val="auto"/>
              </w:rPr>
            </w:pPr>
          </w:p>
        </w:tc>
      </w:tr>
      <w:tr>
        <w:trPr>
          <w:trHeight w:val="210"/>
        </w:trPr>
        <w:tc>
          <w:tcPr>
            <w:tcW w:w="7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Regulatory assets ($305 and $313 related to VIEs, respectively)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0" w:type="dxa"/>
            <w:vAlign w:val="bottom"/>
          </w:tcPr>
          <w:p>
            <w:pPr>
              <w:spacing w:after="0"/>
              <w:rPr>
                <w:sz w:val="1"/>
                <w:szCs w:val="1"/>
                <w:color w:val="auto"/>
              </w:rPr>
            </w:pPr>
          </w:p>
        </w:tc>
      </w:tr>
      <w:tr>
        <w:trPr>
          <w:trHeight w:val="232"/>
        </w:trPr>
        <w:tc>
          <w:tcPr>
            <w:tcW w:w="7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gridSpan w:val="4"/>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(in millions, except par value and shares)</w:t>
            </w:r>
          </w:p>
        </w:tc>
        <w:tc>
          <w:tcPr>
            <w:tcW w:w="0" w:type="dxa"/>
            <w:vAlign w:val="bottom"/>
          </w:tcPr>
          <w:p>
            <w:pPr>
              <w:spacing w:after="0"/>
              <w:rPr>
                <w:sz w:val="1"/>
                <w:szCs w:val="1"/>
                <w:color w:val="auto"/>
              </w:rPr>
            </w:pP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VIE Securitization Bonds long-term debt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Indexed debt,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other long-term debt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Indexed debt securities derivative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accrued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accrued</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accrued</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deposits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07"/>
        </w:trPr>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0" w:type="dxa"/>
            <w:vAlign w:val="bottom"/>
          </w:tcPr>
          <w:p>
            <w:pPr>
              <w:spacing w:after="0"/>
              <w:rPr>
                <w:sz w:val="1"/>
                <w:szCs w:val="1"/>
                <w:color w:val="auto"/>
              </w:rPr>
            </w:pPr>
          </w:p>
        </w:tc>
      </w:tr>
      <w:tr>
        <w:trPr>
          <w:trHeight w:val="20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0" w:type="dxa"/>
            <w:vAlign w:val="bottom"/>
          </w:tcPr>
          <w:p>
            <w:pPr>
              <w:spacing w:after="0"/>
              <w:rPr>
                <w:sz w:val="1"/>
                <w:szCs w:val="1"/>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obligations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207"/>
        </w:trPr>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8,660</w:t>
            </w:r>
          </w:p>
        </w:tc>
        <w:tc>
          <w:tcPr>
            <w:tcW w:w="0" w:type="dxa"/>
            <w:vAlign w:val="bottom"/>
          </w:tcPr>
          <w:p>
            <w:pPr>
              <w:spacing w:after="0"/>
              <w:rPr>
                <w:sz w:val="1"/>
                <w:szCs w:val="1"/>
                <w:color w:val="auto"/>
              </w:rPr>
            </w:pPr>
          </w:p>
        </w:tc>
      </w:tr>
      <w:tr>
        <w:trPr>
          <w:trHeight w:val="20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 Net:</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VIE Securitization Bonds,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debt, net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20,089</w:t>
            </w:r>
          </w:p>
        </w:tc>
        <w:tc>
          <w:tcPr>
            <w:tcW w:w="0" w:type="dxa"/>
            <w:vAlign w:val="bottom"/>
          </w:tcPr>
          <w:p>
            <w:pPr>
              <w:spacing w:after="0"/>
              <w:rPr>
                <w:sz w:val="1"/>
                <w:szCs w:val="1"/>
                <w:color w:val="auto"/>
              </w:rPr>
            </w:pPr>
          </w:p>
        </w:tc>
      </w:tr>
      <w:tr>
        <w:trPr>
          <w:trHeight w:val="207"/>
        </w:trPr>
        <w:tc>
          <w:tcPr>
            <w:tcW w:w="7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long-term debt, net</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20,397</w:t>
            </w:r>
          </w:p>
        </w:tc>
        <w:tc>
          <w:tcPr>
            <w:tcW w:w="0" w:type="dxa"/>
            <w:vAlign w:val="bottom"/>
          </w:tcPr>
          <w:p>
            <w:pPr>
              <w:spacing w:after="0"/>
              <w:rPr>
                <w:sz w:val="1"/>
                <w:szCs w:val="1"/>
                <w:color w:val="auto"/>
              </w:rPr>
            </w:pPr>
          </w:p>
        </w:tc>
      </w:tr>
      <w:tr>
        <w:trPr>
          <w:trHeight w:val="19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42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Common stock, $0.01 par value, 1,000,000,000 shares authorized, 652,814,271 shares and 651,727,276 shares</w:t>
            </w:r>
          </w:p>
        </w:tc>
        <w:tc>
          <w:tcPr>
            <w:tcW w:w="2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7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respectively</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0" w:type="dxa"/>
            <w:vAlign w:val="bottom"/>
          </w:tcPr>
          <w:p>
            <w:pPr>
              <w:spacing w:after="0"/>
              <w:rPr>
                <w:sz w:val="1"/>
                <w:szCs w:val="1"/>
                <w:color w:val="auto"/>
              </w:rPr>
            </w:pP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0" w:type="dxa"/>
            <w:vAlign w:val="bottom"/>
          </w:tcPr>
          <w:p>
            <w:pPr>
              <w:spacing w:after="0"/>
              <w:rPr>
                <w:sz w:val="1"/>
                <w:szCs w:val="1"/>
                <w:color w:val="auto"/>
              </w:rPr>
            </w:pPr>
          </w:p>
        </w:tc>
      </w:tr>
      <w:tr>
        <w:trPr>
          <w:trHeight w:val="232"/>
        </w:trPr>
        <w:tc>
          <w:tcPr>
            <w:tcW w:w="7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CASH FLOWS</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07"/>
        </w:trPr>
        <w:tc>
          <w:tcPr>
            <w:tcW w:w="7260" w:type="dxa"/>
            <w:vAlign w:val="bottom"/>
          </w:tcPr>
          <w:p>
            <w:pPr>
              <w:spacing w:after="0"/>
              <w:rPr>
                <w:sz w:val="17"/>
                <w:szCs w:val="17"/>
                <w:color w:val="auto"/>
              </w:rPr>
            </w:pP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204"/>
        </w:trPr>
        <w:tc>
          <w:tcPr>
            <w:tcW w:w="7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40" w:type="dxa"/>
            <w:vAlign w:val="bottom"/>
            <w:gridSpan w:val="3"/>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20" w:type="dxa"/>
            <w:vAlign w:val="bottom"/>
          </w:tcPr>
          <w:p>
            <w:pPr>
              <w:spacing w:after="0"/>
              <w:rPr>
                <w:sz w:val="17"/>
                <w:szCs w:val="17"/>
                <w:color w:val="auto"/>
              </w:rPr>
            </w:pPr>
          </w:p>
        </w:tc>
      </w:tr>
      <w:tr>
        <w:trPr>
          <w:trHeight w:val="212"/>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10"/>
        </w:trPr>
        <w:tc>
          <w:tcPr>
            <w:tcW w:w="7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4"/>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0"/>
        </w:trPr>
        <w:tc>
          <w:tcPr>
            <w:tcW w:w="7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4"/>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on sale</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(gain) on equity securities</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4"/>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(gain) on indexed debt securities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7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Pension contributions</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4"/>
        </w:trPr>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other assets and liabilities: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0"/>
        </w:trPr>
        <w:tc>
          <w:tcPr>
            <w:tcW w:w="7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 and unbilled revenues, net</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4"/>
        </w:trPr>
        <w:tc>
          <w:tcPr>
            <w:tcW w:w="7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0"/>
        </w:trPr>
        <w:tc>
          <w:tcPr>
            <w:tcW w:w="7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Taxes receivable</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4"/>
        </w:trPr>
        <w:tc>
          <w:tcPr>
            <w:tcW w:w="7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25"/>
        </w:trPr>
        <w:tc>
          <w:tcPr>
            <w:tcW w:w="7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Current regulatory assets and liabilities</w:t>
            </w:r>
          </w:p>
        </w:tc>
        <w:tc>
          <w:tcPr>
            <w:tcW w:w="1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2"/>
        </w:trPr>
        <w:tc>
          <w:tcPr>
            <w:tcW w:w="7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0"/>
        </w:trPr>
        <w:tc>
          <w:tcPr>
            <w:tcW w:w="7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Non-current regulatory assets and liabilities</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4"/>
        </w:trPr>
        <w:tc>
          <w:tcPr>
            <w:tcW w:w="7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0"/>
        </w:trPr>
        <w:tc>
          <w:tcPr>
            <w:tcW w:w="7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7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191"/>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3"/>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0"/>
        </w:trPr>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for asset acquisition</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divestiture</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7"/>
        </w:trPr>
        <w:tc>
          <w:tcPr>
            <w:tcW w:w="7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191"/>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3"/>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Decrease in short-term borrowings, net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(payment of) commercial paper, net</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4"/>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long-term debt and term loans, net</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0"/>
        </w:trPr>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long-term debt and term loans, including make-whole premiums</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4"/>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7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 of dividends on Common Stock</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4"/>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1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0"/>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7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03"/>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6"/>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8"/>
        </w:trPr>
        <w:tc>
          <w:tcPr>
            <w:tcW w:w="7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11"/>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 of capitalized interest</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10"/>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Refunds received for income taxes, net</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7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1"/>
        </w:trPr>
        <w:tc>
          <w:tcPr>
            <w:tcW w:w="7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Transactions</w:t>
            </w: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related to capital expenditures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ROU assets obtained in exchange for lease liabilities</w:t>
            </w:r>
          </w:p>
        </w:tc>
        <w:tc>
          <w:tcPr>
            <w:tcW w:w="1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7"/>
        </w:trPr>
        <w:tc>
          <w:tcPr>
            <w:tcW w:w="3740" w:type="dxa"/>
            <w:vAlign w:val="bottom"/>
          </w:tcPr>
          <w:p>
            <w:pPr>
              <w:spacing w:after="0"/>
              <w:rPr>
                <w:sz w:val="17"/>
                <w:szCs w:val="17"/>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Pr>
          <w:p>
            <w:pPr>
              <w:spacing w:after="0"/>
              <w:rPr>
                <w:sz w:val="17"/>
                <w:szCs w:val="17"/>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7"/>
                <w:szCs w:val="17"/>
                <w:color w:val="auto"/>
              </w:rPr>
            </w:pPr>
          </w:p>
        </w:tc>
      </w:tr>
      <w:tr>
        <w:trPr>
          <w:trHeight w:val="205"/>
        </w:trPr>
        <w:tc>
          <w:tcPr>
            <w:tcW w:w="37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Borders>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5"/>
        </w:trPr>
        <w:tc>
          <w:tcPr>
            <w:tcW w:w="3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gridSpan w:val="14"/>
          </w:tcPr>
          <w:p>
            <w:pPr>
              <w:ind w:left="220"/>
              <w:spacing w:after="0"/>
              <w:rPr>
                <w:sz w:val="20"/>
                <w:szCs w:val="20"/>
                <w:color w:val="auto"/>
              </w:rPr>
            </w:pPr>
            <w:r>
              <w:rPr>
                <w:rFonts w:ascii="Times New Roman" w:cs="Times New Roman" w:eastAsia="Times New Roman" w:hAnsi="Times New Roman"/>
                <w:sz w:val="16"/>
                <w:szCs w:val="16"/>
                <w:b w:val="1"/>
                <w:bCs w:val="1"/>
                <w:color w:val="auto"/>
              </w:rPr>
              <w:t>(in millions of dollars and shares, except authorized shares and par value)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60"/>
        </w:trPr>
        <w:tc>
          <w:tcPr>
            <w:tcW w:w="37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Common Stock, $0.01 par value; authorized</w:t>
            </w: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12"/>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1,000,000,000 shares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652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Issuances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Issuances related to benefit and investment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Paid-in-Capital</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9,105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10"/>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Issuances of Common Stock, net of issuance costs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4"/>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Issuances related to benefit and investment plans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7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9,107</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9,107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8,836</w:t>
            </w:r>
          </w:p>
        </w:tc>
      </w:tr>
      <w:tr>
        <w:trPr>
          <w:trHeight w:val="20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14"/>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10"/>
        </w:trPr>
        <w:tc>
          <w:tcPr>
            <w:tcW w:w="3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Common Stock dividends declared (see Note 15)</w:t>
            </w: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r>
      <w:tr>
        <w:trPr>
          <w:trHeight w:val="20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3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5"/>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11,019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11,019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10,354</w:t>
            </w:r>
          </w:p>
        </w:tc>
      </w:tr>
      <w:tr>
        <w:trPr>
          <w:trHeight w:val="20"/>
        </w:trPr>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60" w:right="2140"/>
        <w:spacing w:after="0" w:line="258"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20" w:type="dxa"/>
            <w:vAlign w:val="bottom"/>
            <w:gridSpan w:val="4"/>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r>
      <w:tr>
        <w:trPr>
          <w:trHeight w:val="207"/>
        </w:trPr>
        <w:tc>
          <w:tcPr>
            <w:tcW w:w="56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5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4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20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4"/>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10"/>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4"/>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5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w:t>
            </w:r>
          </w:p>
        </w:tc>
      </w:tr>
      <w:tr>
        <w:trPr>
          <w:trHeight w:val="20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03"/>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0"/>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on Securitization Bonds</w:t>
            </w:r>
          </w:p>
        </w:tc>
        <w:tc>
          <w:tcPr>
            <w:tcW w:w="8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5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0"/>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2"/>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4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40" w:right="2160"/>
        <w:spacing w:after="0" w:line="258"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5"/>
        </w:trPr>
        <w:tc>
          <w:tcPr>
            <w:tcW w:w="7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gridSpan w:val="6"/>
          </w:tcPr>
          <w:p>
            <w:pPr>
              <w:ind w:left="12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($15 and $14 related to VIEs, respectively)</w:t>
            </w:r>
          </w:p>
        </w:tc>
        <w:tc>
          <w:tcPr>
            <w:tcW w:w="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less allowance for credit losses of $2 and $2, respectively</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receivable–affiliated companies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unbilled revenues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Materials and supplies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Taxes receivable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4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payable–affiliated companies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Taxes accrued</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accrued</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Benefit obligations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 Net</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member’s equity</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4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60" w:type="dxa"/>
            <w:vAlign w:val="bottom"/>
          </w:tcPr>
          <w:p>
            <w:pPr>
              <w:jc w:val="right"/>
              <w:ind w:right="132"/>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60" w:right="2140"/>
        <w:spacing w:after="0" w:line="258"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07"/>
        </w:trPr>
        <w:tc>
          <w:tcPr>
            <w:tcW w:w="7400" w:type="dxa"/>
            <w:vAlign w:val="bottom"/>
          </w:tcPr>
          <w:p>
            <w:pPr>
              <w:spacing w:after="0"/>
              <w:rPr>
                <w:sz w:val="17"/>
                <w:szCs w:val="17"/>
                <w:color w:val="auto"/>
              </w:rPr>
            </w:pP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r>
      <w:tr>
        <w:trPr>
          <w:trHeight w:val="204"/>
        </w:trPr>
        <w:tc>
          <w:tcPr>
            <w:tcW w:w="7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0" w:type="dxa"/>
            <w:vAlign w:val="bottom"/>
            <w:gridSpan w:val="3"/>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60" w:type="dxa"/>
            <w:vAlign w:val="bottom"/>
          </w:tcPr>
          <w:p>
            <w:pPr>
              <w:spacing w:after="0"/>
              <w:rPr>
                <w:sz w:val="17"/>
                <w:szCs w:val="17"/>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assets and liabilities: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revenues, net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receivable/payable–affiliated companies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1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Taxes receivable</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Current regulatory assets and liabilities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Non-current regulatory assets and liabilities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7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(increase) in notes receivable–affiliated companies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5"/>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long-term debt and term loan, net</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210"/>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1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4"/>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notes payable–affiliated companies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 to parent</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0"/>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 from parent</w:t>
            </w:r>
          </w:p>
        </w:tc>
        <w:tc>
          <w:tcPr>
            <w:tcW w:w="1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4"/>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7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1"/>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40" w:type="dxa"/>
            <w:vAlign w:val="bottom"/>
            <w:tcBorders>
              <w:bottom w:val="single" w:sz="8" w:color="auto"/>
            </w:tcBorders>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capitalized interest</w:t>
            </w:r>
          </w:p>
        </w:tc>
        <w:tc>
          <w:tcPr>
            <w:tcW w:w="1240" w:type="dxa"/>
            <w:vAlign w:val="bottom"/>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280" w:type="dxa"/>
            <w:vAlign w:val="bottom"/>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7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Transactions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08"/>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related to capital expenditures</w:t>
            </w:r>
          </w:p>
        </w:tc>
        <w:tc>
          <w:tcPr>
            <w:tcW w:w="1240" w:type="dxa"/>
            <w:vAlign w:val="bottom"/>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1280" w:type="dxa"/>
            <w:vAlign w:val="bottom"/>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440" w:right="2060"/>
        <w:spacing w:after="0" w:line="256"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7"/>
        </w:trPr>
        <w:tc>
          <w:tcPr>
            <w:tcW w:w="368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7"/>
                <w:szCs w:val="17"/>
                <w:color w:val="auto"/>
              </w:rPr>
            </w:pPr>
          </w:p>
        </w:tc>
      </w:tr>
      <w:tr>
        <w:trPr>
          <w:trHeight w:val="205"/>
        </w:trPr>
        <w:tc>
          <w:tcPr>
            <w:tcW w:w="36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4"/>
        </w:trPr>
        <w:tc>
          <w:tcPr>
            <w:tcW w:w="3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9"/>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4"/>
        </w:trPr>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Paid-in-Capital</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5,589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4,745</w:t>
            </w:r>
          </w:p>
        </w:tc>
      </w:tr>
      <w:tr>
        <w:trPr>
          <w:trHeight w:val="214"/>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 from parent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w:t>
            </w:r>
          </w:p>
        </w:tc>
      </w:tr>
      <w:tr>
        <w:trPr>
          <w:trHeight w:val="203"/>
        </w:trPr>
        <w:tc>
          <w:tcPr>
            <w:tcW w:w="3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7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5,589</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4,975</w:t>
            </w:r>
          </w:p>
        </w:tc>
      </w:tr>
      <w:tr>
        <w:trPr>
          <w:trHeight w:val="20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1,364</w:t>
            </w:r>
          </w:p>
        </w:tc>
      </w:tr>
      <w:tr>
        <w:trPr>
          <w:trHeight w:val="214"/>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w:t>
            </w:r>
          </w:p>
        </w:tc>
      </w:tr>
      <w:tr>
        <w:trPr>
          <w:trHeight w:val="210"/>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Dividend to parent</w:t>
            </w:r>
          </w:p>
        </w:tc>
        <w:tc>
          <w:tcPr>
            <w:tcW w:w="7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7"/>
        </w:trPr>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1,495</w:t>
            </w: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7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7,202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60" w:right="2140"/>
        <w:spacing w:after="0" w:line="258"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28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20" w:type="dxa"/>
            <w:vAlign w:val="bottom"/>
            <w:gridSpan w:val="4"/>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56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5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2"/>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revenues</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r>
      <w:tr>
        <w:trPr>
          <w:trHeight w:val="210"/>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Non-utility revenues</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r>
      <w:tr>
        <w:trPr>
          <w:trHeight w:val="20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4"/>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210"/>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Non-utility cost of revenues, including natural gas</w:t>
            </w:r>
          </w:p>
        </w:tc>
        <w:tc>
          <w:tcPr>
            <w:tcW w:w="9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0"/>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4"/>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3"/>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0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4"/>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0"/>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400" w:right="2100"/>
        <w:spacing w:after="0" w:line="256"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40" w:type="dxa"/>
            <w:vAlign w:val="bottom"/>
            <w:gridSpan w:val="4"/>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55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5"/>
        </w:trPr>
        <w:tc>
          <w:tcPr>
            <w:tcW w:w="5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139"/>
        </w:trPr>
        <w:tc>
          <w:tcPr>
            <w:tcW w:w="5540" w:type="dxa"/>
            <w:vAlign w:val="bottom"/>
          </w:tcPr>
          <w:p>
            <w:pPr>
              <w:ind w:left="160"/>
              <w:spacing w:after="0" w:line="139" w:lineRule="exact"/>
              <w:rPr>
                <w:sz w:val="20"/>
                <w:szCs w:val="20"/>
                <w:color w:val="auto"/>
              </w:rPr>
            </w:pPr>
            <w:r>
              <w:rPr>
                <w:rFonts w:ascii="Times New Roman" w:cs="Times New Roman" w:eastAsia="Times New Roman" w:hAnsi="Times New Roman"/>
                <w:sz w:val="16"/>
                <w:szCs w:val="16"/>
                <w:color w:val="auto"/>
              </w:rPr>
              <w:t>Adjustment to pension and other postretirement plans (net of tax of $-0-, $-0-, $-0-</w:t>
            </w:r>
          </w:p>
        </w:tc>
        <w:tc>
          <w:tcPr>
            <w:tcW w:w="94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$-0-)</w:t>
            </w:r>
          </w:p>
        </w:tc>
        <w:tc>
          <w:tcPr>
            <w:tcW w:w="94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9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40" w:right="2160"/>
        <w:spacing w:after="0" w:line="258"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CONSOLIDATED BALANCE SHEETS (Unaudited)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gridSpan w:val="4"/>
          </w:tcPr>
          <w:p>
            <w:pPr>
              <w:jc w:val="right"/>
              <w:ind w:right="142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$24 and $24, respectively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unbilled revenues, less allowance for credit losses of $1 and $2, respectively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receivable–affiliated companies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Materials and supplies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Natural gas inventory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receivable</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7"/>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r>
      <w:tr>
        <w:trPr>
          <w:trHeight w:val="19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r>
      <w:tr>
        <w:trPr>
          <w:trHeight w:val="21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4,146</w:t>
            </w:r>
          </w:p>
        </w:tc>
      </w:tr>
      <w:tr>
        <w:trPr>
          <w:trHeight w:val="207"/>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w:t>
            </w:r>
          </w:p>
        </w:tc>
      </w:tr>
      <w:tr>
        <w:trPr>
          <w:trHeight w:val="20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14"/>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3"/>
        </w:trPr>
        <w:tc>
          <w:tcPr>
            <w:tcW w:w="7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w:t>
            </w:r>
          </w:p>
        </w:tc>
      </w:tr>
      <w:tr>
        <w:trPr>
          <w:trHeight w:val="232"/>
        </w:trPr>
        <w:tc>
          <w:tcPr>
            <w:tcW w:w="74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60" w:right="2140"/>
        <w:spacing w:after="0" w:line="258"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gridSpan w:val="4"/>
          </w:tcPr>
          <w:p>
            <w:pPr>
              <w:jc w:val="right"/>
              <w:ind w:right="142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1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payable–affiliated companies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accrued</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accrued</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deposits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7"/>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obligations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r>
      <w:tr>
        <w:trPr>
          <w:trHeight w:val="21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07"/>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w:t>
            </w:r>
          </w:p>
        </w:tc>
      </w:tr>
      <w:tr>
        <w:trPr>
          <w:trHeight w:val="20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 Net</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5,174</w:t>
            </w:r>
          </w:p>
        </w:tc>
      </w:tr>
      <w:tr>
        <w:trPr>
          <w:trHeight w:val="19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r>
      <w:tr>
        <w:trPr>
          <w:trHeight w:val="21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1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w:t>
            </w:r>
          </w:p>
        </w:tc>
      </w:tr>
      <w:tr>
        <w:trPr>
          <w:trHeight w:val="207"/>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16,425</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60" w:right="2140"/>
        <w:spacing w:after="0" w:line="258"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CASH FLOWS (Unaudited)</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07"/>
        </w:trPr>
        <w:tc>
          <w:tcPr>
            <w:tcW w:w="7400" w:type="dxa"/>
            <w:vAlign w:val="bottom"/>
          </w:tcPr>
          <w:p>
            <w:pPr>
              <w:spacing w:after="0"/>
              <w:rPr>
                <w:sz w:val="17"/>
                <w:szCs w:val="17"/>
                <w:color w:val="auto"/>
              </w:rPr>
            </w:pP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r>
      <w:tr>
        <w:trPr>
          <w:trHeight w:val="204"/>
        </w:trPr>
        <w:tc>
          <w:tcPr>
            <w:tcW w:w="7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0" w:type="dxa"/>
            <w:vAlign w:val="bottom"/>
            <w:gridSpan w:val="3"/>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60" w:type="dxa"/>
            <w:vAlign w:val="bottom"/>
          </w:tcPr>
          <w:p>
            <w:pPr>
              <w:spacing w:after="0"/>
              <w:rPr>
                <w:sz w:val="17"/>
                <w:szCs w:val="17"/>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other assets and liabilities: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revenues, net</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receivable/payable–affiliated companies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Taxes receivable</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Current regulatory assets and liabilities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Non-current regulatory assets and liabilities</w:t>
            </w:r>
          </w:p>
        </w:tc>
        <w:tc>
          <w:tcPr>
            <w:tcW w:w="1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notes receivable–affiliated companies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divestiture</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short-term borrowings, net</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commercial paper, net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long-term debt and term loan, net</w:t>
            </w:r>
          </w:p>
        </w:tc>
        <w:tc>
          <w:tcPr>
            <w:tcW w:w="1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long-term debt and term loan</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to parent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Contribution from parent</w:t>
            </w:r>
          </w:p>
        </w:tc>
        <w:tc>
          <w:tcPr>
            <w:tcW w:w="1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0"/>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1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40" w:type="dxa"/>
            <w:vAlign w:val="bottom"/>
            <w:tcBorders>
              <w:bottom w:val="single" w:sz="8" w:color="auto"/>
            </w:tcBorders>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8"/>
        </w:trPr>
        <w:tc>
          <w:tcPr>
            <w:tcW w:w="7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capitalized interest</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(refunds received) for income taxes, net</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7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Transactions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related to capital expenditures</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left="340" w:right="2160"/>
        <w:spacing w:after="0" w:line="256"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8"/>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7"/>
        </w:trPr>
        <w:tc>
          <w:tcPr>
            <w:tcW w:w="366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Pr>
          <w:p>
            <w:pPr>
              <w:spacing w:after="0"/>
              <w:rPr>
                <w:sz w:val="17"/>
                <w:szCs w:val="17"/>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Pr>
          <w:p>
            <w:pPr>
              <w:spacing w:after="0"/>
              <w:rPr>
                <w:sz w:val="17"/>
                <w:szCs w:val="17"/>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7"/>
                <w:szCs w:val="17"/>
                <w:color w:val="auto"/>
              </w:rPr>
            </w:pPr>
          </w:p>
        </w:tc>
      </w:tr>
      <w:tr>
        <w:trPr>
          <w:trHeight w:val="205"/>
        </w:trPr>
        <w:tc>
          <w:tcPr>
            <w:tcW w:w="36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4"/>
        </w:trPr>
        <w:tc>
          <w:tcPr>
            <w:tcW w:w="3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9"/>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Paid-in-Capital</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r>
      <w:tr>
        <w:trPr>
          <w:trHeight w:val="21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 from parent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03"/>
        </w:trPr>
        <w:tc>
          <w:tcPr>
            <w:tcW w:w="3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w:t>
            </w:r>
          </w:p>
        </w:tc>
      </w:tr>
      <w:tr>
        <w:trPr>
          <w:trHeight w:val="20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1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0"/>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Dividend to parent</w:t>
            </w: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7"/>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4"/>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5"/>
        </w:trPr>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6,009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6,233</w:t>
            </w:r>
          </w:p>
        </w:tc>
      </w:tr>
      <w:tr>
        <w:trPr>
          <w:trHeight w:val="20"/>
        </w:trPr>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CENTERPOINT ENERGY HOUSTON ELECTRIC, LLC AND SUBSIDIARIES CENTERPOINT ENERGY RESOURCES CORP. AND SUBSIDIARIES</w:t>
      </w:r>
    </w:p>
    <w:p>
      <w:pPr>
        <w:spacing w:after="0" w:line="19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COMBINED NOTES TO INTERIM CONDENSED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and Basis of Presentation</w:t>
      </w:r>
    </w:p>
    <w:p>
      <w:pPr>
        <w:spacing w:after="0" w:line="24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This combined Form 10-Q is filed separately by three registrants: CenterPoint Energy, Inc., CenterPoint Energy Houston Electric, LLC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Inc. other than itself or its subsidiaries.</w:t>
      </w:r>
    </w:p>
    <w:p>
      <w:pPr>
        <w:spacing w:after="0" w:line="20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Except as discussed in Note 9,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6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Included in this combined Form 10-Q are the Interim Condensed Financial Statements of the Registrants. The Interim Condensed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which omit certain financial statement disclosures, are unaudited and should be read with the Registrants’ financial statements included in the Registrants’ combined 2024 Form 10-K. The Combined Notes to Interim Condensed Financial Statements apply to all Registrants and specific references to Houston Electric and CERC herein also pertain to CenterPoint Energy, unless otherwise indicated.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and the impact of tariffs, (c) timing of maintenance and other expenditures and (d) acquisitions and dispositions of businesses, assets and other interests.</w:t>
      </w:r>
    </w:p>
    <w:p>
      <w:pPr>
        <w:spacing w:after="0" w:line="20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Background</w:t>
      </w:r>
      <w:r>
        <w:rPr>
          <w:rFonts w:ascii="Times New Roman" w:cs="Times New Roman" w:eastAsia="Times New Roman" w:hAnsi="Times New Roman"/>
          <w:sz w:val="18"/>
          <w:szCs w:val="18"/>
          <w:color w:val="auto"/>
        </w:rPr>
        <w:t>. CenterPoint Energy is a public utility holding company. CenterPoint Energy’s operating subsidiaries own and operate electric transmission,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generation facilities and natural gas distribution systems.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2025, CenterPoint Energy’s operating subsidiaries were as follows:</w:t>
      </w:r>
    </w:p>
    <w:p>
      <w:pPr>
        <w:spacing w:after="0" w:line="244"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Electric owns and operates electric transmission and distribution facilities in the Texas Gulf Coast area that includes the city of Houston;</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 Corp.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9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As of June 30, 2025, CenterPoint Energy’s reportable segments were Electric, Natural Gas, and Corporate and Other. Houston Electric and CERC each consist of a single reportable segment. For a description of CenterPoint Energy’s reportable segments, see Note 13.</w:t>
      </w:r>
    </w:p>
    <w:p>
      <w:pPr>
        <w:spacing w:after="0" w:line="204"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8"/>
          <w:szCs w:val="18"/>
          <w:color w:val="auto"/>
        </w:rPr>
        <w:t>On March 7, 2025, SIGECO acquired 100% of the equity interests in Posey Solar, which was constructing a 191 MW solar array in Posey County, Indiana, for approximately $357 million. On March 31, 2025, CenterPoint Energy, through its subsidiary CERC Corp., completed the sale of its Louisiana and Mississippi natural gas LDC businesses for approximately $1.2 billion, subject to adjustment as set forth in the LAMS Asset Purchase Agreement, including adjustments based on net working capital, regulatory assets and liabilities and capital expenditures at closing. For additional information related to both transactions, see Note 3.</w:t>
      </w:r>
    </w:p>
    <w:p>
      <w:pPr>
        <w:spacing w:after="0" w:line="2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Interim Condensed Financial Statements have been prepared in conformity with GAAP. The accounts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Registrants and their wholly-owned and majority-owned and controlled subsidiaries are included in the Interim Condensed Financial Statements. All intercompany transactions and balances are eliminated in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consolidation; however, intercompany profits have not been eliminated when such amounts are probable of recovery under the affiliates’ rate regulation process.</w:t>
      </w:r>
    </w:p>
    <w:p>
      <w:pPr>
        <w:spacing w:after="0" w:line="20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June 30, 2025, CenterPoint Energy, Houston Electric and SIGECO had VIEs including Transition Bond Company IV and the SIGECO Securitization Subsidiary, which are consolidated. The consolidated VIEs are wholly-owned, bankruptcy-remote, special purpose entities that were formed solely for the purpose of securitizing transition property or facilitating the securitization financing of qualified costs. CenterPoint Energy, through SIGECO, has a controlling financial interest in the SIGECO Securitization Subsidiary and is the VIE’s primary beneficiary. For further information, see Note 6. Houston Electric has a controlling financial interest in Transition Bond Company IV and is the VIE’s primary beneficiary. Creditors of CenterPoint Energy, Houston Electric and SIGECO have no recourse to any assets or revenues of Transition Bond Company IV or the SIGECO Securitization Subsidiary, as applicable. The Securitization Bonds issued by these VIEs are payable only from and secured by transition or securitization property, as applicable, and the bondholders have no recourse to the general credit of CenterPoint Energy, Houston Electric or SIGECO.</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the Registrants’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 and Recent Accounting Pronouncements</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There have been no material changes in our significant accounting policies from those described in our combined 2024 Form 10-K, except discussed below.</w:t>
      </w: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020" w:type="dxa"/>
            <w:vAlign w:val="bottom"/>
          </w:tcPr>
          <w:p>
            <w:pPr>
              <w:jc w:val="right"/>
              <w:ind w:right="81"/>
              <w:spacing w:after="0" w:line="155"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90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3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Energy</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Electric</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jc w:val="right"/>
              <w:ind w:right="1921"/>
              <w:spacing w:after="0"/>
              <w:rPr>
                <w:sz w:val="20"/>
                <w:szCs w:val="20"/>
                <w:color w:val="auto"/>
              </w:rPr>
            </w:pPr>
            <w:r>
              <w:rPr>
                <w:rFonts w:ascii="Times New Roman" w:cs="Times New Roman" w:eastAsia="Times New Roman" w:hAnsi="Times New Roman"/>
                <w:sz w:val="16"/>
                <w:szCs w:val="16"/>
                <w:color w:val="auto"/>
                <w:w w:val="99"/>
              </w:rPr>
              <w:t>Cash and cash equivalents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59"/>
        </w:trPr>
        <w:tc>
          <w:tcPr>
            <w:tcW w:w="3920" w:type="dxa"/>
            <w:vAlign w:val="bottom"/>
          </w:tcPr>
          <w:p>
            <w:pPr>
              <w:jc w:val="right"/>
              <w:ind w:right="321"/>
              <w:spacing w:after="0" w:line="159" w:lineRule="exact"/>
              <w:rPr>
                <w:sz w:val="20"/>
                <w:szCs w:val="20"/>
                <w:color w:val="auto"/>
              </w:rPr>
            </w:pPr>
            <w:r>
              <w:rPr>
                <w:rFonts w:ascii="Times New Roman" w:cs="Times New Roman" w:eastAsia="Times New Roman" w:hAnsi="Times New Roman"/>
                <w:sz w:val="16"/>
                <w:szCs w:val="16"/>
                <w:color w:val="auto"/>
                <w:w w:val="99"/>
              </w:rPr>
              <w:t>Restricted cash included in Prepaid expenses and other</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920" w:type="dxa"/>
            <w:vAlign w:val="bottom"/>
          </w:tcPr>
          <w:p>
            <w:pPr>
              <w:jc w:val="right"/>
              <w:ind w:right="2581"/>
              <w:spacing w:after="0"/>
              <w:rPr>
                <w:sz w:val="20"/>
                <w:szCs w:val="20"/>
                <w:color w:val="auto"/>
              </w:rPr>
            </w:pPr>
            <w:r>
              <w:rPr>
                <w:rFonts w:ascii="Times New Roman" w:cs="Times New Roman" w:eastAsia="Times New Roman" w:hAnsi="Times New Roman"/>
                <w:sz w:val="16"/>
                <w:szCs w:val="16"/>
                <w:color w:val="auto"/>
              </w:rPr>
              <w:t>current assets (2)</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920" w:type="dxa"/>
            <w:vAlign w:val="bottom"/>
            <w:tcBorders>
              <w:top w:val="single" w:sz="8" w:color="CCEEFF"/>
            </w:tcBorders>
            <w:shd w:val="clear" w:color="auto" w:fill="CCEEFF"/>
          </w:tcPr>
          <w:p>
            <w:pPr>
              <w:jc w:val="right"/>
              <w:ind w:right="41"/>
              <w:spacing w:after="0" w:line="142" w:lineRule="exact"/>
              <w:rPr>
                <w:sz w:val="20"/>
                <w:szCs w:val="20"/>
                <w:color w:val="auto"/>
              </w:rPr>
            </w:pPr>
            <w:r>
              <w:rPr>
                <w:rFonts w:ascii="Times New Roman" w:cs="Times New Roman" w:eastAsia="Times New Roman" w:hAnsi="Times New Roman"/>
                <w:sz w:val="16"/>
                <w:szCs w:val="16"/>
                <w:color w:val="auto"/>
              </w:rPr>
              <w:t>Total cash, cash equivalents and restricted cash shown</w:t>
            </w: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920" w:type="dxa"/>
            <w:vAlign w:val="bottom"/>
            <w:shd w:val="clear" w:color="auto" w:fill="CCEEFF"/>
          </w:tcPr>
          <w:p>
            <w:pPr>
              <w:jc w:val="right"/>
              <w:ind w:right="321"/>
              <w:spacing w:after="0" w:line="159" w:lineRule="exact"/>
              <w:rPr>
                <w:sz w:val="20"/>
                <w:szCs w:val="20"/>
                <w:color w:val="auto"/>
              </w:rPr>
            </w:pPr>
            <w:r>
              <w:rPr>
                <w:rFonts w:ascii="Times New Roman" w:cs="Times New Roman" w:eastAsia="Times New Roman" w:hAnsi="Times New Roman"/>
                <w:sz w:val="16"/>
                <w:szCs w:val="16"/>
                <w:color w:val="auto"/>
              </w:rPr>
              <w:t>in Condensed Statements of Consolidated Cash</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jc w:val="right"/>
              <w:ind w:right="2961"/>
              <w:spacing w:after="0"/>
              <w:rPr>
                <w:sz w:val="20"/>
                <w:szCs w:val="20"/>
                <w:color w:val="auto"/>
              </w:rPr>
            </w:pPr>
            <w:r>
              <w:rPr>
                <w:rFonts w:ascii="Times New Roman" w:cs="Times New Roman" w:eastAsia="Times New Roman" w:hAnsi="Times New Roman"/>
                <w:sz w:val="16"/>
                <w:szCs w:val="16"/>
                <w:color w:val="auto"/>
              </w:rPr>
              <w:t>Flows</w:t>
            </w:r>
          </w:p>
        </w:tc>
        <w:tc>
          <w:tcPr>
            <w:tcW w:w="1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640" w:hanging="316"/>
        <w:spacing w:after="0" w:line="257" w:lineRule="auto"/>
        <w:tabs>
          <w:tab w:leader="none" w:pos="6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related to VIEs as of June 30, 2025 and December 31, 2024 included $22 million and $21 million, respectively, at CenterPoint Energy and $15 million and $14 million, respectively, at Houston Electric.</w:t>
      </w:r>
    </w:p>
    <w:p>
      <w:pPr>
        <w:jc w:val="both"/>
        <w:ind w:left="640" w:hanging="316"/>
        <w:spacing w:after="0" w:line="248" w:lineRule="auto"/>
        <w:tabs>
          <w:tab w:leader="none" w:pos="6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primarily related to accounts established by CenterPoint Energy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Early adoption is permitted. The Registrants are currently evaluating the impact of this ASU on their respective consolidated financial statements.</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 periods beginning after December 15, 2026, and for interim periods beginning after December 15, 2027. Early adoption is permitted. The Registrants are currently evaluating the impact of this ASU on their respective consolidated financial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 and Divestiture (CenterPoint Energy and CERC)</w:t>
      </w:r>
    </w:p>
    <w:p>
      <w:pPr>
        <w:spacing w:after="0" w:line="24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Divestiture of Louisiana and Mississippi Natural Gas Businesses. </w:t>
      </w:r>
      <w:r>
        <w:rPr>
          <w:rFonts w:ascii="Times New Roman" w:cs="Times New Roman" w:eastAsia="Times New Roman" w:hAnsi="Times New Roman"/>
          <w:sz w:val="18"/>
          <w:szCs w:val="18"/>
          <w:color w:val="auto"/>
        </w:rPr>
        <w:t>On February 19, 2024, CERC Corp. entered into the LAMS Asset Purchase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CERC Corp. agreed to sell its Louisiana and Mississippi natural gas LDC businesses. The purchase price for the Louisiana and Mississippi natural gas LDC businesses was $1.2 billion, subject to adjustment as set forth in the LAMS Asset Purchase Agreement, including adjustments based on net working capital, regulatory assets and liabilities and capital expenditures at closing. The transaction closed on March 31, 2025. As of the closing date, the businesses included approximately 12,000 miles of main pipeline in Louisiana and Mississippi serving approximately 380,000 customers. Prior to the sale, the Louisiana and Mississippi natural gas LDC businesses were reflected in CenterPoint Energy’s Natural Gas reportable segment and CERC’s single reportable segment, as applicable.</w:t>
      </w:r>
    </w:p>
    <w:p>
      <w:pPr>
        <w:spacing w:after="0" w:line="2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2025.</w:t>
      </w:r>
    </w:p>
    <w:p>
      <w:pPr>
        <w:spacing w:after="0" w:line="19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Although the Louisiana and Mississippi natural gas LDC businesses met the held for sale criteria as of December 31, 2024, their disposals did not represent a strategic shift for CenterPoint Energy or CERC, as both retain significant operations in, and continue to invest in, their natural gas businesses. Therefore, the assets and liabilities, as well as the related income and expenses, associated with these transactions were not reflected as discontinued operations on CenterPoint Energy’s or CERC’s Condensed Consolidated Balance Sheets and Condensed Statements of Consolidated Income, as applicable. Since the depreciation on the Louisiana and Mississippi natural gas LDC businesses’ assets continued to be reflected in revenues through customer rates until the closing of the transaction and was then reflected in the carryover basis of the rate-regulated assets after the sale, CenterPoint Energy and CERC continued to record depreciation on those assets through the closing of the transaction. The Registrants recorded assets and liabilities held for sale at the lower of their carrying value or their estimated fair value less cost to sell.</w:t>
      </w:r>
    </w:p>
    <w:p>
      <w:pPr>
        <w:spacing w:after="0" w:line="21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CenterPoint Energy and CERC recognized a loss of $43 million and a gain of $52 million, respectively, net of transaction costs of $21 million, in connection with the closing of the disposition of the Louisiana and Mississippi natural gas LDC businesses during the six months ended June 30, 2025. Goodwill of $217 million and $122 million was allocated to the Louisiana and Mississippi natural gas LDC businesses by CenterPoint Energy and CERC, respectively, at the time the held for sale criteria was met and such amount was subsequently derecognized following the completion of the sale on March 31, 2025. As of June 30, 2025, CenterPoint Energy and CERC had a receivable of $12 million for working capital and other customary adjustments set forth in the LAMS Asset Purchase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result of the sale of the Louisiana and Mississippi natural gas LDC businesses, there were no assets or liabilities classified as held for sale as of June 30, 2025. The assets and liabilities of the Louisiana and Mississippi natural gas LDC businesses classified as held for sale in CenterPoint Energy’s and CERC’s Condensed Consolidated Balance Sheets, as applicable, as of December 31, 2024 included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0" w:type="dxa"/>
            <w:vAlign w:val="bottom"/>
            <w:tcBorders>
              <w:bottom w:val="single" w:sz="8" w:color="auto"/>
            </w:tcBorders>
          </w:tcPr>
          <w:p>
            <w:pPr>
              <w:spacing w:after="0"/>
              <w:rPr>
                <w:sz w:val="18"/>
                <w:szCs w:val="18"/>
                <w:color w:val="auto"/>
              </w:rPr>
            </w:pPr>
          </w:p>
        </w:tc>
      </w:tr>
      <w:tr>
        <w:trPr>
          <w:trHeight w:val="207"/>
        </w:trPr>
        <w:tc>
          <w:tcPr>
            <w:tcW w:w="7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5"/>
        </w:trPr>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7"/>
                <w:szCs w:val="17"/>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net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unbilled revenues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inventory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Materials and supplies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2"/>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 held for sale</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deposits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7"/>
        </w:trPr>
        <w:tc>
          <w:tcPr>
            <w:tcW w:w="7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 held for sale</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pre-tax income for the Louisiana and Mississippi natural gas LDC businesses, excluding interest and corporate allocations, included in CenterPoint Energy’s and CERC’s Condensed Statements of Consolidated Income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304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960" w:type="dxa"/>
            <w:vAlign w:val="bottom"/>
          </w:tcPr>
          <w:p>
            <w:pPr>
              <w:spacing w:after="0"/>
              <w:rPr>
                <w:sz w:val="17"/>
                <w:szCs w:val="17"/>
                <w:color w:val="auto"/>
              </w:rPr>
            </w:pPr>
          </w:p>
        </w:tc>
        <w:tc>
          <w:tcPr>
            <w:tcW w:w="12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3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8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w:t>
            </w:r>
          </w:p>
        </w:tc>
        <w:tc>
          <w:tcPr>
            <w:tcW w:w="4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pacing w:after="0" w:line="3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Effective on the date of the closing of the disposition of the Louisiana and Mississippi natural gas LDC businesses, CERC entered into the Transition Services Agreement, whereby CERC agreed to provide certain transition services, including accounting, customer operations, procurement, and technology functions, for a term of up to 24 months. Subject to the conditions in the Transition Services Agreement, the LAMS Buyers may terminate these support services with 60 days prior written notice. CenterPoint Energy and CERC’s charges to the LAMS Buyers for reimbursement of transition services were $8.5 million during the three and six months ended June 30, 2025. CenterPoint Energy’s and CERC’s Condensed Consolidated Balance Sheets included a receivable due from the LAMS Buyers for transition services in the amount of $8.5 million as of June 30, 2025.</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CenterPoint Energy’s and CERC’s Condensed Consolidated Balance Sheets included a receivable due from the LAMS Buyers for reimbursement of one-time setup costs in the amount of $7.5 million as of June 30, 2025.</w:t>
      </w:r>
    </w:p>
    <w:p>
      <w:pPr>
        <w:spacing w:after="0" w:line="175" w:lineRule="exact"/>
        <w:rPr>
          <w:sz w:val="20"/>
          <w:szCs w:val="20"/>
          <w:color w:val="auto"/>
        </w:rPr>
      </w:pPr>
    </w:p>
    <w:p>
      <w:pPr>
        <w:ind w:right="100" w:firstLine="318"/>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Acquisition of Posey Solar. </w:t>
      </w:r>
      <w:r>
        <w:rPr>
          <w:rFonts w:ascii="Times New Roman" w:cs="Times New Roman" w:eastAsia="Times New Roman" w:hAnsi="Times New Roman"/>
          <w:sz w:val="18"/>
          <w:szCs w:val="18"/>
          <w:color w:val="auto"/>
        </w:rPr>
        <w:t>On March 7, 2025, SIGECO acquired 100% of the equity interests in Posey Solar, which was constructing a 191 MW solar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array in Posey County, Indiana, for approximately $357 million. The purchase represents an asset acquisition. The lease obligations related to Posey Solar were approximately $35 million at the time of acquisition. The purchase was subject to terms and conditions in an order approved by the IURC on September 6, 2023, allowing Indiana Electric to recover project costs, net of PTCs, in rate base rather than a levelized rate, through base rates or the CECA mechanism, depending on which provides more timely recovery. Posey Solar was placed into service on May 30, 2025. Indiana Electric began recovering on the asset through updated base rates on June 17, 2025. On February 3, 2025, the IURC approved Indiana Electric’s request to convey PTCs to customers through the new tax adjustment rider.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disaggregate revenues by reportable segment and major source: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 2025</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2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420" w:type="dxa"/>
            <w:vAlign w:val="bottom"/>
            <w:gridSpan w:val="2"/>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400" w:type="dxa"/>
            <w:vAlign w:val="bottom"/>
          </w:tcPr>
          <w:p>
            <w:pPr>
              <w:spacing w:after="0"/>
              <w:rPr>
                <w:sz w:val="13"/>
                <w:szCs w:val="13"/>
                <w:color w:val="auto"/>
              </w:rPr>
            </w:pPr>
          </w:p>
        </w:tc>
        <w:tc>
          <w:tcPr>
            <w:tcW w:w="1360" w:type="dxa"/>
            <w:vAlign w:val="bottom"/>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88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8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2025</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2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420" w:type="dxa"/>
            <w:vAlign w:val="bottom"/>
            <w:gridSpan w:val="2"/>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400" w:type="dxa"/>
            <w:vAlign w:val="bottom"/>
          </w:tcPr>
          <w:p>
            <w:pPr>
              <w:spacing w:after="0"/>
              <w:rPr>
                <w:sz w:val="13"/>
                <w:szCs w:val="13"/>
                <w:color w:val="auto"/>
              </w:rPr>
            </w:pPr>
          </w:p>
        </w:tc>
        <w:tc>
          <w:tcPr>
            <w:tcW w:w="1360" w:type="dxa"/>
            <w:vAlign w:val="bottom"/>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88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38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 2024</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2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420" w:type="dxa"/>
            <w:vAlign w:val="bottom"/>
            <w:gridSpan w:val="2"/>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400" w:type="dxa"/>
            <w:vAlign w:val="bottom"/>
          </w:tcPr>
          <w:p>
            <w:pPr>
              <w:spacing w:after="0"/>
              <w:rPr>
                <w:sz w:val="13"/>
                <w:szCs w:val="13"/>
                <w:color w:val="auto"/>
              </w:rPr>
            </w:pPr>
          </w:p>
        </w:tc>
        <w:tc>
          <w:tcPr>
            <w:tcW w:w="1360" w:type="dxa"/>
            <w:vAlign w:val="bottom"/>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88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1,906</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1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2"/>
        </w:trPr>
        <w:tc>
          <w:tcPr>
            <w:tcW w:w="3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38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2024</w:t>
            </w: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220" w:type="dxa"/>
            <w:vAlign w:val="bottom"/>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420" w:type="dxa"/>
            <w:vAlign w:val="bottom"/>
            <w:gridSpan w:val="2"/>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400" w:type="dxa"/>
            <w:vAlign w:val="bottom"/>
          </w:tcPr>
          <w:p>
            <w:pPr>
              <w:spacing w:after="0"/>
              <w:rPr>
                <w:sz w:val="13"/>
                <w:szCs w:val="13"/>
                <w:color w:val="auto"/>
              </w:rPr>
            </w:pPr>
          </w:p>
        </w:tc>
        <w:tc>
          <w:tcPr>
            <w:tcW w:w="1360" w:type="dxa"/>
            <w:vAlign w:val="bottom"/>
            <w:vMerge w:val="restart"/>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88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2"/>
        </w:trPr>
        <w:tc>
          <w:tcPr>
            <w:tcW w:w="3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4,525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Primarily consists of income from ARPs and leases.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900" w:type="dxa"/>
            <w:vAlign w:val="bottom"/>
          </w:tcPr>
          <w:p>
            <w:pPr>
              <w:spacing w:after="0"/>
              <w:rPr>
                <w:sz w:val="17"/>
                <w:szCs w:val="17"/>
                <w:color w:val="auto"/>
              </w:rPr>
            </w:pPr>
          </w:p>
        </w:tc>
        <w:tc>
          <w:tcPr>
            <w:tcW w:w="11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3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r>
      <w:tr>
        <w:trPr>
          <w:trHeight w:val="21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2"/>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Primarily consists of income from ARPs and leases.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900" w:type="dxa"/>
            <w:vAlign w:val="bottom"/>
          </w:tcPr>
          <w:p>
            <w:pPr>
              <w:spacing w:after="0"/>
              <w:rPr>
                <w:sz w:val="17"/>
                <w:szCs w:val="17"/>
                <w:color w:val="auto"/>
              </w:rPr>
            </w:pPr>
          </w:p>
        </w:tc>
        <w:tc>
          <w:tcPr>
            <w:tcW w:w="1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3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40" w:type="dxa"/>
            <w:vAlign w:val="bottom"/>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2,167</w:t>
            </w:r>
          </w:p>
        </w:tc>
      </w:tr>
      <w:tr>
        <w:trPr>
          <w:trHeight w:val="21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r>
      <w:tr>
        <w:trPr>
          <w:trHeight w:val="232"/>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40" w:type="dxa"/>
            <w:vAlign w:val="bottom"/>
            <w:tcBorders>
              <w:bottom w:val="single" w:sz="8" w:color="auto"/>
            </w:tcBorders>
            <w:shd w:val="clear" w:color="auto" w:fill="CCEEFF"/>
          </w:tcPr>
          <w:p>
            <w:pPr>
              <w:jc w:val="right"/>
              <w:ind w:right="10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Primarily consists of income from ARPs and leases.</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21F1F"/>
        </w:rPr>
        <w:t>The opening and closing balances of accounts receivable and accrued unbilled revenues from contracts with customers are as follows: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Accounts Receivable (1)</w:t>
            </w:r>
          </w:p>
        </w:tc>
        <w:tc>
          <w:tcPr>
            <w:tcW w:w="180" w:type="dxa"/>
            <w:vAlign w:val="bottom"/>
          </w:tcPr>
          <w:p>
            <w:pPr>
              <w:spacing w:after="0"/>
              <w:rPr>
                <w:sz w:val="16"/>
                <w:szCs w:val="16"/>
                <w:color w:val="auto"/>
              </w:rPr>
            </w:pPr>
          </w:p>
        </w:tc>
        <w:tc>
          <w:tcPr>
            <w:tcW w:w="156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Accrued Unbilled</w:t>
            </w: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184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0" w:type="dxa"/>
            <w:vAlign w:val="bottom"/>
          </w:tcPr>
          <w:p>
            <w:pPr>
              <w:spacing w:after="0"/>
              <w:rPr>
                <w:sz w:val="1"/>
                <w:szCs w:val="1"/>
                <w:color w:val="auto"/>
              </w:rPr>
            </w:pPr>
          </w:p>
        </w:tc>
      </w:tr>
      <w:tr>
        <w:trPr>
          <w:trHeight w:val="205"/>
        </w:trPr>
        <w:tc>
          <w:tcPr>
            <w:tcW w:w="7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4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 balance as of December 31, 2024</w:t>
            </w:r>
          </w:p>
        </w:tc>
        <w:tc>
          <w:tcPr>
            <w:tcW w:w="74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center"/>
              <w:ind w:left="1121"/>
              <w:spacing w:after="0"/>
              <w:rPr>
                <w:sz w:val="20"/>
                <w:szCs w:val="20"/>
                <w:color w:val="auto"/>
              </w:rPr>
            </w:pPr>
            <w:r>
              <w:rPr>
                <w:rFonts w:ascii="Times New Roman" w:cs="Times New Roman" w:eastAsia="Times New Roman" w:hAnsi="Times New Roman"/>
                <w:sz w:val="16"/>
                <w:szCs w:val="16"/>
                <w:color w:val="auto"/>
                <w:w w:val="99"/>
              </w:rPr>
              <w:t>521</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Closing balance as of June 30, 2025</w:t>
            </w: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1121"/>
              <w:spacing w:after="0"/>
              <w:rPr>
                <w:sz w:val="20"/>
                <w:szCs w:val="20"/>
                <w:color w:val="auto"/>
              </w:rPr>
            </w:pPr>
            <w:r>
              <w:rPr>
                <w:rFonts w:ascii="Times New Roman" w:cs="Times New Roman" w:eastAsia="Times New Roman" w:hAnsi="Times New Roman"/>
                <w:sz w:val="16"/>
                <w:szCs w:val="16"/>
                <w:color w:val="auto"/>
                <w:w w:val="99"/>
              </w:rPr>
              <w:t>342</w:t>
            </w:r>
          </w:p>
        </w:tc>
        <w:tc>
          <w:tcPr>
            <w:tcW w:w="0" w:type="dxa"/>
            <w:vAlign w:val="bottom"/>
          </w:tcPr>
          <w:p>
            <w:pPr>
              <w:spacing w:after="0"/>
              <w:rPr>
                <w:sz w:val="1"/>
                <w:szCs w:val="1"/>
                <w:color w:val="auto"/>
              </w:rPr>
            </w:pPr>
          </w:p>
        </w:tc>
      </w:tr>
      <w:tr>
        <w:trPr>
          <w:trHeight w:val="232"/>
        </w:trPr>
        <w:tc>
          <w:tcPr>
            <w:tcW w:w="7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w:t>
            </w:r>
          </w:p>
        </w:tc>
        <w:tc>
          <w:tcPr>
            <w:tcW w:w="74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center"/>
              <w:ind w:left="1101"/>
              <w:spacing w:after="0"/>
              <w:rPr>
                <w:sz w:val="20"/>
                <w:szCs w:val="20"/>
                <w:color w:val="auto"/>
              </w:rPr>
            </w:pPr>
            <w:r>
              <w:rPr>
                <w:rFonts w:ascii="Times New Roman" w:cs="Times New Roman" w:eastAsia="Times New Roman" w:hAnsi="Times New Roman"/>
                <w:sz w:val="16"/>
                <w:szCs w:val="16"/>
                <w:color w:val="auto"/>
                <w:w w:val="97"/>
              </w:rPr>
              <w:t>(179)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left="640" w:hanging="316"/>
        <w:spacing w:after="0" w:line="259" w:lineRule="auto"/>
        <w:tabs>
          <w:tab w:leader="none" w:pos="6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balances related to customer or vendor cost reimbursements and insurance that are not attributable to revenues from contracts with customers. The opening balance as of December 31, 2024 also excludes receivables associated with the sale of CERC Corp.’s Louisiana and Mississippi natural gas LDC businesses.</w:t>
      </w:r>
    </w:p>
    <w:p>
      <w:pPr>
        <w:sectPr>
          <w:pgSz w:w="11900" w:h="16838" w:orient="portrait"/>
          <w:cols w:equalWidth="0" w:num="1">
            <w:col w:w="11240"/>
          </w:cols>
          <w:pgMar w:left="320" w:top="119" w:right="3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Opening balance as of December 31, 2024</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Closing balance as of June 30, 2025</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Accounts Receivable (1)</w:t>
            </w:r>
          </w:p>
        </w:tc>
        <w:tc>
          <w:tcPr>
            <w:tcW w:w="200" w:type="dxa"/>
            <w:vAlign w:val="bottom"/>
          </w:tcPr>
          <w:p>
            <w:pPr>
              <w:spacing w:after="0"/>
              <w:rPr>
                <w:sz w:val="16"/>
                <w:szCs w:val="16"/>
                <w:color w:val="auto"/>
              </w:rPr>
            </w:pPr>
          </w:p>
        </w:tc>
        <w:tc>
          <w:tcPr>
            <w:tcW w:w="15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Accrued Unbilled</w:t>
            </w:r>
          </w:p>
        </w:tc>
        <w:tc>
          <w:tcPr>
            <w:tcW w:w="0" w:type="dxa"/>
            <w:vAlign w:val="bottom"/>
          </w:tcPr>
          <w:p>
            <w:pPr>
              <w:spacing w:after="0"/>
              <w:rPr>
                <w:sz w:val="1"/>
                <w:szCs w:val="1"/>
                <w:color w:val="auto"/>
              </w:rPr>
            </w:pPr>
          </w:p>
        </w:tc>
      </w:tr>
      <w:tr>
        <w:trPr>
          <w:trHeight w:val="211"/>
        </w:trPr>
        <w:tc>
          <w:tcPr>
            <w:tcW w:w="184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04"/>
        </w:trPr>
        <w:tc>
          <w:tcPr>
            <w:tcW w:w="740" w:type="dxa"/>
            <w:vAlign w:val="bottom"/>
          </w:tcPr>
          <w:p>
            <w:pPr>
              <w:spacing w:after="0"/>
              <w:rPr>
                <w:sz w:val="17"/>
                <w:szCs w:val="17"/>
                <w:color w:val="auto"/>
              </w:rPr>
            </w:pPr>
          </w:p>
        </w:tc>
        <w:tc>
          <w:tcPr>
            <w:tcW w:w="2860" w:type="dxa"/>
            <w:vAlign w:val="bottom"/>
            <w:gridSpan w:val="4"/>
          </w:tcPr>
          <w:p>
            <w:pPr>
              <w:jc w:val="right"/>
              <w:ind w:right="132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9"/>
        </w:trPr>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5"/>
        </w:trPr>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6"/>
        </w:trPr>
        <w:tc>
          <w:tcPr>
            <w:tcW w:w="7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2"/>
        </w:trPr>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-4826000</wp:posOffset>
            </wp:positionH>
            <wp:positionV relativeFrom="paragraph">
              <wp:posOffset>-445135</wp:posOffset>
            </wp:positionV>
            <wp:extent cx="7117715"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7715" cy="13462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-175895</wp:posOffset>
            </wp:positionV>
            <wp:extent cx="7117715" cy="160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19" w:right="339" w:bottom="1440" w:gutter="0" w:footer="0" w:header="0"/>
          <w:type w:val="continuous"/>
        </w:sectPr>
      </w:pPr>
    </w:p>
    <w:p>
      <w:pPr>
        <w:spacing w:after="0" w:line="113" w:lineRule="exact"/>
        <w:rPr>
          <w:sz w:val="20"/>
          <w:szCs w:val="20"/>
          <w:color w:val="auto"/>
        </w:rPr>
      </w:pPr>
    </w:p>
    <w:p>
      <w:pPr>
        <w:ind w:left="640" w:hanging="316"/>
        <w:spacing w:after="0" w:line="274"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balances related to customer or vendor cost reimbursements and insurance that are not attributable to revenues from contracts with customers.</w:t>
      </w:r>
    </w:p>
    <w:p>
      <w:pPr>
        <w:sectPr>
          <w:pgSz w:w="11900" w:h="16838" w:orient="portrait"/>
          <w:cols w:equalWidth="0" w:num="1">
            <w:col w:w="11240"/>
          </w:cols>
          <w:pgMar w:left="320" w:top="119"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Opening balance as of December 31, 2024</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Closing balance as of June 30, 2025</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Accounts Receivable (1)</w:t>
            </w:r>
          </w:p>
        </w:tc>
        <w:tc>
          <w:tcPr>
            <w:tcW w:w="180" w:type="dxa"/>
            <w:vAlign w:val="bottom"/>
          </w:tcPr>
          <w:p>
            <w:pPr>
              <w:spacing w:after="0"/>
              <w:rPr>
                <w:sz w:val="16"/>
                <w:szCs w:val="16"/>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Accrued Unbilled</w:t>
            </w:r>
          </w:p>
        </w:tc>
        <w:tc>
          <w:tcPr>
            <w:tcW w:w="0" w:type="dxa"/>
            <w:vAlign w:val="bottom"/>
          </w:tcPr>
          <w:p>
            <w:pPr>
              <w:spacing w:after="0"/>
              <w:rPr>
                <w:sz w:val="1"/>
                <w:szCs w:val="1"/>
                <w:color w:val="auto"/>
              </w:rPr>
            </w:pPr>
          </w:p>
        </w:tc>
      </w:tr>
      <w:tr>
        <w:trPr>
          <w:trHeight w:val="211"/>
        </w:trPr>
        <w:tc>
          <w:tcPr>
            <w:tcW w:w="186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28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0"/>
        </w:trPr>
        <w:tc>
          <w:tcPr>
            <w:tcW w:w="76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center"/>
              <w:ind w:left="1121"/>
              <w:spacing w:after="0"/>
              <w:rPr>
                <w:sz w:val="20"/>
                <w:szCs w:val="20"/>
                <w:color w:val="auto"/>
              </w:rPr>
            </w:pPr>
            <w:r>
              <w:rPr>
                <w:rFonts w:ascii="Times New Roman" w:cs="Times New Roman" w:eastAsia="Times New Roman" w:hAnsi="Times New Roman"/>
                <w:sz w:val="16"/>
                <w:szCs w:val="16"/>
                <w:color w:val="auto"/>
                <w:w w:val="91"/>
              </w:rPr>
              <w:t>338</w:t>
            </w:r>
          </w:p>
        </w:tc>
        <w:tc>
          <w:tcPr>
            <w:tcW w:w="0" w:type="dxa"/>
            <w:vAlign w:val="bottom"/>
          </w:tcPr>
          <w:p>
            <w:pPr>
              <w:spacing w:after="0"/>
              <w:rPr>
                <w:sz w:val="1"/>
                <w:szCs w:val="1"/>
                <w:color w:val="auto"/>
              </w:rPr>
            </w:pPr>
          </w:p>
        </w:tc>
      </w:tr>
      <w:tr>
        <w:trPr>
          <w:trHeight w:val="215"/>
        </w:trPr>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1121"/>
              <w:spacing w:after="0"/>
              <w:rPr>
                <w:sz w:val="20"/>
                <w:szCs w:val="20"/>
                <w:color w:val="auto"/>
              </w:rPr>
            </w:pPr>
            <w:r>
              <w:rPr>
                <w:rFonts w:ascii="Times New Roman" w:cs="Times New Roman" w:eastAsia="Times New Roman" w:hAnsi="Times New Roman"/>
                <w:sz w:val="16"/>
                <w:szCs w:val="16"/>
                <w:color w:val="auto"/>
                <w:w w:val="91"/>
              </w:rPr>
              <w:t>121</w:t>
            </w:r>
          </w:p>
        </w:tc>
        <w:tc>
          <w:tcPr>
            <w:tcW w:w="0" w:type="dxa"/>
            <w:vAlign w:val="bottom"/>
          </w:tcPr>
          <w:p>
            <w:pPr>
              <w:spacing w:after="0"/>
              <w:rPr>
                <w:sz w:val="1"/>
                <w:szCs w:val="1"/>
                <w:color w:val="auto"/>
              </w:rPr>
            </w:pPr>
          </w:p>
        </w:tc>
      </w:tr>
      <w:tr>
        <w:trPr>
          <w:trHeight w:val="206"/>
        </w:trPr>
        <w:tc>
          <w:tcPr>
            <w:tcW w:w="76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center"/>
              <w:ind w:left="1081"/>
              <w:spacing w:after="0"/>
              <w:rPr>
                <w:sz w:val="20"/>
                <w:szCs w:val="20"/>
                <w:color w:val="auto"/>
              </w:rPr>
            </w:pPr>
            <w:r>
              <w:rPr>
                <w:rFonts w:ascii="Times New Roman" w:cs="Times New Roman" w:eastAsia="Times New Roman" w:hAnsi="Times New Roman"/>
                <w:sz w:val="16"/>
                <w:szCs w:val="16"/>
                <w:color w:val="auto"/>
                <w:w w:val="97"/>
              </w:rPr>
              <w:t>(217)</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-445135</wp:posOffset>
            </wp:positionV>
            <wp:extent cx="702564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5640" cy="134620"/>
                    </a:xfrm>
                    <a:prstGeom prst="rect">
                      <a:avLst/>
                    </a:prstGeom>
                    <a:noFill/>
                  </pic:spPr>
                </pic:pic>
              </a:graphicData>
            </a:graphic>
          </wp:anchor>
        </w:drawing>
        <w:drawing>
          <wp:anchor simplePos="0" relativeHeight="251657728" behindDoc="1" locked="0" layoutInCell="0" allowOverlap="1">
            <wp:simplePos x="0" y="0"/>
            <wp:positionH relativeFrom="column">
              <wp:posOffset>-4724400</wp:posOffset>
            </wp:positionH>
            <wp:positionV relativeFrom="paragraph">
              <wp:posOffset>-175895</wp:posOffset>
            </wp:positionV>
            <wp:extent cx="7025640" cy="160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5640"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700"/>
          </w:cols>
          <w:pgMar w:left="320" w:top="119" w:right="339" w:bottom="1440" w:gutter="0" w:footer="0" w:header="0"/>
          <w:type w:val="continuous"/>
        </w:sectPr>
      </w:pPr>
    </w:p>
    <w:p>
      <w:pPr>
        <w:spacing w:after="0" w:line="113" w:lineRule="exact"/>
        <w:rPr>
          <w:sz w:val="20"/>
          <w:szCs w:val="20"/>
          <w:color w:val="auto"/>
        </w:rPr>
      </w:pPr>
    </w:p>
    <w:p>
      <w:pPr>
        <w:jc w:val="both"/>
        <w:ind w:left="640" w:hanging="316"/>
        <w:spacing w:after="0" w:line="259"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balances related to customer or vendor cost reimbursements and insurance that are not attributable to revenues from contracts with customers. The opening balance as of December 31, 2024 also excludes receivables associated with the sale of CERC Corp.’s Louisiana and Mississippi natural gas LDC businesses.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(CenterPoint Energy)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920" w:type="dxa"/>
            <w:vAlign w:val="bottom"/>
          </w:tcPr>
          <w:p>
            <w:pPr>
              <w:spacing w:after="0"/>
              <w:rPr>
                <w:sz w:val="17"/>
                <w:szCs w:val="17"/>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3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 (1)</w:t>
            </w:r>
          </w:p>
        </w:tc>
        <w:tc>
          <w:tcPr>
            <w:tcW w:w="1260" w:type="dxa"/>
            <w:vAlign w:val="bottom"/>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w w:val="99"/>
              </w:rPr>
              <w:t>12</w:t>
            </w: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(2)</w:t>
            </w:r>
          </w:p>
        </w:tc>
        <w:tc>
          <w:tcPr>
            <w:tcW w:w="1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center"/>
              <w:ind w:left="841"/>
              <w:spacing w:after="0"/>
              <w:rPr>
                <w:sz w:val="20"/>
                <w:szCs w:val="20"/>
                <w:color w:val="auto"/>
              </w:rPr>
            </w:pPr>
            <w:r>
              <w:rPr>
                <w:rFonts w:ascii="Times New Roman" w:cs="Times New Roman" w:eastAsia="Times New Roman" w:hAnsi="Times New Roman"/>
                <w:sz w:val="16"/>
                <w:szCs w:val="16"/>
                <w:color w:val="auto"/>
                <w:w w:val="99"/>
              </w:rPr>
              <w:t>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center"/>
              <w:ind w:left="981"/>
              <w:spacing w:after="0"/>
              <w:rPr>
                <w:sz w:val="20"/>
                <w:szCs w:val="20"/>
                <w:color w:val="auto"/>
              </w:rPr>
            </w:pPr>
            <w:r>
              <w:rPr>
                <w:rFonts w:ascii="Times New Roman" w:cs="Times New Roman" w:eastAsia="Times New Roman" w:hAnsi="Times New Roman"/>
                <w:sz w:val="16"/>
                <w:szCs w:val="16"/>
                <w:color w:val="auto"/>
                <w:w w:val="99"/>
              </w:rPr>
              <w:t>37</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 (2)</w:t>
            </w: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21"/>
              <w:spacing w:after="0"/>
              <w:rPr>
                <w:sz w:val="20"/>
                <w:szCs w:val="20"/>
                <w:color w:val="auto"/>
              </w:rPr>
            </w:pPr>
            <w:r>
              <w:rPr>
                <w:rFonts w:ascii="Times New Roman" w:cs="Times New Roman" w:eastAsia="Times New Roman" w:hAnsi="Times New Roman"/>
                <w:sz w:val="16"/>
                <w:szCs w:val="16"/>
                <w:color w:val="auto"/>
                <w:w w:val="97"/>
              </w:rPr>
              <w:t>(40)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61"/>
              <w:spacing w:after="0"/>
              <w:rPr>
                <w:sz w:val="20"/>
                <w:szCs w:val="20"/>
                <w:color w:val="auto"/>
              </w:rPr>
            </w:pPr>
            <w:r>
              <w:rPr>
                <w:rFonts w:ascii="Times New Roman" w:cs="Times New Roman" w:eastAsia="Times New Roman" w:hAnsi="Times New Roman"/>
                <w:sz w:val="16"/>
                <w:szCs w:val="16"/>
                <w:color w:val="auto"/>
                <w:w w:val="97"/>
              </w:rPr>
              <w:t>(37)</w:t>
            </w:r>
          </w:p>
        </w:tc>
      </w:tr>
      <w:tr>
        <w:trPr>
          <w:trHeight w:val="21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net loss (2)</w:t>
            </w: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841"/>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981"/>
              <w:spacing w:after="0"/>
              <w:rPr>
                <w:sz w:val="20"/>
                <w:szCs w:val="20"/>
                <w:color w:val="auto"/>
              </w:rPr>
            </w:pPr>
            <w:r>
              <w:rPr>
                <w:rFonts w:ascii="Times New Roman" w:cs="Times New Roman" w:eastAsia="Times New Roman" w:hAnsi="Times New Roman"/>
                <w:sz w:val="16"/>
                <w:szCs w:val="16"/>
                <w:color w:val="auto"/>
                <w:w w:val="99"/>
              </w:rPr>
              <w:t>14</w:t>
            </w:r>
          </w:p>
        </w:tc>
      </w:tr>
      <w:tr>
        <w:trPr>
          <w:trHeight w:val="232"/>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periodic cost</w:t>
            </w:r>
          </w:p>
        </w:tc>
        <w:tc>
          <w:tcPr>
            <w:tcW w:w="1260" w:type="dxa"/>
            <w:vAlign w:val="bottom"/>
            <w:tcBorders>
              <w:bottom w:val="single" w:sz="8" w:color="auto"/>
            </w:tcBorders>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center"/>
              <w:ind w:left="841"/>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w w:val="99"/>
              </w:rPr>
              <w:t>26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640" w:hanging="316"/>
        <w:spacing w:after="0" w:line="257" w:lineRule="auto"/>
        <w:tabs>
          <w:tab w:leader="none" w:pos="6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Operation and maintenance expense in CenterPoint Energy’s Condensed Statements of Consolidated Income, net of amounts capitalized and regulatory deferrals.</w:t>
      </w: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net in CenterPoint Energy’s Condensed Statements of Consolidated Income, net of regulatory deferrals.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8"/>
              </w:rPr>
              <w:t>CenterPoint</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1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9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 (2)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 (credit) (2)</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loss (2)</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periodic cost (benefit)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8"/>
              </w:rPr>
              <w:t>CenterPoint</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1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9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 (2)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 (credit) (2)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loss (2)</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periodic cost (benefit)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640" w:hanging="316"/>
        <w:spacing w:after="0" w:line="257"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Operation and maintenance expense in each of the Registrants’ respective Condensed Statements of Consolidated Income, net of amounts capitalized and regulatory deferrals.</w:t>
      </w:r>
    </w:p>
    <w:p>
      <w:pPr>
        <w:ind w:left="640" w:right="20" w:hanging="316"/>
        <w:spacing w:after="0" w:line="251"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(expense), net in each of the Registrants’ respective Condensed Statements of Consolidated Income, net of regulatory deferrals.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expected contributions to be made to the pension and postretirement benefit plans during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Houston Electric</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contributions to pension plans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Expected contributions to postretirement benefit plans</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525"/>
        </w:trPr>
        <w:tc>
          <w:tcPr>
            <w:tcW w:w="9700" w:type="dxa"/>
            <w:vAlign w:val="bottom"/>
            <w:gridSpan w:val="13"/>
          </w:tcPr>
          <w:p>
            <w:pPr>
              <w:jc w:val="right"/>
              <w:ind w:right="475"/>
              <w:spacing w:after="0"/>
              <w:rPr>
                <w:sz w:val="20"/>
                <w:szCs w:val="20"/>
                <w:color w:val="auto"/>
              </w:rPr>
            </w:pPr>
            <w:r>
              <w:rPr>
                <w:rFonts w:ascii="Times New Roman" w:cs="Times New Roman" w:eastAsia="Times New Roman" w:hAnsi="Times New Roman"/>
                <w:sz w:val="18"/>
                <w:szCs w:val="18"/>
                <w:color w:val="auto"/>
              </w:rPr>
              <w:t>The table below reflects the contributions made to the pension and postretirement benefit plans during the periods presented:</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center"/>
              <w:ind w:left="117"/>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 2025</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575"/>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2025</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17"/>
              <w:spacing w:after="0" w:line="155"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980" w:type="dxa"/>
            <w:vAlign w:val="bottom"/>
          </w:tcPr>
          <w:p>
            <w:pPr>
              <w:jc w:val="center"/>
              <w:ind w:right="156"/>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8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w w:val="96"/>
              </w:rPr>
              <w:t>CERC</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980" w:type="dxa"/>
            <w:vAlign w:val="bottom"/>
          </w:tcPr>
          <w:p>
            <w:pPr>
              <w:jc w:val="center"/>
              <w:ind w:left="275"/>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540" w:type="dxa"/>
            <w:vAlign w:val="bottom"/>
          </w:tcPr>
          <w:p>
            <w:pPr>
              <w:spacing w:after="0"/>
              <w:rPr>
                <w:sz w:val="13"/>
                <w:szCs w:val="13"/>
                <w:color w:val="auto"/>
              </w:rPr>
            </w:pPr>
          </w:p>
        </w:tc>
        <w:tc>
          <w:tcPr>
            <w:tcW w:w="100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88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left="201"/>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14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Pr>
          <w:p>
            <w:pPr>
              <w:spacing w:after="0"/>
              <w:rPr>
                <w:sz w:val="20"/>
                <w:szCs w:val="20"/>
                <w:color w:val="auto"/>
              </w:rPr>
            </w:pPr>
          </w:p>
        </w:tc>
        <w:tc>
          <w:tcPr>
            <w:tcW w:w="5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Regulatory Matters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Return</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81"/>
              <w:spacing w:after="0" w:line="155" w:lineRule="exact"/>
              <w:rPr>
                <w:sz w:val="20"/>
                <w:szCs w:val="20"/>
                <w:color w:val="auto"/>
              </w:rPr>
            </w:pPr>
            <w:r>
              <w:rPr>
                <w:rFonts w:ascii="Times New Roman" w:cs="Times New Roman" w:eastAsia="Times New Roman" w:hAnsi="Times New Roman"/>
                <w:sz w:val="16"/>
                <w:szCs w:val="16"/>
                <w:b w:val="1"/>
                <w:bCs w:val="1"/>
                <w:color w:val="auto"/>
                <w:w w:val="98"/>
              </w:rPr>
              <w:t>CenterPoint</w:t>
            </w:r>
          </w:p>
        </w:tc>
        <w:tc>
          <w:tcPr>
            <w:tcW w:w="180" w:type="dxa"/>
            <w:vAlign w:val="bottom"/>
          </w:tcPr>
          <w:p>
            <w:pPr>
              <w:spacing w:after="0"/>
              <w:rPr>
                <w:sz w:val="13"/>
                <w:szCs w:val="13"/>
                <w:color w:val="auto"/>
              </w:rPr>
            </w:pPr>
          </w:p>
        </w:tc>
        <w:tc>
          <w:tcPr>
            <w:tcW w:w="1080" w:type="dxa"/>
            <w:vAlign w:val="bottom"/>
          </w:tcPr>
          <w:p>
            <w:pPr>
              <w:jc w:val="center"/>
              <w:ind w:right="61"/>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 (3)</w:t>
            </w:r>
          </w:p>
        </w:tc>
        <w:tc>
          <w:tcPr>
            <w:tcW w:w="120" w:type="dxa"/>
            <w:vAlign w:val="bottom"/>
          </w:tcPr>
          <w:p>
            <w:pPr>
              <w:spacing w:after="0"/>
              <w:rPr>
                <w:sz w:val="13"/>
                <w:szCs w:val="13"/>
                <w:color w:val="auto"/>
              </w:rPr>
            </w:pPr>
          </w:p>
        </w:tc>
        <w:tc>
          <w:tcPr>
            <w:tcW w:w="1020" w:type="dxa"/>
            <w:vAlign w:val="bottom"/>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CERC (3)</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Energy (1)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Electric (2)</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Energy (1)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Electric (2)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equity return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640" w:right="20" w:hanging="316"/>
        <w:spacing w:after="0" w:line="257"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amounts described in (2) and (3) below, represents CenterPoint Energy’s allowed equity return on post in-service carrying cost generally associated with investments at SIGECO.</w:t>
      </w: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Houston Electric’s allowed equity return on TEEEF costs and certain storm restoration balances.</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CERC’s allowed equity return on post in-service carrying cost associated with certain distribution facilities replacement expenditures in Texas and Indiana Gas.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amount of allowed equity return recognized by each Registrant in its Condensed Statements of Consolidated Income: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81"/>
              <w:spacing w:after="0" w:line="154" w:lineRule="exact"/>
              <w:rPr>
                <w:sz w:val="20"/>
                <w:szCs w:val="20"/>
                <w:color w:val="auto"/>
              </w:rPr>
            </w:pPr>
            <w:r>
              <w:rPr>
                <w:rFonts w:ascii="Times New Roman" w:cs="Times New Roman" w:eastAsia="Times New Roman" w:hAnsi="Times New Roman"/>
                <w:sz w:val="16"/>
                <w:szCs w:val="16"/>
                <w:b w:val="1"/>
                <w:bCs w:val="1"/>
                <w:color w:val="auto"/>
                <w:w w:val="98"/>
              </w:rPr>
              <w:t>CenterPoint</w:t>
            </w:r>
          </w:p>
        </w:tc>
        <w:tc>
          <w:tcPr>
            <w:tcW w:w="260" w:type="dxa"/>
            <w:vAlign w:val="bottom"/>
          </w:tcPr>
          <w:p>
            <w:pPr>
              <w:spacing w:after="0"/>
              <w:rPr>
                <w:sz w:val="13"/>
                <w:szCs w:val="13"/>
                <w:color w:val="auto"/>
              </w:rPr>
            </w:pPr>
          </w:p>
        </w:tc>
        <w:tc>
          <w:tcPr>
            <w:tcW w:w="1000" w:type="dxa"/>
            <w:vAlign w:val="bottom"/>
          </w:tcPr>
          <w:p>
            <w:pPr>
              <w:jc w:val="center"/>
              <w:ind w:right="14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060" w:type="dxa"/>
            <w:vAlign w:val="bottom"/>
          </w:tcPr>
          <w:p>
            <w:pPr>
              <w:jc w:val="center"/>
              <w:ind w:right="61"/>
              <w:spacing w:after="0" w:line="154"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1000" w:type="dxa"/>
            <w:vAlign w:val="bottom"/>
          </w:tcPr>
          <w:p>
            <w:pPr>
              <w:jc w:val="center"/>
              <w:ind w:right="14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300" w:type="dxa"/>
            <w:vAlign w:val="bottom"/>
          </w:tcPr>
          <w:p>
            <w:pPr>
              <w:spacing w:after="0"/>
              <w:rPr>
                <w:sz w:val="13"/>
                <w:szCs w:val="13"/>
                <w:color w:val="auto"/>
              </w:rPr>
            </w:pPr>
          </w:p>
        </w:tc>
        <w:tc>
          <w:tcPr>
            <w:tcW w:w="9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4"/>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21"/>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81"/>
              <w:spacing w:after="0" w:line="154" w:lineRule="exact"/>
              <w:rPr>
                <w:sz w:val="20"/>
                <w:szCs w:val="20"/>
                <w:color w:val="auto"/>
              </w:rPr>
            </w:pPr>
            <w:r>
              <w:rPr>
                <w:rFonts w:ascii="Times New Roman" w:cs="Times New Roman" w:eastAsia="Times New Roman" w:hAnsi="Times New Roman"/>
                <w:sz w:val="16"/>
                <w:szCs w:val="16"/>
                <w:b w:val="1"/>
                <w:bCs w:val="1"/>
                <w:color w:val="auto"/>
                <w:w w:val="98"/>
              </w:rPr>
              <w:t>CenterPoint</w:t>
            </w:r>
          </w:p>
        </w:tc>
        <w:tc>
          <w:tcPr>
            <w:tcW w:w="260" w:type="dxa"/>
            <w:vAlign w:val="bottom"/>
          </w:tcPr>
          <w:p>
            <w:pPr>
              <w:spacing w:after="0"/>
              <w:rPr>
                <w:sz w:val="13"/>
                <w:szCs w:val="13"/>
                <w:color w:val="auto"/>
              </w:rPr>
            </w:pPr>
          </w:p>
        </w:tc>
        <w:tc>
          <w:tcPr>
            <w:tcW w:w="1000" w:type="dxa"/>
            <w:vAlign w:val="bottom"/>
          </w:tcPr>
          <w:p>
            <w:pPr>
              <w:jc w:val="center"/>
              <w:ind w:right="14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060" w:type="dxa"/>
            <w:vAlign w:val="bottom"/>
          </w:tcPr>
          <w:p>
            <w:pPr>
              <w:jc w:val="center"/>
              <w:ind w:right="61"/>
              <w:spacing w:after="0" w:line="154"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1000" w:type="dxa"/>
            <w:vAlign w:val="bottom"/>
          </w:tcPr>
          <w:p>
            <w:pPr>
              <w:jc w:val="center"/>
              <w:ind w:right="14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300" w:type="dxa"/>
            <w:vAlign w:val="bottom"/>
          </w:tcPr>
          <w:p>
            <w:pPr>
              <w:spacing w:after="0"/>
              <w:rPr>
                <w:sz w:val="13"/>
                <w:szCs w:val="13"/>
                <w:color w:val="auto"/>
              </w:rPr>
            </w:pPr>
          </w:p>
        </w:tc>
        <w:tc>
          <w:tcPr>
            <w:tcW w:w="94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February 2021 Winter Storm Event</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Louisiana and Texas, and continue to recover the natural gas cost in Minnesota. As of June 30, 2025, CenterPoint Energy and CERC had each recorded current regulatory assets of $67 million and non-current regulatory assets of $30 million associated with the February 2021 Winter Storm Event. As of December 31, 2024, CenterPoint Energy and CERC had each recorded current regulatory assets of $67 million and non-current regulatory assets of $67 million associated with the February 2021 Winter Storm Event.</w:t>
      </w:r>
    </w:p>
    <w:p>
      <w:pPr>
        <w:spacing w:after="0" w:line="21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June 30, 2025 and December 31, 2024, as authorized by the PUCT, each of CenterPoint Energy and Houston Electric had recorded a regulatory asset of $8 million for bad debt expenses resulting from REPs’ default on their obligation to pay delivery charges to Houston Electric net of collateral. Additionally, each of CenterPoint Energy and Houston Electric had recorded a regulatory asset of $19 million and $19 million as of June 30, 2025 and December 31, 2024, respectively, for reimbursement of costs associated with the February 2021 Winter Storm Event that are being amortized over five years beginning April 28, 2025, which is the date that rates became effective following the PUCT’s final order in the Houston Electric rate case.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11(d) for further information regarding litigation related to the February 2021 Winter Storm Event.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Texas Public Securitization</w:t>
      </w:r>
    </w:p>
    <w:p>
      <w:pPr>
        <w:spacing w:after="0" w:line="24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As CenterPoint Energy and CERC have no future financial obligations for the repayment of the state’s customer rate relief bonds, the customer rate relief bonds are not recorded on CenterPoint Energy’s or CERC’s balance sheets. The $1.1 billion in cash proceeds from the state’s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Condensed Statements of Consolidated Income of CenterPoint Energy or CERC.</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Indiana Electric Securitization of Generation Retirements (CenterPoint Energy)</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January 4, 2023, the IURC issued an order in accordance with Indiana Senate Enrolled Act 386 authorizing the issuance of up to $350 million in</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securitization bonds to securitize qualified costs associated with the retirements of Indiana Electric’s A.B. Brown coal-fired generation facilities. The SIGECO Securitization Subsidiary issued $341 million aggregate principal amount of the SIGECO Securitization Bonds on June 29, 2023 and used a portion of the net proceeds from the issuance of the SIGECO Securitization Bonds to purchase the securitization property from SIGECO. No gain or loss was recognized.</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SIGECO Securitization Bonds are secured by the securitization property, which includes the right to recover, through non-bypassable securitization charges payable by SIGECO’s retail electric customers, the qualified costs of SIGECO authorized by the IURC order. The SIGECO Securitization Subsidiary, and not SIGECO, is the owner of the securitization property, and the assets of the SIGECO Securitization Subsidiary are not available to pay the creditors of SIGECO or its affiliates, other than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SIGECO Securitization Subsidiary.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Houston Electric TEEEF</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Pursuant to legislation passed in 2021, Houston Electric entered into two leases for TEEEF (temporary generation). 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June 30, 2025. Expenses associated with the short-term lease, including carrying costs, were deferred in a regulatory asset as a recoverable cost under the 2021 Texas legislation and totaled $84 million and $89 million as of June 30, 2025 and December 31, 2024, respectively. Expenses associated with the long-term lease, including variable costs associated with the operation and maintenance of the TEEEF, depreciation expense on the right of use asset and carrying costs, are deferred in a regulatory asset as a recoverable cost under the 2021 Texas legislation and totaled $156 million and $158 million as of June 30, 2025 and December 31, 2024, respectively.</w:t>
      </w:r>
    </w:p>
    <w:p>
      <w:pPr>
        <w:spacing w:after="0" w:line="2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did not record any impairments or disallowances on its right of use assets or TEEEF regulatory assets in the three and six months ended June 30, 2025 or June 30, 2024.</w:t>
      </w:r>
    </w:p>
    <w:p>
      <w:pPr>
        <w:spacing w:after="0" w:line="2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Effective January 1, 2023, all temporary generation assets were leased under the long-term lease agreement. The long-term lease agreement includes up to 505 MW of TEEEF, all of which was delivered as of December 31, 2022, triggering lease commencement at delivery, with an initial term ending in 2029 for all TEEEF leases. The remaining finance lease liability associated with the commenced long-term TEEEF agreement was not significant as of June 30, 2025 and December 31, 2024 and relates to removal costs that will be incurred at the end of the lease term. As of June 30, 2025, Houston Electric had secured a first lien on the assets leased under the prepayment agreement, except for assets with lease payments totaling $71 million, which is being held in an escrow account, not controlled by Houston Electric, and the funds will be released either pro rata each month or when a first lien can be secured by Houston Electric on such assets.</w:t>
      </w:r>
    </w:p>
    <w:p>
      <w:pPr>
        <w:spacing w:after="0" w:line="21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 xml:space="preserve">On September 11, 2024, the TCA filed a complaint with the PUCT requesting that the PUCT modify its rulings with respect to its prior decisions related to the TEEEF filings made in 2022 and 2023. Specifically, the TCA requested that the PUCT end cost recovery and return on investment on all the large up to 32 MW and 5 MW TEEEF units approved in Docket 53442. On October 2, 2024, Houston Electric filed a response to the TCA complaint and requested that the complaint be dismissed due to the principles of </w:t>
      </w:r>
      <w:r>
        <w:rPr>
          <w:rFonts w:ascii="Times New Roman" w:cs="Times New Roman" w:eastAsia="Times New Roman" w:hAnsi="Times New Roman"/>
          <w:sz w:val="17"/>
          <w:szCs w:val="17"/>
          <w:i w:val="1"/>
          <w:iCs w:val="1"/>
          <w:color w:val="auto"/>
        </w:rPr>
        <w:t>res judicata</w:t>
      </w:r>
      <w:r>
        <w:rPr>
          <w:rFonts w:ascii="Times New Roman" w:cs="Times New Roman" w:eastAsia="Times New Roman" w:hAnsi="Times New Roman"/>
          <w:sz w:val="17"/>
          <w:szCs w:val="17"/>
          <w:color w:val="auto"/>
        </w:rPr>
        <w:t xml:space="preserve"> and collateral estoppel. On October 8, 2024, the TCA supplemented its complaint and on October 9, 2024, PUCT staff filed a statement of position stating that Houston Electric’s response provided a strong argument for dismissal of the complaint, but also stating that it would be prudent to have a thorough legal argument from the TCA. On October 10, 2024, the PUCT issued Order No. 2 finding the TCA complaint insufficient and requiring supplemental information or amendment from the TCA by October 24, 2024; the TCA filed supplemental information on October 24, 2024. On November 14, 2024, the PUCT issued Order No. 4 denying the motion to reconsider and extending a deadline. On December 16, 2024, the PUCT issued Order No. 5 granting waiver of the requirement for informal disposition and soliciting PUCT staff recommendation by January 16, 2025. On January 16, 2025, the PUCT staff filed a supplemental recommendation recommending that the TCA had not met its requirement to first present its complaint to the City of Houston prior to presenting it to the PUCT. On February 26, 2025, the TCA filed its complaint with the City of Houston. On April 1, 2025, the TCA filed the response from the City of Houston dated March 12, 2025, which stated the matter is closed and the City of Houston does not have the authority to re-visit these dockets. The City of Houston also stated that the TCA may appeal to the PUCT and then district court. On April 29, 2025, the PUCT staff filed a supplemental statement of position and motion to dismiss the TCA’s complaint due to lack of jurisdiction. On May 19, 2025, the PUCT issued Order No. 8 lifting the abatement and requiring parties to file responses indicating whether they wish to proceed with or without a hearing. In response to Order No. 8, Houston Electric and the PUCT staff filed responses on June 20, 2025, supporting the dismissal of the TCA’s complaint without a hearing. The TCA also filed a response on June 20, 2025, to request that the parties be allowed to delay responding to the request for a hearing in this docket until a final settlement is made in Docket 57980 (Houston Electric’s application to remove the 15 large 27 MW to 32 MW TEEEF units from its TEEEF fleet) or, if the request for delay is not granted, to request that the hearing in this docket be scheduled after the settlement of Docket 57980. On June 29, 2025, Order No. 9 was issued, granting the TCA’s request to abate this complaint case until a final order is issued in Docket 57980.</w:t>
      </w: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December 19, 2024, Houston Electric announced a proposal to release its 15 large 27 MW to 32 MW TEEEF units to the San Antonio area prior to the summer of 2025. The proposal was intended to help ERCOT address a potential energy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shortfall and Load Shed risk and to provide additional electric generation capacity to support growing energy demand in the greater San Antonio region. On April 18, 2025, a proposal was filed with the PUCT (Docket 57980), seeking approval of the aforementioned release to ERCOT, a corresponding reduction to TEEEF fleet capacity and a rate reduction to reflect the removal of the 15 large TEEEF units from Houston Electric’s TEEEF fleet. On June 4, 2025, Houston Electric entered into definitive documentation, subject to PUCT approval, to release the 15 large 27 MW to 32 MW TEEEF units to the San Antonio area for a period of up to two years, during which time Houston Electric will not receive revenue or profit from ERCOT and will not charge Houston-area customers for such TEEEF units while they remain in the San Antonio area serving ERCOT. Following the completion of service in the San Antonio area, Houston Electric anticipates that it would receive revenues from one or more future transactions involving various sizes of the TEEEF units, and therefore plans to continue to</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not charge customers for these units for any future periods. On June 5, 2025, all of the intervenors submitted a joint request for hearing. On July 9, 2025, PUCT referred this docket to the SOAH. The PUCT issued a preliminary order on July 10, 2025, listing the issues to be addressed. SOAH Order No. 1 required parties to confer and submit a proposed procedural schedule or request a prehearing conference by July 25, 2025.</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Following the passage of legislation in 2023 that allows for wider uses for TEEEF, Houston Electric entered into a lease with Energy Rental Solutions</w:t>
      </w:r>
    </w:p>
    <w:p>
      <w:pPr>
        <w:spacing w:after="0" w:line="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(“ERS”) to add smaller 200-kilowatt to one MW TEEEF units to its existing TEEEF fleet. In response to both the May 2024 Storm Events and Hurricane Beryl, Houston Electric extended its lease with ERS and secured additional small TEEEF units under the ERS lease terms; the primary purpose of the smaller TEEEF units is to provide temporary electric service to medical facilities, cooling centers, assisted living facilities and critical care customers that are impacted by extended weather-related outages. Houston Electric’s lease with ERS expired on March 31, 2025, after the PUCT adopted the TEEEF Rule, which went into effect on January 8, 2025 and refined the scope of TEEEF filings that can be made pursuant to applicable Texas regulations. Among other things, the TEEEF Rule has specific provisions relating to when and how utilities must request PUCT authorization to lease TEEEF units, and it generally requires a utility to obtain preapproval prior to renewing or entering into a new lease of TEEEF units. Houston Electric believes that it continues to need small TEEEF units, and on May 27, 2025, Houston Electric filed an application pursuant to the TEEEF Rule requesting preapproval to enter into two leases for a combined approximately 20 MW of TEEEF capacity comprised of 36 small TEEEF units, each with a capacity range of 200-kilowatt to 1,250-kilowatt, for respective terms of 36 months. Approval of Houston Electric’s request in this filing will have no cost impact on customers at this time because cost determination will occur in a future proceeding.</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May 2024 Storm Events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Houston Electric’s electric delivery system suffered significant damage as a result of the May 2024 Storm Events. As is common with electric utilities serving coastal regions, the poles, towers, wires, street lights and pole-mounted equipment that comprise Houston Electric’s transmission and distribution system are not covered by property insurance. Houston Electric is deferring the related system restoration costs as management believes it is probable that such costs will be recovered through the regulatory process. The ultimate recovery of the costs (or a portion thereof) is expected to be sought through the issuance and sale of non-recourse securitization bonds for distribution-related costs and the TCOS capital mechanism for transmission-related costs. However, neither the amount nor timing of the recovery is certain.</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8, 2024, Houston Electric filed an Application for Determination of System Restoration Costs with the PUCT to determine the reasonableness and necessity of approximately $502 million of costs (including estimated case processing expenses and carrying costs) incurred or expected to be incurred to restore service following the May 2024 Storm Events. On March 19, 2025, Houston Electric filed a settlement agreement with the PUCT, under which Houston Electric would be entitled to recover a total of $396 million in distribution-related costs relating to the May 2024 Storm Events, along with carrying costs from the date those costs were incurred until system restoration bonds are issued. The settlement agreement also provided for the recovery of $29 million in transmission-related costs related to the May 2024 Storm Events that will be eligible for recovery through existing mechanisms established to recover transmission costs. Houston Electric agreed to defer $17.5 million of its distribution-related costs to the Hurricane Beryl cost determination proceeding and further agreed to an overall $10 million reduction in costs as part of the settlement agreement. A final order approving the settlement agreement was issued by the PUCT on April 24, 2025. On January 24, 2025, Houston Electric filed a request for a Financing Order for the distribution costs included in the November 8, 2024 Application for Determination of System Restoration Costs. On April 23, 2025, Houston Electric filed a settlement agreement with the PUCT, under which Houston Electric would be entitled to securitize the approved distribution-related costs. A final order approving the settlement agreement was issued by the PUCT on June 5, 2025. The PUCT issued an irrevocable Financing Order on June 5, 2025, which became final and non-appealable on June 20, 2025.</w:t>
      </w:r>
    </w:p>
    <w:p>
      <w:pPr>
        <w:spacing w:after="0" w:line="2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securitization of the system restoration costs incurred in connection with the May 2024 Storm Events, on June 20, 2025, Houston Electric and Restoration Bond Company II filed a registration statement on Form SF-1 under the Securities Act of 1933, as amended, with the SEC registering the public offering and sale of up to $396 million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aggregate principal amount of the May 2024 Storm Events System Restoration Bonds. The registration statement has not yet become effective, and May 2024 Storm Events System Restoration Bonds may not be sold, nor may offers to buy be accepted, prior to the time the registration statement becomes effective. The May 2024 Storm Events System Restoration Bonds will not be obligations of Houston Electric or any of its affiliates other than Restoration Bond Company II. The May 2024 Storm Events System Restoration Bonds will not be secured by Houston Electric’s general mortgage bonds, and Houston Electric’s rights, titles, and interest in and under the PUCT’s Financing Order, which provides authority to issue the May 2024 Storm Events System Restoration Bonds and to impose, collect and receive system restoration charges from Houston Electric’s retail customers as well as to obtain periodic adjustments to such system restoration charges, are not subject to the lien of the General Mortgage.</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Hurricane Beryl and Subsequent Storm Events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2024 and early 2025, Houston Electric’s service territory was damaged as a result of Hurricane Beryl and certain other significant storms. Houston Electric is deferring the related system restoration costs as management believes it is probable that such costs will be recovered through the regulatory process. The ultimate recovery of the system restoration costs (or a portion thereof) is expected to be sought through the issuance and sale of non-recourse securitization bonds for distribution-related costs. However, neither the amount nor timing of the recovery of the system restoration costs is certain.</w:t>
      </w:r>
    </w:p>
    <w:p>
      <w:pPr>
        <w:spacing w:after="0" w:line="2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May 2, 2025, Houston Electric filed an Application for Determination of System Restoration Costs with the PUCT to determine the reasonableness and necessity of approximately $1.3 billion of costs (including estimated case processing expenses and carrying costs) incurred or expected to be incurred to restore service following Hurricane Beryl and certain other significant storms. Intervenor direct testimony was filed on June 30, 2025 and PUCT staff direct testimony was filed on July 3, 2025. Intervenor and PUCT staff disallowance positions totaled about $298.8 million and $4.7 million, respectively. Houston Electric’s rebuttal testimony was filed on July 18, 2025. On June 20, 2025, Houston Electric filed a request for a Financing Order for the distribution costs included in the May 2, 2025 Application for Determination of System Restoration Costs. A hearing on the merits is scheduled for July 31, 2025 through August 1, 2025. Neither the amount nor timing of the recovery of the system restoration costs is certain.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04"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9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interest rate derivative assets or liabilities and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12"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20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Registrants determine the appropriate level for each financial asset and liability on a quarterly basis and recognize transfers between levels at the end of the reporting period. As of June 30, 2025 and December 31, 2024, the Registrants did not have any assets or liabilities classified as Level 3.</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information about the Registrants’ assets and liabilities measured at fair value on a recurring basis as of June 30, 2025 and December 31, 2024 and indicate the fair value hierarchy of the valuation techniques utilized by the Registrants to determine such fair value.</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0"/>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including money market funds (1)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2"/>
        </w:trPr>
        <w:tc>
          <w:tcPr>
            <w:tcW w:w="4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05"/>
        </w:trPr>
        <w:tc>
          <w:tcPr>
            <w:tcW w:w="4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362"/>
        </w:trPr>
        <w:tc>
          <w:tcPr>
            <w:tcW w:w="40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including money market funds (1)</w:t>
            </w: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4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66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362"/>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3"/>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including money market funds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5"/>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Prepaid expenses and other current assets in the respective Condensed Consolidated Balance Sheets.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Financial Instruments</w:t>
      </w:r>
    </w:p>
    <w:p>
      <w:pPr>
        <w:spacing w:after="0" w:line="248" w:lineRule="exact"/>
        <w:rPr>
          <w:sz w:val="20"/>
          <w:szCs w:val="20"/>
          <w:color w:val="auto"/>
        </w:rPr>
      </w:pPr>
    </w:p>
    <w:p>
      <w:pPr>
        <w:jc w:val="both"/>
        <w:ind w:left="20" w:firstLine="318"/>
        <w:spacing w:after="0" w:line="252" w:lineRule="auto"/>
        <w:rPr>
          <w:sz w:val="20"/>
          <w:szCs w:val="20"/>
          <w:color w:val="auto"/>
        </w:rPr>
      </w:pPr>
      <w:r>
        <w:rPr>
          <w:rFonts w:ascii="Times New Roman" w:cs="Times New Roman" w:eastAsia="Times New Roman" w:hAnsi="Times New Roman"/>
          <w:sz w:val="18"/>
          <w:szCs w:val="18"/>
          <w:color w:val="auto"/>
        </w:rPr>
        <w:t>The fair values of cash and cash equivalents and investments in equity securities measured at fair value are estimated to be approximately equivalent to carrying amounts and have been excluded from the table below. Additionally, CenterPoint Energy’s ZENS indexed debt securities derivative is stated at fair value and is excluded from the table below. The fair value of each debt instrument included below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21"/>
              <w:spacing w:after="0" w:line="155"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80" w:type="dxa"/>
            <w:vAlign w:val="bottom"/>
          </w:tcPr>
          <w:p>
            <w:pPr>
              <w:spacing w:after="0"/>
              <w:rPr>
                <w:sz w:val="13"/>
                <w:szCs w:val="13"/>
                <w:color w:val="auto"/>
              </w:rPr>
            </w:pPr>
          </w:p>
        </w:tc>
        <w:tc>
          <w:tcPr>
            <w:tcW w:w="1060" w:type="dxa"/>
            <w:vAlign w:val="bottom"/>
          </w:tcPr>
          <w:p>
            <w:pPr>
              <w:jc w:val="center"/>
              <w:ind w:right="41"/>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30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1000" w:type="dxa"/>
            <w:vAlign w:val="bottom"/>
          </w:tcPr>
          <w:p>
            <w:pPr>
              <w:jc w:val="right"/>
              <w:ind w:right="61"/>
              <w:spacing w:after="0" w:line="155"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320" w:type="dxa"/>
            <w:vAlign w:val="bottom"/>
          </w:tcPr>
          <w:p>
            <w:pPr>
              <w:spacing w:after="0"/>
              <w:rPr>
                <w:sz w:val="13"/>
                <w:szCs w:val="13"/>
                <w:color w:val="auto"/>
              </w:rPr>
            </w:pPr>
          </w:p>
        </w:tc>
        <w:tc>
          <w:tcPr>
            <w:tcW w:w="1060" w:type="dxa"/>
            <w:vAlign w:val="bottom"/>
          </w:tcPr>
          <w:p>
            <w:pPr>
              <w:jc w:val="center"/>
              <w:ind w:right="201"/>
              <w:spacing w:after="0" w:line="155"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92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Energy (1)</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Energy (1)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Long-term debt, including current maturities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amount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21,618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9,320</w:t>
            </w:r>
          </w:p>
        </w:tc>
        <w:tc>
          <w:tcPr>
            <w:tcW w:w="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20,961</w:t>
            </w:r>
          </w:p>
        </w:tc>
        <w:tc>
          <w:tcPr>
            <w:tcW w:w="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8,822</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20,698</w:t>
            </w:r>
          </w:p>
        </w:tc>
        <w:tc>
          <w:tcPr>
            <w:tcW w:w="1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8,388</w:t>
            </w:r>
          </w:p>
        </w:tc>
        <w:tc>
          <w:tcPr>
            <w:tcW w:w="3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19,597</w:t>
            </w:r>
          </w:p>
        </w:tc>
        <w:tc>
          <w:tcPr>
            <w:tcW w:w="32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7,746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Securitization Bonds, as applicable.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260" w:hanging="254"/>
        <w:spacing w:after="0"/>
        <w:tabs>
          <w:tab w:leader="none" w:pos="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 and Indexed Debt Securities (ZENS) (CenterPoint Energy)</w:t>
      </w:r>
    </w:p>
    <w:p>
      <w:pPr>
        <w:spacing w:after="0" w:line="241" w:lineRule="exact"/>
        <w:rPr>
          <w:rFonts w:ascii="Times New Roman" w:cs="Times New Roman" w:eastAsia="Times New Roman" w:hAnsi="Times New Roman"/>
          <w:sz w:val="18"/>
          <w:szCs w:val="18"/>
          <w:b w:val="1"/>
          <w:bCs w:val="1"/>
          <w:color w:val="auto"/>
        </w:rPr>
      </w:pPr>
    </w:p>
    <w:p>
      <w:pPr>
        <w:ind w:left="580" w:hanging="256"/>
        <w:spacing w:after="0"/>
        <w:tabs>
          <w:tab w:leader="none" w:pos="580" w:val="left"/>
        </w:tabs>
        <w:numPr>
          <w:ilvl w:val="1"/>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Securities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3960" w:type="dxa"/>
            <w:vAlign w:val="bottom"/>
          </w:tcPr>
          <w:p>
            <w:pPr>
              <w:spacing w:after="0"/>
              <w:rPr>
                <w:sz w:val="17"/>
                <w:szCs w:val="17"/>
                <w:color w:val="auto"/>
              </w:rPr>
            </w:pPr>
          </w:p>
        </w:tc>
        <w:tc>
          <w:tcPr>
            <w:tcW w:w="12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3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AT&amp;T Common</w:t>
            </w:r>
          </w:p>
        </w:tc>
        <w:tc>
          <w:tcPr>
            <w:tcW w:w="128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981"/>
              <w:spacing w:after="0"/>
              <w:rPr>
                <w:sz w:val="20"/>
                <w:szCs w:val="20"/>
                <w:color w:val="auto"/>
              </w:rPr>
            </w:pPr>
            <w:r>
              <w:rPr>
                <w:rFonts w:ascii="Times New Roman" w:cs="Times New Roman" w:eastAsia="Times New Roman" w:hAnsi="Times New Roman"/>
                <w:sz w:val="16"/>
                <w:szCs w:val="16"/>
                <w:color w:val="auto"/>
                <w:w w:val="99"/>
              </w:rPr>
              <w:t>24</w:t>
            </w: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Common</w:t>
            </w:r>
          </w:p>
        </w:tc>
        <w:tc>
          <w:tcPr>
            <w:tcW w:w="1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center"/>
              <w:ind w:left="961"/>
              <w:spacing w:after="0"/>
              <w:rPr>
                <w:sz w:val="20"/>
                <w:szCs w:val="20"/>
                <w:color w:val="auto"/>
              </w:rPr>
            </w:pPr>
            <w:r>
              <w:rPr>
                <w:rFonts w:ascii="Times New Roman" w:cs="Times New Roman" w:eastAsia="Times New Roman" w:hAnsi="Times New Roman"/>
                <w:sz w:val="16"/>
                <w:szCs w:val="16"/>
                <w:color w:val="auto"/>
                <w:w w:val="97"/>
              </w:rPr>
              <w:t>(78)</w:t>
            </w: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WBD Common</w:t>
            </w:r>
          </w:p>
        </w:tc>
        <w:tc>
          <w:tcPr>
            <w:tcW w:w="1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left="961"/>
              <w:spacing w:after="0"/>
              <w:rPr>
                <w:sz w:val="20"/>
                <w:szCs w:val="20"/>
                <w:color w:val="auto"/>
              </w:rPr>
            </w:pPr>
            <w:r>
              <w:rPr>
                <w:rFonts w:ascii="Times New Roman" w:cs="Times New Roman" w:eastAsia="Times New Roman" w:hAnsi="Times New Roman"/>
                <w:sz w:val="16"/>
                <w:szCs w:val="16"/>
                <w:color w:val="auto"/>
                <w:w w:val="97"/>
              </w:rPr>
              <w:t>(10)</w:t>
            </w:r>
          </w:p>
        </w:tc>
      </w:tr>
      <w:tr>
        <w:trPr>
          <w:trHeight w:val="205"/>
        </w:trPr>
        <w:tc>
          <w:tcPr>
            <w:tcW w:w="3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gains (losses) on equity securities, net</w:t>
            </w:r>
          </w:p>
        </w:tc>
        <w:tc>
          <w:tcPr>
            <w:tcW w:w="1280" w:type="dxa"/>
            <w:vAlign w:val="bottom"/>
            <w:tcBorders>
              <w:bottom w:val="single" w:sz="8" w:color="auto"/>
            </w:tcBorders>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center"/>
              <w:ind w:left="961"/>
              <w:spacing w:after="0"/>
              <w:rPr>
                <w:sz w:val="20"/>
                <w:szCs w:val="20"/>
                <w:color w:val="auto"/>
              </w:rPr>
            </w:pPr>
            <w:r>
              <w:rPr>
                <w:rFonts w:ascii="Times New Roman" w:cs="Times New Roman" w:eastAsia="Times New Roman" w:hAnsi="Times New Roman"/>
                <w:sz w:val="16"/>
                <w:szCs w:val="16"/>
                <w:color w:val="auto"/>
                <w:w w:val="97"/>
              </w:rPr>
              <w:t>(64)</w:t>
            </w:r>
          </w:p>
        </w:tc>
      </w:tr>
      <w:tr>
        <w:trPr>
          <w:trHeight w:val="20"/>
        </w:trPr>
        <w:tc>
          <w:tcPr>
            <w:tcW w:w="3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3700" w:type="dxa"/>
            <w:vAlign w:val="bottom"/>
            <w:gridSpan w:val="4"/>
          </w:tcPr>
          <w:p>
            <w:pPr>
              <w:ind w:left="1380"/>
              <w:spacing w:after="0"/>
              <w:rPr>
                <w:sz w:val="20"/>
                <w:szCs w:val="20"/>
                <w:color w:val="auto"/>
              </w:rPr>
            </w:pPr>
            <w:r>
              <w:rPr>
                <w:rFonts w:ascii="Times New Roman" w:cs="Times New Roman" w:eastAsia="Times New Roman" w:hAnsi="Times New Roman"/>
                <w:sz w:val="16"/>
                <w:szCs w:val="16"/>
                <w:b w:val="1"/>
                <w:bCs w:val="1"/>
                <w:color w:val="auto"/>
              </w:rPr>
              <w:t>Shares Held</w:t>
            </w:r>
          </w:p>
        </w:tc>
        <w:tc>
          <w:tcPr>
            <w:tcW w:w="260" w:type="dxa"/>
            <w:vAlign w:val="bottom"/>
          </w:tcPr>
          <w:p>
            <w:pPr>
              <w:spacing w:after="0"/>
              <w:rPr>
                <w:sz w:val="18"/>
                <w:szCs w:val="18"/>
                <w:color w:val="auto"/>
              </w:rPr>
            </w:pPr>
          </w:p>
        </w:tc>
        <w:tc>
          <w:tcPr>
            <w:tcW w:w="3360" w:type="dxa"/>
            <w:vAlign w:val="bottom"/>
            <w:gridSpan w:val="4"/>
          </w:tcPr>
          <w:p>
            <w:pPr>
              <w:jc w:val="right"/>
              <w:ind w:right="1201"/>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07"/>
        </w:trPr>
        <w:tc>
          <w:tcPr>
            <w:tcW w:w="3920" w:type="dxa"/>
            <w:vAlign w:val="bottom"/>
          </w:tcPr>
          <w:p>
            <w:pPr>
              <w:spacing w:after="0"/>
              <w:rPr>
                <w:sz w:val="17"/>
                <w:szCs w:val="17"/>
                <w:color w:val="auto"/>
              </w:rPr>
            </w:pPr>
          </w:p>
        </w:tc>
        <w:tc>
          <w:tcPr>
            <w:tcW w:w="18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7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392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4"/>
          </w:tcPr>
          <w:p>
            <w:pPr>
              <w:jc w:val="right"/>
              <w:ind w:right="132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AT&amp;T Common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10,212,945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10,212,945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Common</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872,503</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WBD Common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2,470,685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2,470,685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2"/>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 ZENS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September 1999, CenterPoint Energy issued ZENS having an original principal amount of $1.0 billion, of which $828 million remained outstanding as of June 30, 2025.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20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7"/>
        </w:trPr>
        <w:tc>
          <w:tcPr>
            <w:tcW w:w="7420" w:type="dxa"/>
            <w:vAlign w:val="bottom"/>
          </w:tcPr>
          <w:p>
            <w:pPr>
              <w:spacing w:after="0"/>
              <w:rPr>
                <w:sz w:val="17"/>
                <w:szCs w:val="17"/>
                <w:color w:val="auto"/>
              </w:rPr>
            </w:pPr>
          </w:p>
        </w:tc>
        <w:tc>
          <w:tcPr>
            <w:tcW w:w="3820" w:type="dxa"/>
            <w:vAlign w:val="bottom"/>
            <w:gridSpan w:val="2"/>
          </w:tcPr>
          <w:p>
            <w:pPr>
              <w:jc w:val="right"/>
              <w:ind w:right="1481"/>
              <w:spacing w:after="0"/>
              <w:rPr>
                <w:sz w:val="20"/>
                <w:szCs w:val="20"/>
                <w:color w:val="auto"/>
              </w:rPr>
            </w:pPr>
            <w:r>
              <w:rPr>
                <w:rFonts w:ascii="Times New Roman" w:cs="Times New Roman" w:eastAsia="Times New Roman" w:hAnsi="Times New Roman"/>
                <w:sz w:val="16"/>
                <w:szCs w:val="16"/>
                <w:b w:val="1"/>
                <w:bCs w:val="1"/>
                <w:color w:val="auto"/>
              </w:rPr>
              <w:t>(in shares)</w:t>
            </w: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AT&amp;T Common</w:t>
            </w:r>
          </w:p>
        </w:tc>
        <w:tc>
          <w:tcPr>
            <w:tcW w:w="20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0.7185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0.7185</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Common</w:t>
            </w:r>
          </w:p>
        </w:tc>
        <w:tc>
          <w:tcPr>
            <w:tcW w:w="20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0.061382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0.061382</w:t>
            </w:r>
          </w:p>
        </w:tc>
      </w:tr>
      <w:tr>
        <w:trPr>
          <w:trHeight w:val="21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WBD Common</w:t>
            </w:r>
          </w:p>
        </w:tc>
        <w:tc>
          <w:tcPr>
            <w:tcW w:w="20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0.173817</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0.173817</w:t>
            </w:r>
          </w:p>
        </w:tc>
      </w:tr>
    </w:tbl>
    <w:p>
      <w:pPr>
        <w:spacing w:after="0" w:line="3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June 30, 2025, the ZENS, having an original principal amount of $828 million and a contingent principal amount of $4 million, were outstanding and were exchangeable, at the option of the holders, for cash equal to 95% of the market value of the reference shares attributable to the ZENS.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Short-term Borrowings and Long-term Debt</w:t>
      </w:r>
    </w:p>
    <w:p>
      <w:pPr>
        <w:spacing w:after="0" w:line="24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Debt Issuances. </w:t>
      </w:r>
      <w:r>
        <w:rPr>
          <w:rFonts w:ascii="Times New Roman" w:cs="Times New Roman" w:eastAsia="Times New Roman" w:hAnsi="Times New Roman"/>
          <w:sz w:val="18"/>
          <w:szCs w:val="18"/>
          <w:color w:val="auto"/>
        </w:rPr>
        <w:t>On January 31, 2025, CenterPoint Energy, through its wholly-owned subsidiary SIGECO, issued $165 million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5.69% First Mortgage Bonds, Series 2025A, Tranche A due 2055. Total proceeds,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transaction expenses and fees, were approximately $164 million, which was used for the acquisition of Posey Solar. See Note 3 for additional detail.</w:t>
      </w:r>
    </w:p>
    <w:p>
      <w:pPr>
        <w:spacing w:after="0" w:line="23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 February 2025, Houston Electric issued $500 million aggregate principal amount of 4.80% General Mortgage Bonds, Series AP, due 2030. Total proceeds, net of transaction expenses and fees, were approximately $495 million, which was used for general limited liability company purposes, including capital expenditures and working capital purposes.</w:t>
      </w:r>
    </w:p>
    <w:p>
      <w:pPr>
        <w:spacing w:after="0" w:line="21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Repurchases. </w:t>
      </w:r>
      <w:r>
        <w:rPr>
          <w:rFonts w:ascii="Times New Roman" w:cs="Times New Roman" w:eastAsia="Times New Roman" w:hAnsi="Times New Roman"/>
          <w:sz w:val="18"/>
          <w:szCs w:val="18"/>
          <w:color w:val="auto"/>
        </w:rPr>
        <w:t>In March 2025, CERC, through its wholly-owned subsidiary Indiana Gas, repurchased $10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Indiana Gas’s 6.36% Medium Term Notes, Series F, due 2028 at a redemption price equal to 104.8% of the principal amount of the notes to be redeemed plus accrued and unpaid interest thereon to, but excluding, the redemption date.</w:t>
      </w:r>
    </w:p>
    <w:p>
      <w:pPr>
        <w:spacing w:after="0" w:line="20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April 2025, CenterPoint Energy commenced cash tender offers for up to (i) $600 million aggregate purchase price of certain of CenterPoint Energy’s outstanding senior notes, ranging from 2.65% to 5.40% due 2026 to 2031, and (ii) $400 million aggregate purchase price of certain of CERC’s senior notes, ranging from 4.10% to 5.40% due 2028 to 2047. In May 2025, CenterPoint Energy accepted for purchase and paid approximately $1 billion aggregate purchase price of CenterPoint Energy’s and CERC’s notes pursuant to the tender offers. Upon completion of the tender offers, CenterPoint cancelled approximately $634 million aggregate principal amount of its senior notes and CERC Corp. cancelled approximately $415 million aggregate principal amount of its senior notes pursuant to the terms of the respective indentures governing such notes. CenterPoint Energy and CERC recognized a gain on early extinguishment of debt of approximately $36 million and $9 million, respectively, for the three months ended June 30, 2025, which is included in Interest expense and other finance charges on their Statements of Consolidated Income.</w:t>
      </w:r>
    </w:p>
    <w:p>
      <w:pPr>
        <w:spacing w:after="0" w:line="21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2025, CERC, through its wholly-owned subsidiary Indiana Gas, repaid at maturity $10 million aggregate principal amount of Indiana Gas’s 6.53% Medium Term Notes, Series E due 2025 at a redemption price equal to 100% of the principal amount to be redeemed plus accrued and unpaid interest thereon.</w:t>
      </w:r>
    </w:p>
    <w:p>
      <w:pPr>
        <w:spacing w:after="0" w:line="189"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On January 29, 2025, CenterPoint Energy, Houston Electric, CERC and SIGECO each entered into extension agreements to,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things, extend the maturity date of the lenders’ commitments under each of their respective credit agreements by one year, from December 6, 2027 to December 6, 2028. The Registrants had the following revolving credit facilities as of June 30, 2025:</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36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Debt for</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6"/>
              </w:rPr>
              <w:t>Borrowed</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Covenant</w:t>
            </w:r>
          </w:p>
        </w:tc>
        <w:tc>
          <w:tcPr>
            <w:tcW w:w="360" w:type="dxa"/>
            <w:vAlign w:val="bottom"/>
          </w:tcPr>
          <w:p>
            <w:pPr>
              <w:spacing w:after="0"/>
              <w:rPr>
                <w:sz w:val="13"/>
                <w:szCs w:val="13"/>
                <w:color w:val="auto"/>
              </w:rPr>
            </w:pPr>
          </w:p>
        </w:tc>
        <w:tc>
          <w:tcPr>
            <w:tcW w:w="11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Money to</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Limit on Debt</w:t>
            </w:r>
          </w:p>
        </w:tc>
        <w:tc>
          <w:tcPr>
            <w:tcW w:w="360" w:type="dxa"/>
            <w:vAlign w:val="bottom"/>
          </w:tcPr>
          <w:p>
            <w:pPr>
              <w:spacing w:after="0"/>
              <w:rPr>
                <w:sz w:val="13"/>
                <w:szCs w:val="13"/>
                <w:color w:val="auto"/>
              </w:rPr>
            </w:pPr>
          </w:p>
        </w:tc>
        <w:tc>
          <w:tcPr>
            <w:tcW w:w="11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Execution</w:t>
            </w:r>
          </w:p>
        </w:tc>
        <w:tc>
          <w:tcPr>
            <w:tcW w:w="140" w:type="dxa"/>
            <w:vAlign w:val="bottom"/>
          </w:tcPr>
          <w:p>
            <w:pPr>
              <w:spacing w:after="0"/>
              <w:rPr>
                <w:sz w:val="13"/>
                <w:szCs w:val="13"/>
                <w:color w:val="auto"/>
              </w:rPr>
            </w:pPr>
          </w:p>
        </w:tc>
        <w:tc>
          <w:tcPr>
            <w:tcW w:w="106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Size of</w:t>
            </w:r>
          </w:p>
        </w:tc>
        <w:tc>
          <w:tcPr>
            <w:tcW w:w="100" w:type="dxa"/>
            <w:vAlign w:val="bottom"/>
          </w:tcPr>
          <w:p>
            <w:pPr>
              <w:spacing w:after="0"/>
              <w:rPr>
                <w:sz w:val="13"/>
                <w:szCs w:val="13"/>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Draw Rate of</w:t>
            </w:r>
          </w:p>
        </w:tc>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for Borrowed</w:t>
            </w:r>
          </w:p>
        </w:tc>
        <w:tc>
          <w:tcPr>
            <w:tcW w:w="360" w:type="dxa"/>
            <w:vAlign w:val="bottom"/>
          </w:tcPr>
          <w:p>
            <w:pPr>
              <w:spacing w:after="0"/>
              <w:rPr>
                <w:sz w:val="13"/>
                <w:szCs w:val="13"/>
                <w:color w:val="auto"/>
              </w:rPr>
            </w:pPr>
          </w:p>
        </w:tc>
        <w:tc>
          <w:tcPr>
            <w:tcW w:w="11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rPr>
              <w:t>Ratio as of</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2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Money to</w:t>
            </w:r>
          </w:p>
        </w:tc>
        <w:tc>
          <w:tcPr>
            <w:tcW w:w="360" w:type="dxa"/>
            <w:vAlign w:val="bottom"/>
          </w:tcPr>
          <w:p>
            <w:pPr>
              <w:spacing w:after="0"/>
              <w:rPr>
                <w:sz w:val="13"/>
                <w:szCs w:val="13"/>
                <w:color w:val="auto"/>
              </w:rPr>
            </w:pPr>
          </w:p>
        </w:tc>
        <w:tc>
          <w:tcPr>
            <w:tcW w:w="11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6"/>
                <w:szCs w:val="16"/>
                <w:b w:val="1"/>
                <w:bCs w:val="1"/>
                <w:color w:val="auto"/>
              </w:rPr>
              <w:t>June 30, 2025</w:t>
            </w:r>
          </w:p>
        </w:tc>
        <w:tc>
          <w:tcPr>
            <w:tcW w:w="18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0" w:type="dxa"/>
            <w:vAlign w:val="bottom"/>
          </w:tcPr>
          <w:p>
            <w:pPr>
              <w:spacing w:after="0"/>
              <w:rPr>
                <w:sz w:val="1"/>
                <w:szCs w:val="1"/>
                <w:color w:val="auto"/>
              </w:rPr>
            </w:pPr>
          </w:p>
        </w:tc>
      </w:tr>
      <w:tr>
        <w:trPr>
          <w:trHeight w:val="211"/>
        </w:trPr>
        <w:tc>
          <w:tcPr>
            <w:tcW w:w="2220" w:type="dxa"/>
            <w:vAlign w:val="bottom"/>
            <w:gridSpan w:val="2"/>
            <w:vMerge w:val="continue"/>
          </w:tcPr>
          <w:p>
            <w:pPr>
              <w:spacing w:after="0"/>
              <w:rPr>
                <w:sz w:val="18"/>
                <w:szCs w:val="18"/>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Pr>
          <w:p>
            <w:pPr>
              <w:spacing w:after="0"/>
              <w:rPr>
                <w:sz w:val="18"/>
                <w:szCs w:val="18"/>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SOFR plus (1)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 Ratio</w:t>
            </w:r>
          </w:p>
        </w:tc>
        <w:tc>
          <w:tcPr>
            <w:tcW w:w="3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2,400</w:t>
            </w:r>
          </w:p>
        </w:tc>
        <w:tc>
          <w:tcPr>
            <w:tcW w:w="11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7"/>
              </w:rPr>
              <w:t>1.500%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65.0%</w:t>
            </w:r>
          </w:p>
        </w:tc>
        <w:tc>
          <w:tcPr>
            <w:tcW w:w="3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1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CenterPoint Energy (4)</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7"/>
              </w:rPr>
              <w:t>1.125%</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65.0%</w:t>
            </w:r>
          </w:p>
        </w:tc>
        <w:tc>
          <w:tcPr>
            <w:tcW w:w="3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14"/>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2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w:t>
            </w:r>
          </w:p>
        </w:tc>
        <w:tc>
          <w:tcPr>
            <w:tcW w:w="110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7"/>
              </w:rPr>
              <w:t>1.250%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67.5%</w:t>
            </w:r>
          </w:p>
        </w:tc>
        <w:tc>
          <w:tcPr>
            <w:tcW w:w="3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2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1,050</w:t>
            </w:r>
          </w:p>
        </w:tc>
        <w:tc>
          <w:tcPr>
            <w:tcW w:w="1100" w:type="dxa"/>
            <w:vAlign w:val="bottom"/>
            <w:tcBorders>
              <w:bottom w:val="single" w:sz="8" w:color="CCEEFF"/>
            </w:tcBorders>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7"/>
              </w:rPr>
              <w:t>1.125%</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6"/>
              </w:rPr>
              <w:t>65.0%</w:t>
            </w: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32"/>
        </w:trPr>
        <w:tc>
          <w:tcPr>
            <w:tcW w:w="22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credit ratings as of June 30, 2025.</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revolving credit facility agreements, excluding Securitization Bonds.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credit facility was issued by SIGECO.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Registrants, as well as the subsidiaries of CenterPoint Energy discussed above, were in compliance with all financial debt covenants as of June 30, 2025.</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utilization of the Registrants’ respective revolving credit facilities: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Letters</w:t>
            </w:r>
          </w:p>
        </w:tc>
        <w:tc>
          <w:tcPr>
            <w:tcW w:w="120" w:type="dxa"/>
            <w:vAlign w:val="bottom"/>
          </w:tcPr>
          <w:p>
            <w:pPr>
              <w:spacing w:after="0"/>
              <w:rPr>
                <w:sz w:val="13"/>
                <w:szCs w:val="13"/>
                <w:color w:val="auto"/>
              </w:rPr>
            </w:pPr>
          </w:p>
        </w:tc>
        <w:tc>
          <w:tcPr>
            <w:tcW w:w="10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20" w:type="dxa"/>
            <w:vAlign w:val="bottom"/>
          </w:tcPr>
          <w:p>
            <w:pPr>
              <w:jc w:val="center"/>
              <w:ind w:left="21"/>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Letters</w:t>
            </w:r>
          </w:p>
        </w:tc>
        <w:tc>
          <w:tcPr>
            <w:tcW w:w="12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200" w:type="dxa"/>
            <w:vAlign w:val="bottom"/>
          </w:tcPr>
          <w:p>
            <w:pPr>
              <w:jc w:val="center"/>
              <w:ind w:left="21"/>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59"/>
        </w:trPr>
        <w:tc>
          <w:tcPr>
            <w:tcW w:w="22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8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3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0" w:type="dxa"/>
            <w:vAlign w:val="bottom"/>
          </w:tcPr>
          <w:p>
            <w:pPr>
              <w:jc w:val="center"/>
              <w:ind w:left="21"/>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211"/>
        </w:trPr>
        <w:tc>
          <w:tcPr>
            <w:tcW w:w="2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 Credit</w:t>
            </w:r>
          </w:p>
        </w:tc>
        <w:tc>
          <w:tcPr>
            <w:tcW w:w="12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Paper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of Credit</w:t>
            </w:r>
          </w:p>
        </w:tc>
        <w:tc>
          <w:tcPr>
            <w:tcW w:w="120" w:type="dxa"/>
            <w:vAlign w:val="bottom"/>
          </w:tcPr>
          <w:p>
            <w:pPr>
              <w:spacing w:after="0"/>
              <w:rPr>
                <w:sz w:val="18"/>
                <w:szCs w:val="18"/>
                <w:color w:val="auto"/>
              </w:rPr>
            </w:pPr>
          </w:p>
        </w:tc>
        <w:tc>
          <w:tcPr>
            <w:tcW w:w="10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Paper</w:t>
            </w:r>
          </w:p>
        </w:tc>
        <w:tc>
          <w:tcPr>
            <w:tcW w:w="1200" w:type="dxa"/>
            <w:vAlign w:val="bottom"/>
          </w:tcPr>
          <w:p>
            <w:pPr>
              <w:jc w:val="center"/>
              <w:ind w:left="41"/>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0" w:type="dxa"/>
            <w:vAlign w:val="bottom"/>
          </w:tcPr>
          <w:p>
            <w:pPr>
              <w:spacing w:after="0"/>
              <w:rPr>
                <w:sz w:val="1"/>
                <w:szCs w:val="1"/>
                <w:color w:val="auto"/>
              </w:rPr>
            </w:pPr>
          </w:p>
        </w:tc>
      </w:tr>
      <w:tr>
        <w:trPr>
          <w:trHeight w:val="205"/>
        </w:trPr>
        <w:tc>
          <w:tcPr>
            <w:tcW w:w="2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(in millions, except weighted average interest rate)</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 (1)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0" w:type="dxa"/>
            <w:vAlign w:val="bottom"/>
          </w:tcPr>
          <w:p>
            <w:pPr>
              <w:spacing w:after="0"/>
              <w:rPr>
                <w:sz w:val="1"/>
                <w:szCs w:val="1"/>
                <w:color w:val="auto"/>
              </w:rPr>
            </w:pPr>
          </w:p>
        </w:tc>
      </w:tr>
      <w:tr>
        <w:trPr>
          <w:trHeight w:val="21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CenterPoint Energy (2)</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CERC (1)</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4.62 %</w:t>
            </w:r>
          </w:p>
        </w:tc>
        <w:tc>
          <w:tcPr>
            <w:tcW w:w="0" w:type="dxa"/>
            <w:vAlign w:val="bottom"/>
          </w:tcPr>
          <w:p>
            <w:pPr>
              <w:spacing w:after="0"/>
              <w:rPr>
                <w:sz w:val="1"/>
                <w:szCs w:val="1"/>
                <w:color w:val="auto"/>
              </w:rPr>
            </w:pPr>
          </w:p>
        </w:tc>
      </w:tr>
      <w:tr>
        <w:trPr>
          <w:trHeight w:val="232"/>
        </w:trPr>
        <w:tc>
          <w:tcPr>
            <w:tcW w:w="22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640" w:hanging="316"/>
        <w:spacing w:after="0" w:line="257" w:lineRule="auto"/>
        <w:tabs>
          <w:tab w:leader="none" w:pos="6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and CERC’s outstanding commercial paper generally have maturities of up to 60 days and 30 days, respectively, and are backstopped by the respective issuer’s long-term revolving credit facility.</w:t>
      </w: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credit facility was issued by SIGECO.</w:t>
      </w:r>
    </w:p>
    <w:p>
      <w:pPr>
        <w:spacing w:after="0" w:line="2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Liens. </w:t>
      </w:r>
      <w:r>
        <w:rPr>
          <w:rFonts w:ascii="Times New Roman" w:cs="Times New Roman" w:eastAsia="Times New Roman" w:hAnsi="Times New Roman"/>
          <w:sz w:val="18"/>
          <w:szCs w:val="18"/>
          <w:color w:val="auto"/>
        </w:rPr>
        <w:t>As of June 30, 2025, Houston Electric’s assets were subject to liens securing approximately $9 billion of general mortgage bonds outstanding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As of June 30, 2025, approximately $4.5 billion of additional general mortgage bonds could be issued on the basis of retired bonds and 70% of property additions.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SIGECO had approximately $1.1 billion aggregate principal amount of first mortgage bonds outstanding. Generally, all of SIGECO’s real and tangible property is subject to the lien of SIGECO’s mortgage indenture which was amended and restated effective as of January 1, 2023. As of June 30, 2025, SIGECO was permitted to issue additional bonds under its mortgage indenture up to 70% of then currently unfunded property additions and approximately $1.1 billion of additional first mortgage bonds could be issued on this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Registrants reported the following effective tax rates: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3"/>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94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800" w:type="dxa"/>
            <w:vAlign w:val="bottom"/>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CenterPoint Energy </w:t>
            </w:r>
            <w:r>
              <w:rPr>
                <w:rFonts w:ascii="Times New Roman" w:cs="Times New Roman" w:eastAsia="Times New Roman" w:hAnsi="Times New Roman"/>
                <w:sz w:val="14"/>
                <w:szCs w:val="14"/>
                <w:color w:val="auto"/>
              </w:rPr>
              <w:t>(1)</w:t>
            </w:r>
          </w:p>
        </w:tc>
        <w:tc>
          <w:tcPr>
            <w:tcW w:w="1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2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25"/>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CERC </w:t>
            </w:r>
            <w:r>
              <w:rPr>
                <w:rFonts w:ascii="Times New Roman" w:cs="Times New Roman" w:eastAsia="Times New Roman" w:hAnsi="Times New Roman"/>
                <w:sz w:val="14"/>
                <w:szCs w:val="14"/>
                <w:color w:val="auto"/>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bl>
    <w:p>
      <w:pPr>
        <w:spacing w:after="0" w:line="313" w:lineRule="exact"/>
        <w:rPr>
          <w:sz w:val="20"/>
          <w:szCs w:val="20"/>
          <w:color w:val="auto"/>
        </w:rPr>
      </w:pPr>
    </w:p>
    <w:p>
      <w:pPr>
        <w:jc w:val="both"/>
        <w:ind w:left="640" w:hanging="316"/>
        <w:spacing w:after="0" w:line="250"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higher effective tax rate for the three months ended June 30, 2025 compared to the three months ended June 30, 2024 was primarily driven by the impact of the non-deductible goodwill associated with the sale of the Louisiana and Mississippi natural gas LDC businesses and a reduction in favorable tax return true-ups. CenterPoint Energy’s higher effective tax rate for the six months ended June 30, 2025 compared to the six months ended June 30, 2024 was primarily driven by the impact of the non-deductible goodwill associated with the sale of the Louisiana and Mississippi natural gas LDC businesses and a reduction in favorable tax return true-ups. For additional detail, see Note 3.</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7"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CERC’s lower effective tax rate for the three months ended June 30, 2025 compared to the three months ended June 30, 2024 was primarily driven by a $12 million deferred income tax benefit associated with net operating loss carryforwards at Indiana Gas partially offset by the impact of non-deductible goodwill associated with the sale Louisiana and Mississippi natural gas LDC businesses. CERC’s higher effective tax rate for the six months ended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June 30, 2025 compared to the six months ended June 30, 2024 was primarily driven by the impact of the non-deductible goodwill associated with the sale of the Louisiana and Mississippi natural gas LDC businesses. For additional detail, see Note 3.</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CenterPoint Energy reported a net uncertain tax liability, inclusive of interest and penalties, of $30 million as of June 30, 2025. The Registrants believe that it is reasonably possible that the Registrants will recognize a $11 million tax benefit, including penalties and interest, in the next 12 months as a result of a lapse of statutes on older exposures, a tax settlement, and/or a resolution of open audits.</w:t>
      </w:r>
    </w:p>
    <w:p>
      <w:pPr>
        <w:spacing w:after="0" w:line="202"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Tax Audits and Settlements</w:t>
      </w:r>
      <w:r>
        <w:rPr>
          <w:rFonts w:ascii="Times New Roman" w:cs="Times New Roman" w:eastAsia="Times New Roman" w:hAnsi="Times New Roman"/>
          <w:sz w:val="18"/>
          <w:szCs w:val="18"/>
          <w:color w:val="auto"/>
        </w:rPr>
        <w:t>. Tax years through 2022 have been audited and settled with the IRS for CenterPoint Energy. For tax years 2023,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Registrants are participants in the IRS’s Compliance Assurance Process.</w:t>
      </w:r>
    </w:p>
    <w:p>
      <w:pPr>
        <w:spacing w:after="0" w:line="186" w:lineRule="exact"/>
        <w:rPr>
          <w:sz w:val="20"/>
          <w:szCs w:val="20"/>
          <w:color w:val="auto"/>
        </w:rPr>
      </w:pPr>
    </w:p>
    <w:p>
      <w:pPr>
        <w:ind w:left="340" w:hanging="334"/>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1"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1"/>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Obligations (CenterPoint Energy and CERC)</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Commitments include minimum purchase obligations related to CenterPoint Energy’s and CERC’s Natural Gas reportable segment and CenterPoint Energy’s Electric reportable segment. Contracts with minimum payment obligations have various quantity requirements and durations and are not classified as non-trading derivative assets and liabilities in CenterPoint Energy’s and CERC’s Condensed Consolidated Balance Sheets as of June 30, 2025 and December 31, 2024 because these contracts meet an exception as “normal purchases contracts” or do not meet the definition of a derivative. Natural gas and coal supply commitments also include transportation contracts that do not meet the definition of a derivative.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2025, CenterPoint Energy and CERC had the following undiscounted minimum purchase obligations: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CenterPoint Energy</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7"/>
        </w:trPr>
        <w:tc>
          <w:tcPr>
            <w:tcW w:w="3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Natural Gas Supply</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Electric Supply (1)</w:t>
            </w: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Other (2)</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Natural Gas Supply</w:t>
            </w:r>
          </w:p>
        </w:tc>
      </w:tr>
      <w:tr>
        <w:trPr>
          <w:trHeight w:val="205"/>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321</w:t>
            </w: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624</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544</w:t>
            </w: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r>
      <w:tr>
        <w:trPr>
          <w:trHeight w:val="214"/>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479</w:t>
            </w:r>
          </w:p>
        </w:tc>
      </w:tr>
      <w:tr>
        <w:trPr>
          <w:trHeight w:val="21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1,718</w:t>
            </w:r>
          </w:p>
        </w:tc>
      </w:tr>
      <w:tr>
        <w:trPr>
          <w:trHeight w:val="232"/>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4,184</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PPAs with commitments ranging from 20 years to 25 years.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primarily to technology hardware and software agreements.</w:t>
      </w: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AMAs (CenterPoint Energy and CERC)</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CenterPoint Energy’s and CERC’s Natural Gas businesses continue to utilize AMAs associated with their utility distribution service in Indiana, Minnesota and Texas. The AMAs have varying terms, the longest of which expires in 2029. Pursuant to the provisions of the agreements, CenterPoint Energy’s and CERC’s Natural Gas businesses either sell natural gas to the asset manager and agree to repurchase an equivalent amount of natural gas throughout the year at the same cost, or simply purchase their full natural gas requirements at each delivery point from the asset manager. Generally, AMAs are contracts between CenterPoint Energy’s and CERC’s Natural Gas businesses and an asset manager that are intended to transfer the working capital obligation and maximize the utilization of the assets. In these agreements, CenterPoint Energy’s and CERC’s Natural Gas businesses agree to release transportation and storage capacity to other parties to manage natural gas storage, supply and delivery arrangements for CenterPoint Energy’s and CERC’s Natural Gas businesses and to use the released capacity for other purposes when it is not needed for CenterPoint Energy’s and CERC’s Natural Gas businesses. CenterPoint Energy’s and CERC’s Natural Gas businesses may receive compensation from the asset manager through payments made over the life of the AMAs. CenterPoint Energy’s and CERC’s Natural Gas businesses have an obligation to purchase their winter storage requirements that have been released to the asset manager under these AMAs. Amounts outstanding under these AMAs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were not material.</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Guarantees (CenterPoint Energy)</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21, 2023, CenterPoint Energy, through Vectren Energy Services, entered into the Equity Purchase Agreement to sell Energy Systems Group. The sale closed on June 30, 2023.</w:t>
      </w:r>
    </w:p>
    <w:p>
      <w:pPr>
        <w:spacing w:after="0" w:line="19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$457 million as of June 30, 2025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21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’s inception in 1994 to the closing of the sale of Energy Systems Group on June 30, 2023,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 had a history of generally meeting its performance obligations and energy savings guarantees and its installed products operated effectively. CenterPoint Energy recorded no amounts on its Condensed Consolidated Balance Sheets as of June 30, 2025 and December 31, 2024 related to its obligation under the outstanding guarantees.</w:t>
      </w:r>
    </w:p>
    <w:p>
      <w:pPr>
        <w:spacing w:after="0" w:line="208" w:lineRule="exact"/>
        <w:rPr>
          <w:sz w:val="20"/>
          <w:szCs w:val="20"/>
          <w:color w:val="auto"/>
        </w:rPr>
      </w:pPr>
    </w:p>
    <w:p>
      <w:pPr>
        <w:ind w:left="160" w:right="7680" w:firstLine="164"/>
        <w:spacing w:after="0" w:line="523" w:lineRule="auto"/>
        <w:tabs>
          <w:tab w:leader="none" w:pos="569"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Environmental and Other Matters Legal Matters</w:t>
      </w:r>
    </w:p>
    <w:p>
      <w:pPr>
        <w:spacing w:after="0" w:line="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Litigation Related to Hurricane Beryl. </w:t>
      </w:r>
      <w:r>
        <w:rPr>
          <w:rFonts w:ascii="Times New Roman" w:cs="Times New Roman" w:eastAsia="Times New Roman" w:hAnsi="Times New Roman"/>
          <w:sz w:val="17"/>
          <w:szCs w:val="17"/>
          <w:color w:val="auto"/>
        </w:rPr>
        <w:t>Various federal, state and local governmental and regulatory agencies and other entities, such as the Texas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Governor’s office, the Texas legislature and the PUCT, have called for or are conducting inquiries and investigations into Hurricane 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as well. There are significant uncertainties around these inquiries and investigations and potential results and consequences, including with respect to our recovery of costs incurred as a result of Hurricane Beryl and whether any financial penalties will be assessed or changes to Houston Electric’s system, service territories, operations and/or regulatory treatment will result therefrom.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The action was removed to the Texas Business Courts, and on June 18, 2025, the parties filed an agreed upon stipulation to stay the case, which was approved by the court on June 24, 2025. Additionally, on February 12, 2025, a second putative shareholder of CenterPoint Energy made a demand on the Board to investigate the same basic allegations raised in the derivative petition filed by Donel Davidson.</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CenterPoint Energy, CenterPoint Energy Service Company, LLC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As of June 30, 2025, several putative class actions had been filed against CenterPoint Energy and/or Houston Electric in the District Courts of Harris County, Texas, on behalf of individuals or entities who claim losses due to</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 claims and theories of negligence, gross negligence, nuisance, fraud, and/or violation of Houston Electric’s tariff for retail delivery service, and each seeks damages in excess of $100 million for, among other things, business interruption, property damage and loss, cost of repair, loss of use and market value, lost income, nuisance, extreme mental anguish and/or punitive damages. In addition, as of the date of the filing of this combined Form 10-Q, several individual actions had been filed in Harris County District Courts asserting claims of negligence, negligence per se, negligent undertaking and/or gross negligence against CenterPoint Energy, CenterPoint Energy Service Company, LLC and/or Houston Electric. Certain plaintiffs in these actions allege personal injury or property damage from downed power lines and seek damages in excess of $1 million. On June 27, 2025, the MDL panel granted CenterPoint Energy and Houston Electric’s motion to transfer to a MDL pretrial court, and the pending and any future-filed cases will be transferred to a MDL pretrial court. CenterPoint Energy, CenterPoint Energy Service Company, LLC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certain insurers have disputed, and more insurers may dispute, coverage for some types of claims or damages that have been or may in the future be alleged by plaintiffs. For example, CenterPoint Energy has received from two insurers denials of indemnity coverage in the putative class actions based on the failure to supply exclusion, and those insurers have also reserved their rights with respect to coverage in those actions. CenterPoint Energy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For more information regarding Hurricane Beryl, see Note 6.</w:t>
      </w:r>
    </w:p>
    <w:p>
      <w:pPr>
        <w:spacing w:after="0" w:line="21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Litigation Related to the February 2021 Winter Storm Event. </w:t>
      </w:r>
      <w:r>
        <w:rPr>
          <w:rFonts w:ascii="Times New Roman" w:cs="Times New Roman" w:eastAsia="Times New Roman" w:hAnsi="Times New Roman"/>
          <w:sz w:val="18"/>
          <w:szCs w:val="18"/>
          <w:color w:val="auto"/>
        </w:rPr>
        <w:t>Various legal proceedings are still pending against numerous entities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Winter Storm Event, 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2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June 30, 2025,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155 of those lawsuits. One of the lawsuits in the MDL is a putative class action on behalf of everyone who received electric power via the ERCOT grid and sustained a power outage between February 10, 2021 and February 28, 2021. Additionally, Utility Holding is currently named as a defendant in one lawsuit in which CenterPoint Energy and Houston Electric are also named as defendants.</w:t>
      </w:r>
    </w:p>
    <w:p>
      <w:pPr>
        <w:spacing w:after="0" w:line="21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subsequent opinion in an unrelated matter, the Texas Supreme Court held that ERCOT is entitled to sovereign immunity. This ruling will apply to claims against ERCOT in the MDL. The MDL judge also dismissed all claims against the natural gas defendants (which list of natural gas defendants incorrectly included Utility Holding) and the REP defendants and some causes of action against the other defendants. CenterPoint Energy expects that the claims against Utility Holding will ultimately be dismissed in light of the judge’s initial rulings. As to the TDU and generator defendants, the judge dismissed some causes of action but denied the motions to dismiss claims for negligence, gross negligence, and nuisance, which denial the TDU defendants and generator defendants asked the courts of appeals to overturn. On April 2, 2024, a three-judge panel of the Court of Appeals for the Fourteenth District of Texas issued an opinion in the TDU mandamus proceeding, granting in part and denying in part the TDUs’ mandamus request. In its opinion, the panel granted the TDUs’ mandamus request relating to the TDUs’ motion to dismiss the plaintiffs’ claims for (1) negligence, (2) negligent nuisance and (3) strict liability nuisance and ordered those claims be dismissed. The panel denied the TDUs’ mandamus request relating to the TDUs’ motion to dismiss the plaintiffs’ gross negligence and intentional nuisance claims. On May 22, 2024, the TDUs filed a mandamus petition with the Supreme Court of Texas, seeking dismissal of the remaining claims. On June 27, 2025, the Supreme Court of Texas issued its decision and held that plaintiffs’ pleadings are insufficient as to both their intentional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nuisance and gross negligence claims. The court dismissed plaintiffs’ intentional nuisance claims with prejudice, but concluded that plaintiffs should be given the opportunity to replead their gross negligence claims.</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the generator mandamus proceeding that was pending in the Court of Appeals for the First District of Texas, a three-judge panel granted the generators’ mandamus request and ordered dismissal of all claims asserted against the generators’ defendants. The plaintiffs asked the entire First Court of Appeals to rehear the panel’s decision. On November 26, 2024, the First Court of Appeals denied that motion. The plaintiffs filed a petition for writ of mandamus with the Supreme Court of Texas on January 31, 2025, and on June 27, 2025, the Supreme Court of Texas requested briefing on the merits in that proceeding.</w:t>
      </w:r>
    </w:p>
    <w:p>
      <w:pPr>
        <w:spacing w:after="0" w:line="19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MDL judge allowed defendants (including Houston Electric) to file several additional motions on preliminary legal issues. These motions included the TDUs’ motion to dismiss under Chapter 150 of the Texas Civil Practice and Remedies Code, which was filed in one of the bellwether cases and argued that all of plaintiffs’ claims should be dismissed because the plaintiffs did not include a sufficient certificate by a qualified engineer with their petition as required by Texas law, as well as a motion to deny class certification in the putative class action. On November 13, 2024, the MDL Court granted the TDUs’ motion to dismiss under Chapter 150, and on December 3, 2024, the plaintiffs filed a notice of appeal of that ruling. On March 3, 2025, the plaintiffs filed their appellate brief regarding the MDL judge’s dismissal of their claims under Chapter 150, and the TDUs’ response brief was filed on May 23, 2025. Plaintiffs filed their reply brief on July 14, 2025. On January 8, 2025, the MDL Court denied class certification in the putative class action. Following issuance of the order denying class certification, a new lawsuit was filed on behalf of approximately 140 plaintiffs in Harris County District Court against hundreds of defendants, including CenterPoint Energy and Houston Electric, and that case was transferred to the MDL on January 23, 2025. In addition, plaintiffs filed a notice of appeal of the denial of class certification on January 27, 2025, but dismissed that appeal on April 28, 2025. The cases remain stayed pending the MDL Court’s implementation of the findings in the Court of Appeals for the Fourteenth District of Texas and Supreme Court of Texas mandamus decisions. CenterPoint Energy, Utility Holding, and Houston Electric intend to vigorously defend themselves against the claims raised.</w:t>
      </w:r>
    </w:p>
    <w:p>
      <w:pPr>
        <w:spacing w:after="0" w:line="2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spacing w:after="0" w:line="20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were brought by an entity that purports to be an assignee of the claims of tens of thousands of persons and entities.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All twelve lawsuits have been tagged for transfer to the existing MDL proceeding referenced above, but only three of the cases have been served against the defendants, including CERC. These gas market cases are in addition to the 220 cases noted above regarding electric market issues.</w:t>
      </w:r>
    </w:p>
    <w:p>
      <w:pPr>
        <w:spacing w:after="0" w:line="2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February 2, 2024, CERC filed pleas to the jurisdiction in the three cases in which it was served; CERC also partially joined the other defendants’ motions to dismiss and additional pleas to the jurisdiction. On April 2, 2024, plaintiffs in the three served cases filed amended petitions rather than responding to pleas to the jurisdiction and motions to dismiss. Among other changes, plaintiffs in these three cases dismissed CenterPoint Energy Services, Inc., but maintained the same three causes of action as to the remaining defendants. CERC has vigorously defended itself against the claims raised, including filing updated pleas to the jurisdiction on May 17, 2024 in response to plaintiffs’ amended petitions and intends to continue to do so. On August 12, 2024, plaintiffs in the putative class action filed a motion for leave to amend to add additional plaintiffs/class representatives. Defendants opposed this motion on September 20, 2024. On September 23, 2024, the MDL judge heard oral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argument on CERC’s plea to the jurisdiction and defendants’ motions to dismiss and other pleas to the jurisdiction. On November 7, 2024 and November 11, 2024, the MDL judge granted defendants’ motion to dismiss and CERC’s plea to the jurisdiction in all three cases. As a result of these rulings, all claims against CERC were dismissed with prejudice. Plaintiffs have appealed these rulings, and the appeals have been assigned to the Court of Appeals for the First District of Texas. On December 4, 2024, the MDL judge denied as moot a plaintiff’s motion for leave to amend to add additional plaintiffs/class representatives in the putative class action case. On January 17, 2025, the plaintiffs in the putative class action case filed an unopposed motion to dismiss their appeal, which the Court of Appeals granted on February 4, 2025. The parties have now completed their briefing.</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intentional nuisance claims as well as plaintiffs’ claims in the gas market cases. CenterPoint Energy and its subsidiaries intend to continue to pursue all available insurance coverage for all of these matters.</w:t>
      </w:r>
    </w:p>
    <w:p>
      <w:pPr>
        <w:spacing w:after="0" w:line="21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Jefferson Parish</w:t>
      </w:r>
      <w:r>
        <w:rPr>
          <w:rFonts w:ascii="Times New Roman" w:cs="Times New Roman" w:eastAsia="Times New Roman" w:hAnsi="Times New Roman"/>
          <w:sz w:val="17"/>
          <w:szCs w:val="17"/>
          <w:color w:val="auto"/>
        </w:rPr>
        <w:t>. Several parishes and the State of Louisiana filed 42 suits under Louisiana’s State and Local Coastal Resources Management Act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hundreds of oil and gas companies seeking compensatory damages for contamination and erosion of the Louisiana coastline allegedly caused by historical oil and gas operations. One of the defendants in one of the lawsuits (filed in 2013 only by the Parish of Jefferson) is Primary Fuels, Inc., a predecessor company of CenterPoint Energy, which operated in Louisiana from 1983-1989. All 42 suits were removed to Louisiana federal courts twice and were stayed for several years pending the district courts’ consideration of various motions to remand and multiple appeals of remand orders. Several cases involving other parishes that had been remanded to Louisiana state court have begun to resume proceedings in state court. To date, two of the 42 suits have substantially progressed in state court. The first case, </w:t>
      </w:r>
      <w:r>
        <w:rPr>
          <w:rFonts w:ascii="Times New Roman" w:cs="Times New Roman" w:eastAsia="Times New Roman" w:hAnsi="Times New Roman"/>
          <w:sz w:val="17"/>
          <w:szCs w:val="17"/>
          <w:i w:val="1"/>
          <w:iCs w:val="1"/>
          <w:color w:val="auto"/>
        </w:rPr>
        <w:t>Cameron Parish v. Auster Oil &amp; Gas, Inc., et al.</w:t>
      </w:r>
      <w:r>
        <w:rPr>
          <w:rFonts w:ascii="Times New Roman" w:cs="Times New Roman" w:eastAsia="Times New Roman" w:hAnsi="Times New Roman"/>
          <w:sz w:val="17"/>
          <w:szCs w:val="17"/>
          <w:color w:val="auto"/>
        </w:rPr>
        <w:t xml:space="preserve">, settled shortly before trial on confidential terms. The second case, </w:t>
      </w:r>
      <w:r>
        <w:rPr>
          <w:rFonts w:ascii="Times New Roman" w:cs="Times New Roman" w:eastAsia="Times New Roman" w:hAnsi="Times New Roman"/>
          <w:sz w:val="17"/>
          <w:szCs w:val="17"/>
          <w:i w:val="1"/>
          <w:iCs w:val="1"/>
          <w:color w:val="auto"/>
        </w:rPr>
        <w:t>Plaquemines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Parish v. Rozel Operating Co., et al</w:t>
      </w:r>
      <w:r>
        <w:rPr>
          <w:rFonts w:ascii="Times New Roman" w:cs="Times New Roman" w:eastAsia="Times New Roman" w:hAnsi="Times New Roman"/>
          <w:sz w:val="17"/>
          <w:szCs w:val="17"/>
          <w:color w:val="auto"/>
        </w:rPr>
        <w:t>., was tried against one defendant, Chevron Corporation, and on April 4, 2025, the jury returned a verdict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$744.6 million. Before final judgment was entered, the </w:t>
      </w:r>
      <w:r>
        <w:rPr>
          <w:rFonts w:ascii="Times New Roman" w:cs="Times New Roman" w:eastAsia="Times New Roman" w:hAnsi="Times New Roman"/>
          <w:sz w:val="17"/>
          <w:szCs w:val="17"/>
          <w:i w:val="1"/>
          <w:iCs w:val="1"/>
          <w:color w:val="auto"/>
        </w:rPr>
        <w:t>Rozel</w:t>
      </w:r>
      <w:r>
        <w:rPr>
          <w:rFonts w:ascii="Times New Roman" w:cs="Times New Roman" w:eastAsia="Times New Roman" w:hAnsi="Times New Roman"/>
          <w:sz w:val="17"/>
          <w:szCs w:val="17"/>
          <w:color w:val="auto"/>
        </w:rPr>
        <w:t xml:space="preserve"> case was stayed until the United States Supreme Court rules on the merits of a jurisdictional issue in a related case that does not include Primary Fuels, Inc. As of June 30, 2025, the federal district court had not ruled on Jefferson Parish’s motion to remand to state court the lawsuit which includes Primary Fuels, Inc. among the defendants. The timing of further progress in the Jefferson Parish case is uncertain and dependent in part on the court’s ruling on the motion to remand and further developments in other related Chevron Corporation cases. </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of the procedurally preliminary nature of the proceedings in the case in which Primary Fuels, Inc. is a defendant, lack of information about both the scope of and damages for Jefferson Parish’s claim against Primary Fuels, Inc., the numerosity of parties and complexity of issues involved, and the uncertainties of litigation, CenterPoint Energy and its subsidiaries are unable to predict the outcome or consequences of this matter or to estimate a range of potential losses. CenterPoint Energy intends to continue to vigorously defend itself against the claims raised and pursue any and all available insurance coverage.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46"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MGP Sites. </w:t>
      </w:r>
      <w:r>
        <w:rPr>
          <w:rFonts w:ascii="Times New Roman" w:cs="Times New Roman" w:eastAsia="Times New Roman" w:hAnsi="Times New Roman"/>
          <w:sz w:val="18"/>
          <w:szCs w:val="18"/>
          <w:color w:val="auto"/>
        </w:rPr>
        <w:t>CenterPoint Energy, CERC and their predecessors, including predecessors of Vectren, operated MGPs in the past. The costs CenterPoint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208" w:lineRule="exact"/>
        <w:rPr>
          <w:sz w:val="20"/>
          <w:szCs w:val="20"/>
          <w:color w:val="auto"/>
        </w:rPr>
      </w:pPr>
    </w:p>
    <w:p>
      <w:pPr>
        <w:jc w:val="both"/>
        <w:ind w:left="640" w:hanging="316"/>
        <w:spacing w:after="0" w:line="261" w:lineRule="auto"/>
        <w:tabs>
          <w:tab w:leader="none" w:pos="6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Minnesota MGPs (CenterPoint Energy and CERC)</w:t>
      </w:r>
      <w:r>
        <w:rPr>
          <w:rFonts w:ascii="Times New Roman" w:cs="Times New Roman" w:eastAsia="Times New Roman" w:hAnsi="Times New Roman"/>
          <w:sz w:val="18"/>
          <w:szCs w:val="18"/>
          <w:color w:val="auto"/>
        </w:rPr>
        <w:t>. With respect to certain Minnesota MGP sites, CenterPoint Energy and CERC have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both"/>
        <w:ind w:left="640" w:hanging="316"/>
        <w:spacing w:after="0" w:line="251" w:lineRule="auto"/>
        <w:tabs>
          <w:tab w:leader="none" w:pos="6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Indiana MGPs (CenterPoint Energy and CERC)</w:t>
      </w:r>
      <w:r>
        <w:rPr>
          <w:rFonts w:ascii="Times New Roman" w:cs="Times New Roman" w:eastAsia="Times New Roman" w:hAnsi="Times New Roman"/>
          <w:sz w:val="18"/>
          <w:szCs w:val="18"/>
          <w:color w:val="auto"/>
        </w:rPr>
        <w:t>. In the Indiana Gas service territory, the existence, location and certain general characteristics of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211" w:lineRule="exact"/>
        <w:rPr>
          <w:rFonts w:ascii="Times New Roman" w:cs="Times New Roman" w:eastAsia="Times New Roman" w:hAnsi="Times New Roman"/>
          <w:sz w:val="18"/>
          <w:szCs w:val="18"/>
          <w:color w:val="auto"/>
        </w:rPr>
      </w:pPr>
    </w:p>
    <w:p>
      <w:pPr>
        <w:ind w:left="640" w:right="20" w:hanging="316"/>
        <w:spacing w:after="0" w:line="27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MGPs (CenterPoint Energy and CERC). </w:t>
      </w:r>
      <w:r>
        <w:rPr>
          <w:rFonts w:ascii="Times New Roman" w:cs="Times New Roman" w:eastAsia="Times New Roman" w:hAnsi="Times New Roman"/>
          <w:sz w:val="18"/>
          <w:szCs w:val="18"/>
          <w:color w:val="auto"/>
        </w:rPr>
        <w:t>In addition to the Minnesota and Indiana sites, the EPA and other regulators have investigated MGP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that were owned or operated by CenterPoint Energy or CERC or may have been owned by one of their former affiliates.</w:t>
      </w:r>
    </w:p>
    <w:p>
      <w:pPr>
        <w:spacing w:after="0" w:line="1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00" w:type="dxa"/>
            <w:vAlign w:val="bottom"/>
            <w:tcBorders>
              <w:bottom w:val="single" w:sz="8" w:color="auto"/>
            </w:tcBorders>
          </w:tcPr>
          <w:p>
            <w:pPr>
              <w:spacing w:after="0"/>
              <w:rPr>
                <w:sz w:val="18"/>
                <w:szCs w:val="18"/>
                <w:color w:val="auto"/>
              </w:rPr>
            </w:pPr>
          </w:p>
        </w:tc>
      </w:tr>
      <w:tr>
        <w:trPr>
          <w:trHeight w:val="207"/>
        </w:trPr>
        <w:tc>
          <w:tcPr>
            <w:tcW w:w="7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5"/>
        </w:trPr>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gridSpan w:val="3"/>
          </w:tcPr>
          <w:p>
            <w:pPr>
              <w:jc w:val="right"/>
              <w:ind w:right="961"/>
              <w:spacing w:after="0"/>
              <w:rPr>
                <w:sz w:val="20"/>
                <w:szCs w:val="20"/>
                <w:color w:val="auto"/>
              </w:rPr>
            </w:pPr>
            <w:r>
              <w:rPr>
                <w:rFonts w:ascii="Times New Roman" w:cs="Times New Roman" w:eastAsia="Times New Roman" w:hAnsi="Times New Roman"/>
                <w:sz w:val="16"/>
                <w:szCs w:val="16"/>
                <w:b w:val="1"/>
                <w:bCs w:val="1"/>
                <w:color w:val="auto"/>
              </w:rPr>
              <w:t>(in millions, except years)</w:t>
            </w: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accrued for remediation</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60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estimated remediation costs</w:t>
            </w:r>
          </w:p>
        </w:tc>
        <w:tc>
          <w:tcPr>
            <w:tcW w:w="180" w:type="dxa"/>
            <w:vAlign w:val="bottom"/>
          </w:tcPr>
          <w:p>
            <w:pPr>
              <w:spacing w:after="0"/>
              <w:rPr>
                <w:sz w:val="18"/>
                <w:szCs w:val="18"/>
                <w:color w:val="auto"/>
              </w:rPr>
            </w:pPr>
          </w:p>
        </w:tc>
        <w:tc>
          <w:tcPr>
            <w:tcW w:w="1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estimated remediation costs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years of remediation</w:t>
            </w:r>
          </w:p>
        </w:tc>
        <w:tc>
          <w:tcPr>
            <w:tcW w:w="180" w:type="dxa"/>
            <w:vAlign w:val="bottom"/>
          </w:tcPr>
          <w:p>
            <w:pPr>
              <w:spacing w:after="0"/>
              <w:rPr>
                <w:sz w:val="18"/>
                <w:szCs w:val="18"/>
                <w:color w:val="auto"/>
              </w:rPr>
            </w:pP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years of remediation</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30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2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Asbestos. </w:t>
      </w:r>
      <w:r>
        <w:rPr>
          <w:rFonts w:ascii="Times New Roman" w:cs="Times New Roman" w:eastAsia="Times New Roman" w:hAnsi="Times New Roman"/>
          <w:sz w:val="18"/>
          <w:szCs w:val="18"/>
          <w:color w:val="auto"/>
        </w:rPr>
        <w:t>Some facilities owned by the Registrants or their predecessors contain or have contained asbestos insulation and other asbestos-containing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0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CCR Rule (CenterPoint Energy). </w:t>
      </w:r>
      <w:r>
        <w:rPr>
          <w:rFonts w:ascii="Times New Roman" w:cs="Times New Roman" w:eastAsia="Times New Roman" w:hAnsi="Times New Roman"/>
          <w:sz w:val="18"/>
          <w:szCs w:val="18"/>
          <w:color w:val="auto"/>
        </w:rPr>
        <w:t>In April 2015, the EPA finalized its CCR Rule, which regulates ash as non-hazardous material under the RCRA.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rule allows beneficial reuse of ash, and a portion of the ash generated by Indiana Electric’s generating plants will continue to be reused.</w:t>
      </w:r>
    </w:p>
    <w:p>
      <w:pPr>
        <w:spacing w:after="0" w:line="1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Indiana Electric has three ash ponds, two at the F.B. Culley facility (Culley East and Culley West) and one at the A.B. Brown facility. Under the CCR Rule, Indiana Electric is required to perform integrity assessments, including ground water monitoring, at its F.B. Culley and A.B. Brown generating stations. Pursuant to the CCR Rule, both the Culley East and A.B. Brown facilities were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17" w:lineRule="exact"/>
        <w:rPr>
          <w:sz w:val="20"/>
          <w:szCs w:val="20"/>
          <w:color w:val="auto"/>
        </w:rPr>
      </w:pPr>
    </w:p>
    <w:p>
      <w:pPr>
        <w:jc w:val="both"/>
        <w:ind w:firstLine="372"/>
        <w:spacing w:after="0" w:line="274" w:lineRule="auto"/>
        <w:rPr>
          <w:sz w:val="20"/>
          <w:szCs w:val="20"/>
          <w:color w:val="auto"/>
        </w:rPr>
      </w:pPr>
      <w:r>
        <w:rPr>
          <w:rFonts w:ascii="Times New Roman" w:cs="Times New Roman" w:eastAsia="Times New Roman" w:hAnsi="Times New Roman"/>
          <w:sz w:val="18"/>
          <w:szCs w:val="18"/>
          <w:color w:val="auto"/>
        </w:rPr>
        <w:t>On November 1, 2022, Indiana Electric filed for a CPCN to recover federally mandated costs associated with closure of the Culley East Pond, its third and final ash pond. Indiana Electric sought accounting and ratemaking relief for the project,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8, 2023, Indiana Electric filed a revised CPCN for recovery of the federally mandated ash pond costs. On February 7, 2024 the IURC approved the federally mandated costs, both incurred and projected, of $52 million in capital costs, plus an estimated $133,000 in annual operation and maintenance expenses, for recovery through the ECA. Following approval of its most recent rate case, this project is now being recovered through base rates.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June 30, 2025, CenterPoint Energy had recorded an approximate $132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previously settled insurance proceedings. In addition to these AROs, Indiana Electric also anticipates equipment purchases of between $60 million and $80 million to complete the A.B. Brown closure project.</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w:t>
      </w:r>
    </w:p>
    <w:p>
      <w:pPr>
        <w:spacing w:after="0" w:line="21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Clean Water Act Permitting of Groundwater and Power Plant Discharges</w:t>
      </w:r>
      <w:r>
        <w:rPr>
          <w:rFonts w:ascii="Times New Roman" w:cs="Times New Roman" w:eastAsia="Times New Roman" w:hAnsi="Times New Roman"/>
          <w:sz w:val="18"/>
          <w:szCs w:val="18"/>
          <w:color w:val="auto"/>
        </w:rPr>
        <w:t>. In April 2020, the U.S. Supreme Court issued an opinion providing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discharges via groundwater or other non-point sources are subject to permitting and liability under the Clean Water Act when they are the functional equivalent of a direct discharge. On November 27, 2023, the EPA published draft guidance regarding the application of the “functional equivalent” analysis as related to permitting of certain discharges through groundwater to surface waters. The Registrants do not currently anticipate impacts from this guidance, but groundwater monitoring continues under the CCR Rule.</w:t>
      </w:r>
    </w:p>
    <w:p>
      <w:pPr>
        <w:spacing w:after="0" w:line="2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released its final Supplemental Effluent Limitation Guidelines and Standards for the Steam Electric Generating Point Source Category. The Registrants currently anticipate that they will be in compliance with the Supplemental ELG Guidelines at the Culley facility due to previous wastewater treatment upgrades.</w:t>
      </w:r>
    </w:p>
    <w:p>
      <w:pPr>
        <w:spacing w:after="0" w:line="2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Other Environmental. </w:t>
      </w:r>
      <w:r>
        <w:rPr>
          <w:rFonts w:ascii="Times New Roman" w:cs="Times New Roman" w:eastAsia="Times New Roman" w:hAnsi="Times New Roman"/>
          <w:sz w:val="18"/>
          <w:szCs w:val="18"/>
          <w:color w:val="auto"/>
        </w:rPr>
        <w:t>From time to time, the Registrants identify the presence of environmental contaminants during operations or on property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Proceedings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 (CenterPoint Energy)</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methodology for calculating basic and diluted earnings per share was disclosed in our combined 2024 Form 10-K. Except as described below, there have been no material changes in those disclosures.</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Until settlement of the equity forwards executed in April 2025 and May 2025 further described in Note 15, dilutive earnings per common share reflects the dilutive impact of potential issuances of shares of Common Stock associated with the outstanding equity forwards. The dilutive effect of equity forwards is determined under the treasury stock method. Share dilution occurs when the average market price of CenterPoint Energy’s Common Stock is higher than the forward sales price at the end of the reporting period. The calculation of dilutive earnings per share excluded 9,676 shares of Common Stock for the three months ended June 30, 2025 under forward sale agreements because their effect would have been antidilutive.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numerators and denominators of CenterPoint Energy’s basic and diluted earnings per common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00" w:type="dxa"/>
            <w:vAlign w:val="bottom"/>
            <w:gridSpan w:val="4"/>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46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4"/>
        </w:trPr>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 share and share amounts)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652,783,000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640,754,000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652,474,000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636,491,000</w:t>
            </w: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1,402,000</w:t>
            </w:r>
          </w:p>
        </w:tc>
      </w:tr>
      <w:tr>
        <w:trPr>
          <w:trHeight w:val="22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forwards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654,044,000</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641,816,000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653,683,000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637,893,000</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8"/>
        </w:trPr>
        <w:tc>
          <w:tcPr>
            <w:tcW w:w="4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7"/>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4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0.91</w:t>
            </w: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Reportable Segments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Registrants’ determination of reportable segments considers the strategic operating units under which the CODM manages sales, allocates resources and assesses performance of various products and services to wholesale or retail customers in differing regulatory environments.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2025, reportable segments by Registrant and information about each Registrant’s CODM were as follows: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46" w:lineRule="exact"/>
        <w:rPr>
          <w:sz w:val="20"/>
          <w:szCs w:val="20"/>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Electric reportable segment consists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20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Natural Gas reportable segment consists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Corporate and Other category consists of corporate support operations that support all of CenterPoint Energy’s business operations. CenterPoint Energy’s Corporate and Other also includes office buildings and other real estate used for business operations.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CenterPoint Energy’s CODM, the President and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46" w:lineRule="exact"/>
        <w:rPr>
          <w:sz w:val="20"/>
          <w:szCs w:val="20"/>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Houston Electric’s single reportable segment consists of electric transmission services to transmission service customers in the ERCOT region and distribution services to REPs serving the Texas Gulf Coast area that includes the city of Houston.</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46" w:lineRule="exact"/>
        <w:rPr>
          <w:sz w:val="20"/>
          <w:szCs w:val="20"/>
          <w:color w:val="auto"/>
        </w:rPr>
      </w:pPr>
    </w:p>
    <w:p>
      <w:pPr>
        <w:jc w:val="both"/>
        <w:ind w:left="640" w:hanging="316"/>
        <w:spacing w:after="0" w:line="255" w:lineRule="auto"/>
        <w:tabs>
          <w:tab w:leader="none" w:pos="63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CERC’s single reportable segment following the Restructuring and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w:t>
      </w:r>
    </w:p>
    <w:p>
      <w:pPr>
        <w:spacing w:after="0" w:line="20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Expenditures for long-lived assets include property, plant and equipment. Intersegment sales are eliminated in consolidation, except as described in Note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data for reportable segments is as follows: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100" w:type="dxa"/>
            <w:vAlign w:val="bottom"/>
          </w:tcPr>
          <w:p>
            <w:pPr>
              <w:spacing w:after="0"/>
              <w:rPr>
                <w:sz w:val="13"/>
                <w:szCs w:val="13"/>
                <w:color w:val="auto"/>
              </w:rPr>
            </w:pPr>
          </w:p>
        </w:tc>
        <w:tc>
          <w:tcPr>
            <w:tcW w:w="12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34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3"/>
                <w:szCs w:val="13"/>
                <w:color w:val="auto"/>
              </w:rPr>
            </w:pPr>
          </w:p>
        </w:tc>
        <w:tc>
          <w:tcPr>
            <w:tcW w:w="98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revenues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Utility natural gas, fuel and purchased power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Non-utility cost of revenues, including natural gas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and maintenance expenses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 (2)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5"/>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40" w:type="dxa"/>
            <w:vAlign w:val="bottom"/>
          </w:tcPr>
          <w:p>
            <w:pPr>
              <w:spacing w:after="0"/>
              <w:rPr>
                <w:sz w:val="13"/>
                <w:szCs w:val="13"/>
                <w:color w:val="auto"/>
              </w:rPr>
            </w:pPr>
          </w:p>
        </w:tc>
        <w:tc>
          <w:tcPr>
            <w:tcW w:w="132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 Reportable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revenues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Utility natural gas, fuel and purchased power</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159"/>
        </w:trPr>
        <w:tc>
          <w:tcPr>
            <w:tcW w:w="32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Non-utility cost of revenues, including natural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and maintenance expenses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2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2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25"/>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 (2)</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 2024</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40" w:type="dxa"/>
            <w:vAlign w:val="bottom"/>
          </w:tcPr>
          <w:p>
            <w:pPr>
              <w:spacing w:after="0"/>
              <w:rPr>
                <w:sz w:val="13"/>
                <w:szCs w:val="13"/>
                <w:color w:val="auto"/>
              </w:rPr>
            </w:pPr>
          </w:p>
        </w:tc>
        <w:tc>
          <w:tcPr>
            <w:tcW w:w="1320" w:type="dxa"/>
            <w:vAlign w:val="bottom"/>
            <w:gridSpan w:val="4"/>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Utility natural gas, fuel and purchased power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and maintenance expenses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 (2)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5"/>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2024</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40" w:type="dxa"/>
            <w:vAlign w:val="bottom"/>
          </w:tcPr>
          <w:p>
            <w:pPr>
              <w:spacing w:after="0"/>
              <w:rPr>
                <w:sz w:val="13"/>
                <w:szCs w:val="13"/>
                <w:color w:val="auto"/>
              </w:rPr>
            </w:pPr>
          </w:p>
        </w:tc>
        <w:tc>
          <w:tcPr>
            <w:tcW w:w="1320" w:type="dxa"/>
            <w:vAlign w:val="bottom"/>
            <w:gridSpan w:val="4"/>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Total Reportable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Segments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Utility natural gas, fuel and purchased power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Non-utility cost of revenues, including natural gas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 and maintenance expenses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 (2)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2"/>
        </w:trPr>
        <w:tc>
          <w:tcPr>
            <w:tcW w:w="3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1"/>
        </w:trPr>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ind w:left="640" w:hanging="316"/>
        <w:spacing w:after="0" w:line="253" w:lineRule="auto"/>
        <w:tabs>
          <w:tab w:leader="none" w:pos="5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from Securitization Bonds of less than $1 million and $1 million for the three months ended June 30, 2025 and 2024, respectively, and less than $1 million and $2 million for the six months ended June 30, 2025 and 2024, respectively, is included in Other income (expense), net on CenterPoint Energy’s Statements of Consolidated Income.</w:t>
      </w:r>
    </w:p>
    <w:p>
      <w:pPr>
        <w:ind w:left="640" w:hanging="316"/>
        <w:spacing w:after="0" w:line="251" w:lineRule="auto"/>
        <w:tabs>
          <w:tab w:leader="none" w:pos="5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primarily includes AFUDC equity, non-service cost for pension and postretirement benefits, Gain (loss) on equity securities, Gain (loss) on indexed debt securities and Loss on sale.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3420" w:type="dxa"/>
            <w:vAlign w:val="bottom"/>
            <w:tcBorders>
              <w:bottom w:val="single" w:sz="8" w:color="auto"/>
            </w:tcBorders>
            <w:gridSpan w:val="4"/>
          </w:tcPr>
          <w:p>
            <w:pPr>
              <w:jc w:val="center"/>
              <w:ind w:left="541"/>
              <w:spacing w:after="0"/>
              <w:rPr>
                <w:sz w:val="20"/>
                <w:szCs w:val="20"/>
                <w:color w:val="auto"/>
              </w:rPr>
            </w:pPr>
            <w:r>
              <w:rPr>
                <w:rFonts w:ascii="Times New Roman" w:cs="Times New Roman" w:eastAsia="Times New Roman" w:hAnsi="Times New Roman"/>
                <w:sz w:val="16"/>
                <w:szCs w:val="16"/>
                <w:b w:val="1"/>
                <w:bCs w:val="1"/>
                <w:color w:val="auto"/>
                <w:w w:val="99"/>
              </w:rPr>
              <w:t>Expenditures for Long-lived Assets</w:t>
            </w:r>
          </w:p>
        </w:tc>
        <w:tc>
          <w:tcPr>
            <w:tcW w:w="620" w:type="dxa"/>
            <w:vAlign w:val="bottom"/>
            <w:tcBorders>
              <w:bottom w:val="single" w:sz="8" w:color="auto"/>
            </w:tcBorders>
          </w:tcPr>
          <w:p>
            <w:pPr>
              <w:spacing w:after="0"/>
              <w:rPr>
                <w:sz w:val="18"/>
                <w:szCs w:val="18"/>
                <w:color w:val="auto"/>
              </w:rPr>
            </w:pPr>
          </w:p>
        </w:tc>
      </w:tr>
      <w:tr>
        <w:trPr>
          <w:trHeight w:val="207"/>
        </w:trPr>
        <w:tc>
          <w:tcPr>
            <w:tcW w:w="7200" w:type="dxa"/>
            <w:vAlign w:val="bottom"/>
          </w:tcPr>
          <w:p>
            <w:pPr>
              <w:spacing w:after="0"/>
              <w:rPr>
                <w:sz w:val="17"/>
                <w:szCs w:val="17"/>
                <w:color w:val="auto"/>
              </w:rPr>
            </w:pPr>
          </w:p>
        </w:tc>
        <w:tc>
          <w:tcPr>
            <w:tcW w:w="3420" w:type="dxa"/>
            <w:vAlign w:val="bottom"/>
            <w:tcBorders>
              <w:bottom w:val="single" w:sz="8" w:color="auto"/>
            </w:tcBorders>
            <w:gridSpan w:val="4"/>
          </w:tcPr>
          <w:p>
            <w:pPr>
              <w:jc w:val="center"/>
              <w:ind w:left="561"/>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620" w:type="dxa"/>
            <w:vAlign w:val="bottom"/>
            <w:tcBorders>
              <w:bottom w:val="single" w:sz="8" w:color="auto"/>
            </w:tcBorders>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205"/>
        </w:trPr>
        <w:tc>
          <w:tcPr>
            <w:tcW w:w="7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80" w:type="dxa"/>
            <w:vAlign w:val="bottom"/>
            <w:gridSpan w:val="3"/>
          </w:tcPr>
          <w:p>
            <w:pPr>
              <w:jc w:val="center"/>
              <w:ind w:right="62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20" w:type="dxa"/>
            <w:vAlign w:val="bottom"/>
          </w:tcPr>
          <w:p>
            <w:pPr>
              <w:spacing w:after="0"/>
              <w:rPr>
                <w:sz w:val="17"/>
                <w:szCs w:val="17"/>
                <w:color w:val="auto"/>
              </w:rPr>
            </w:pPr>
          </w:p>
        </w:tc>
      </w:tr>
      <w:tr>
        <w:trPr>
          <w:trHeight w:val="21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w:t>
            </w:r>
          </w:p>
        </w:tc>
        <w:tc>
          <w:tcPr>
            <w:tcW w:w="1340" w:type="dxa"/>
            <w:vAlign w:val="bottom"/>
            <w:shd w:val="clear" w:color="auto" w:fill="CCEEFF"/>
          </w:tcPr>
          <w:p>
            <w:pPr>
              <w:jc w:val="right"/>
              <w:ind w:right="11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1,716</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134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1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7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w:t>
            </w:r>
          </w:p>
        </w:tc>
        <w:tc>
          <w:tcPr>
            <w:tcW w:w="1340" w:type="dxa"/>
            <w:vAlign w:val="bottom"/>
            <w:tcBorders>
              <w:bottom w:val="single" w:sz="8" w:color="auto"/>
            </w:tcBorders>
          </w:tcPr>
          <w:p>
            <w:pPr>
              <w:jc w:val="right"/>
              <w:ind w:right="11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2,430</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80" w:type="dxa"/>
            <w:vAlign w:val="bottom"/>
            <w:tcBorders>
              <w:bottom w:val="single" w:sz="8" w:color="auto"/>
            </w:tcBorders>
          </w:tcPr>
          <w:p>
            <w:pPr>
              <w:spacing w:after="0"/>
              <w:rPr>
                <w:sz w:val="18"/>
                <w:szCs w:val="18"/>
                <w:color w:val="auto"/>
              </w:rPr>
            </w:pPr>
          </w:p>
        </w:tc>
      </w:tr>
      <w:tr>
        <w:trPr>
          <w:trHeight w:val="207"/>
        </w:trPr>
        <w:tc>
          <w:tcPr>
            <w:tcW w:w="70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7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gridSpan w:val="3"/>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80" w:type="dxa"/>
            <w:vAlign w:val="bottom"/>
          </w:tcPr>
          <w:p>
            <w:pPr>
              <w:spacing w:after="0"/>
              <w:rPr>
                <w:sz w:val="17"/>
                <w:szCs w:val="17"/>
                <w:color w:val="auto"/>
              </w:rPr>
            </w:pPr>
          </w:p>
        </w:tc>
      </w:tr>
      <w:tr>
        <w:trPr>
          <w:trHeight w:val="21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w:t>
            </w:r>
          </w:p>
        </w:tc>
        <w:tc>
          <w:tcPr>
            <w:tcW w:w="1460" w:type="dxa"/>
            <w:vAlign w:val="bottom"/>
            <w:shd w:val="clear" w:color="auto" w:fill="CCEEFF"/>
          </w:tcPr>
          <w:p>
            <w:pPr>
              <w:jc w:val="right"/>
              <w:ind w:right="12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25,231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23,936</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146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5"/>
              </w:rPr>
              <w:t>17,090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18,583</w:t>
            </w:r>
          </w:p>
        </w:tc>
      </w:tr>
      <w:tr>
        <w:trPr>
          <w:trHeight w:val="21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(1)</w:t>
            </w:r>
          </w:p>
        </w:tc>
        <w:tc>
          <w:tcPr>
            <w:tcW w:w="14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05"/>
        </w:trPr>
        <w:tc>
          <w:tcPr>
            <w:tcW w:w="7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w:t>
            </w:r>
          </w:p>
        </w:tc>
        <w:tc>
          <w:tcPr>
            <w:tcW w:w="1460" w:type="dxa"/>
            <w:vAlign w:val="bottom"/>
            <w:tcBorders>
              <w:bottom w:val="single" w:sz="8" w:color="auto"/>
            </w:tcBorders>
          </w:tcPr>
          <w:p>
            <w:pPr>
              <w:jc w:val="right"/>
              <w:ind w:right="128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5"/>
              </w:rPr>
              <w:t>44,099</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43,768</w:t>
            </w:r>
          </w:p>
        </w:tc>
      </w:tr>
      <w:tr>
        <w:trPr>
          <w:trHeight w:val="20"/>
        </w:trPr>
        <w:tc>
          <w:tcPr>
            <w:tcW w:w="7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40" w:hanging="316"/>
        <w:spacing w:after="0" w:line="274" w:lineRule="auto"/>
        <w:tabs>
          <w:tab w:leader="none" w:pos="6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included pension and other postemployment-related regulatory assets of $372 million and $384 million as of June 30, 2025 and December 31,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Houston Electric consists of a single reportable segment. For financial data related to income and expenses for the single reportable segment, see Houston Electric’s Statements of Consolidated Income. For financial data related to segment total assets, see Houston Electric’s Consolidated Balance Sheets. Expenditures for long-lived assets were $1.2 billion and $846 million for the six months ended June 30, 2025 and 2024, respectively. Financial data related to interest income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620" w:type="dxa"/>
            <w:vAlign w:val="bottom"/>
            <w:tcBorders>
              <w:bottom w:val="single" w:sz="8" w:color="auto"/>
            </w:tcBorders>
            <w:gridSpan w:val="3"/>
          </w:tcPr>
          <w:p>
            <w:pPr>
              <w:jc w:val="center"/>
              <w:ind w:left="221"/>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7"/>
        </w:trPr>
        <w:tc>
          <w:tcPr>
            <w:tcW w:w="5260" w:type="dxa"/>
            <w:vAlign w:val="bottom"/>
          </w:tcPr>
          <w:p>
            <w:pPr>
              <w:spacing w:after="0"/>
              <w:rPr>
                <w:sz w:val="17"/>
                <w:szCs w:val="17"/>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5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gridSpan w:val="2"/>
          </w:tcPr>
          <w:p>
            <w:pPr>
              <w:jc w:val="center"/>
              <w:ind w:right="60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7"/>
                <w:szCs w:val="17"/>
                <w:color w:val="auto"/>
              </w:rPr>
            </w:pPr>
          </w:p>
        </w:tc>
      </w:tr>
      <w:tr>
        <w:trPr>
          <w:trHeight w:val="21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(1)</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118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5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Reflected in Other income, net on Houston Electric’s Statements of Consolidated Income.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CERC consists of a single reportable segment. For financial data related to income and expenses for the single reportable segment, see CERC’s Statements of Consolidated Income. For financial data related to segment total assets, see CERC’s Consolidated Balance Sheets. Expenditures for long-lived assets were $667 million and $683 million for the six months ended June 30, 2025 and 2024, respectively. Financial data related to interest income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620" w:type="dxa"/>
            <w:vAlign w:val="bottom"/>
            <w:tcBorders>
              <w:bottom w:val="single" w:sz="8" w:color="auto"/>
            </w:tcBorders>
            <w:gridSpan w:val="3"/>
          </w:tcPr>
          <w:p>
            <w:pPr>
              <w:jc w:val="center"/>
              <w:ind w:left="221"/>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40" w:type="dxa"/>
            <w:vAlign w:val="bottom"/>
            <w:tcBorders>
              <w:bottom w:val="single" w:sz="8" w:color="auto"/>
            </w:tcBorders>
          </w:tcPr>
          <w:p>
            <w:pPr>
              <w:spacing w:after="0"/>
              <w:rPr>
                <w:sz w:val="18"/>
                <w:szCs w:val="18"/>
                <w:color w:val="auto"/>
              </w:rPr>
            </w:pPr>
          </w:p>
        </w:tc>
      </w:tr>
      <w:tr>
        <w:trPr>
          <w:trHeight w:val="207"/>
        </w:trPr>
        <w:tc>
          <w:tcPr>
            <w:tcW w:w="5260" w:type="dxa"/>
            <w:vAlign w:val="bottom"/>
          </w:tcPr>
          <w:p>
            <w:pPr>
              <w:spacing w:after="0"/>
              <w:rPr>
                <w:sz w:val="17"/>
                <w:szCs w:val="17"/>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205"/>
        </w:trPr>
        <w:tc>
          <w:tcPr>
            <w:tcW w:w="5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gridSpan w:val="2"/>
          </w:tcPr>
          <w:p>
            <w:pPr>
              <w:jc w:val="center"/>
              <w:ind w:right="60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gridSpan w:val="2"/>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7"/>
                <w:szCs w:val="17"/>
                <w:color w:val="auto"/>
              </w:rPr>
            </w:pPr>
          </w:p>
        </w:tc>
      </w:tr>
      <w:tr>
        <w:trPr>
          <w:trHeight w:val="21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(1)</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61"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Reflected in Other income, net on CERC’s Statements of Consolidated Income.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 (Houston Electric and CERC)</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 money pool activity: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60" w:type="dxa"/>
            <w:vAlign w:val="bottom"/>
            <w:tcBorders>
              <w:bottom w:val="single" w:sz="8" w:color="auto"/>
            </w:tcBorders>
          </w:tcPr>
          <w:p>
            <w:pPr>
              <w:spacing w:after="0"/>
              <w:rPr>
                <w:sz w:val="18"/>
                <w:szCs w:val="18"/>
                <w:color w:val="auto"/>
              </w:rPr>
            </w:pPr>
          </w:p>
        </w:tc>
      </w:tr>
      <w:tr>
        <w:trPr>
          <w:trHeight w:val="207"/>
        </w:trPr>
        <w:tc>
          <w:tcPr>
            <w:tcW w:w="3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5"/>
        </w:trPr>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0" w:type="dxa"/>
            <w:vAlign w:val="bottom"/>
            <w:gridSpan w:val="4"/>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(in millions, except interest rates)</w:t>
            </w: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pool investments (borrowings) (1)</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(453)</w:t>
            </w:r>
          </w:p>
        </w:tc>
        <w:tc>
          <w:tcPr>
            <w:tcW w:w="58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368</w:t>
            </w:r>
          </w:p>
        </w:tc>
        <w:tc>
          <w:tcPr>
            <w:tcW w:w="66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22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4.65 %</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660" w:type="dxa"/>
            <w:vAlign w:val="bottom"/>
          </w:tcPr>
          <w:p>
            <w:pPr>
              <w:spacing w:after="0"/>
              <w:rPr>
                <w:sz w:val="18"/>
                <w:szCs w:val="18"/>
                <w:color w:val="auto"/>
              </w:rPr>
            </w:pPr>
          </w:p>
        </w:tc>
        <w:tc>
          <w:tcPr>
            <w:tcW w:w="116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5"/>
              </w:rPr>
              <w:t>— %</w:t>
            </w:r>
          </w:p>
        </w:tc>
      </w:tr>
    </w:tbl>
    <w:p>
      <w:pPr>
        <w:spacing w:after="0" w:line="304" w:lineRule="exact"/>
        <w:rPr>
          <w:sz w:val="20"/>
          <w:szCs w:val="20"/>
          <w:color w:val="auto"/>
        </w:rPr>
      </w:pPr>
    </w:p>
    <w:p>
      <w:pPr>
        <w:jc w:val="both"/>
        <w:ind w:left="640" w:hanging="316"/>
        <w:spacing w:after="0" w:line="259" w:lineRule="auto"/>
        <w:tabs>
          <w:tab w:leader="none" w:pos="6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and notes payable-affiliated companies on Houston Electric’s Condensed Consolidated Balance Sheets as of June 30, 2025 and Accounts and notes receivable–affiliated companies in Houston Electric’s and CERC’s respective Condensed Consolidated Balance Sheets as of December 31, 2024, as applicable.</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Houston Electric and CERC affiliate-related transactions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10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60" w:type="dxa"/>
            <w:vAlign w:val="bottom"/>
          </w:tcPr>
          <w:p>
            <w:pPr>
              <w:spacing w:after="0"/>
              <w:rPr>
                <w:sz w:val="13"/>
                <w:szCs w:val="13"/>
                <w:color w:val="auto"/>
              </w:rPr>
            </w:pPr>
          </w:p>
        </w:tc>
        <w:tc>
          <w:tcPr>
            <w:tcW w:w="880" w:type="dxa"/>
            <w:vAlign w:val="bottom"/>
          </w:tcPr>
          <w:p>
            <w:pPr>
              <w:jc w:val="center"/>
              <w:ind w:right="121"/>
              <w:spacing w:after="0" w:line="154" w:lineRule="exact"/>
              <w:rPr>
                <w:sz w:val="20"/>
                <w:szCs w:val="20"/>
                <w:color w:val="auto"/>
              </w:rPr>
            </w:pPr>
            <w:r>
              <w:rPr>
                <w:rFonts w:ascii="Times New Roman" w:cs="Times New Roman" w:eastAsia="Times New Roman" w:hAnsi="Times New Roman"/>
                <w:sz w:val="16"/>
                <w:szCs w:val="16"/>
                <w:b w:val="1"/>
                <w:bCs w:val="1"/>
                <w:color w:val="auto"/>
                <w:w w:val="96"/>
              </w:rPr>
              <w:t>Houston</w:t>
            </w:r>
          </w:p>
        </w:tc>
        <w:tc>
          <w:tcPr>
            <w:tcW w:w="24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60" w:type="dxa"/>
            <w:vAlign w:val="bottom"/>
          </w:tcPr>
          <w:p>
            <w:pPr>
              <w:spacing w:after="0"/>
              <w:rPr>
                <w:sz w:val="13"/>
                <w:szCs w:val="13"/>
                <w:color w:val="auto"/>
              </w:rPr>
            </w:pPr>
          </w:p>
        </w:tc>
        <w:tc>
          <w:tcPr>
            <w:tcW w:w="1120" w:type="dxa"/>
            <w:vAlign w:val="bottom"/>
          </w:tcPr>
          <w:p>
            <w:pPr>
              <w:jc w:val="right"/>
              <w:ind w:right="42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860" w:type="dxa"/>
            <w:vAlign w:val="bottom"/>
          </w:tcPr>
          <w:p>
            <w:pPr>
              <w:jc w:val="center"/>
              <w:ind w:right="8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60" w:type="dxa"/>
            <w:vAlign w:val="bottom"/>
          </w:tcPr>
          <w:p>
            <w:pPr>
              <w:spacing w:after="0"/>
              <w:rPr>
                <w:sz w:val="13"/>
                <w:szCs w:val="13"/>
                <w:color w:val="auto"/>
              </w:rPr>
            </w:pPr>
          </w:p>
        </w:tc>
        <w:tc>
          <w:tcPr>
            <w:tcW w:w="80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7"/>
              </w:rPr>
              <w:t>Electric</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(expense), net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640" w:hanging="316"/>
        <w:spacing w:after="0" w:line="274" w:lineRule="auto"/>
        <w:tabs>
          <w:tab w:leader="none" w:pos="5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included in Other income, net and interest expense is included in Interest expense and other finance charges on Houston Electric’s and CERC’s respective Statements of Consolidated Income.</w:t>
      </w:r>
    </w:p>
    <w:p>
      <w:pPr>
        <w:spacing w:after="0" w:line="190"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2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presents amounts charged for these services, which are included primarily in Operation and maintenance expenses on Houston Electric’s and CERC’s respective Condensed Statements of Consolidated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4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8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900" w:type="dxa"/>
            <w:vAlign w:val="bottom"/>
          </w:tcPr>
          <w:p>
            <w:pPr>
              <w:jc w:val="center"/>
              <w:ind w:right="12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60" w:type="dxa"/>
            <w:vAlign w:val="bottom"/>
          </w:tcPr>
          <w:p>
            <w:pPr>
              <w:spacing w:after="0"/>
              <w:rPr>
                <w:sz w:val="13"/>
                <w:szCs w:val="13"/>
                <w:color w:val="auto"/>
              </w:rPr>
            </w:pPr>
          </w:p>
        </w:tc>
        <w:tc>
          <w:tcPr>
            <w:tcW w:w="880" w:type="dxa"/>
            <w:vAlign w:val="bottom"/>
          </w:tcPr>
          <w:p>
            <w:pPr>
              <w:jc w:val="center"/>
              <w:ind w:right="121"/>
              <w:spacing w:after="0" w:line="154" w:lineRule="exact"/>
              <w:rPr>
                <w:sz w:val="20"/>
                <w:szCs w:val="20"/>
                <w:color w:val="auto"/>
              </w:rPr>
            </w:pPr>
            <w:r>
              <w:rPr>
                <w:rFonts w:ascii="Times New Roman" w:cs="Times New Roman" w:eastAsia="Times New Roman" w:hAnsi="Times New Roman"/>
                <w:sz w:val="16"/>
                <w:szCs w:val="16"/>
                <w:b w:val="1"/>
                <w:bCs w:val="1"/>
                <w:color w:val="auto"/>
                <w:w w:val="96"/>
              </w:rPr>
              <w:t>Houston</w:t>
            </w:r>
          </w:p>
        </w:tc>
        <w:tc>
          <w:tcPr>
            <w:tcW w:w="24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60" w:type="dxa"/>
            <w:vAlign w:val="bottom"/>
          </w:tcPr>
          <w:p>
            <w:pPr>
              <w:spacing w:after="0"/>
              <w:rPr>
                <w:sz w:val="13"/>
                <w:szCs w:val="13"/>
                <w:color w:val="auto"/>
              </w:rPr>
            </w:pPr>
          </w:p>
        </w:tc>
        <w:tc>
          <w:tcPr>
            <w:tcW w:w="880" w:type="dxa"/>
            <w:vAlign w:val="bottom"/>
          </w:tcPr>
          <w:p>
            <w:pPr>
              <w:jc w:val="center"/>
              <w:ind w:right="141"/>
              <w:spacing w:after="0" w:line="154"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78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7"/>
              </w:rPr>
              <w:t>Electric</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service charges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8"/>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Affiliate service charges (billings), net</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and Paid (CenterPoint Energy)</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Energy’s dividends declared and dividends paid are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Paid Per Share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2100" w:type="dxa"/>
            <w:vAlign w:val="bottom"/>
            <w:gridSpan w:val="7"/>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Three Months Ended June</w:t>
            </w:r>
          </w:p>
        </w:tc>
        <w:tc>
          <w:tcPr>
            <w:tcW w:w="212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100" w:type="dxa"/>
            <w:vAlign w:val="bottom"/>
            <w:gridSpan w:val="7"/>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Three Months Ended June</w:t>
            </w:r>
          </w:p>
        </w:tc>
        <w:tc>
          <w:tcPr>
            <w:tcW w:w="20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0.400</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(CenterPoint Energy)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Equity Distribution Agreement</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The offer and sale of Common Stock under the Equity Distribution Agreement will terminate upon the earliest of (1) the sale of all Common Stock subject to the Equity Distribution Agreement, (2) termination of the Equity Distribution Agreement, or (3) May 17, 2026.</w:t>
      </w:r>
    </w:p>
    <w:p>
      <w:pPr>
        <w:spacing w:after="0" w:line="212"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April 2025, CenterPoint Energy entered into separate forward sale agreements pursuant to the Equity Distribution Agreement with certain of the ATM Forward Purchasers relating to 3,277,764 shares and 680,902 shares of Common Stock at an initial forward price of $36.29 per share and $36.72 per share, respectively. The gross sales price of these shares totaled approximately $120 million and $25 million, respectively. In connection with these sales, the ATM Forward Sellers were deemed to have received commissions of approximately $1 million and less than $1 million, respectively. In May 2025, CenterPoint Energy entered into a forward sale agreement with an ATM Forward Purchaser relating to 521,962 shares of Common Stock at an initial forward price of $37.49 per share. The gross sales price of these shares totaled approximately $20 million. In connection with these sales, the ATM Forward Seller was deemed to have received a commission of less than $1 million. CenterPoint Energy has not received any proceeds from such sales of borrowed shares. On a settlement date or dates, if CenterPoint Energy elects to physically settle the forward sale agreements, CenterPoint Energy will issue shares of Common Stock to the counterparties at the then-applicable forward sale price. The forward price used to determine amounts due at settlement is calculated based on a floating interest rate factor equal to the overnight bank funding rate less a spread of 75 basis points, and will be subject to decrease on certain dates specified in the forward sale agreements by specified amounts related to expected dividends on the shares of the Common Stock during the term of the forward sale agreements. If the overnight bank funding rate is less than or more than the spread on any day, the interest rate factor will result in a reduction or an increase, respectively, of the forward sale price.As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2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forward sale agreements require CenterPoint Energy to, at its election on or prior to May 14, 2026, either (1) physically settle the transactions by issuing the total of 4,480,628 shares of Common Stock to the counterparties in exchange for cash of approximately $164 million or (2) net settle the transactions in whole or in part through the delivery or receipt of cash or shares of Common Stock. Pursuant to such net settlement provisions, these agreements could have been settled on June 30, 2025 by CenterPoint Energy’s delivery of less than $1 million of cash or 20,923 shares of Common Stock to the banking counterparties if CenterPoint Energy unilaterally elected net cash or net share settlement, respectively. As of June 30, 2025, CenterPoint Energy had approximately $85 million of remaining capacity available under the at-the-market program.</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 Forward Sale Agreements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May 2025, CenterPoint Energy entered into separate forward sale agreements with certain financial institutions relating to an aggregate of 24,864,865 shares of Common Stock at an initial forward price of $36.26 per share. On a settlement date or dates, if CenterPoint Energy elects to physically settle the forward sale agreements, CenterPoint Energy will issue shares of Common Stock to the counterparties at the then-applicable forward sale price. Each forward sale agreement provides that the initial forward sale price will be subject to adjustment based on a floating interest rate factor equal to the overnight bank funding rate less a spread of 75 basis points, and will be subject to decrease on each of certain dates specified in the relevant forward sale agreement by amounts related to expected dividends on shares of the Common Stock during the term of such forward sale agreement. If the overnight bank funding rate is less than or more than the spread on any day, the interest rate factor will result in a reduction or an increase, respectively of the forward sale price. 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2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forward sale agreements require CenterPoint Energy to, at its election on or prior to February 25, 2027, either (1) physically settle the transactions by issuing the total of 24,864,865 shares of Common Stock to the counterparties in exchange for cash of $904 million or (2) net settle the transactions in whole or in part through the delivery or receipt of cash or shares of Common Stock. Pursuant to such net settlement provisions, these agreements could also have been settled on June 30, 2025 by CenterPoint Energy’s delivery of approximately $9 million of cash or 247,705 shares of Common Stock to the banking counterparties if CenterPoint Energy unilaterally elected net cash or net share settlement,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(CenterPoint Energy and CERC)</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accumulated comprehensive income (loss)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gain from cash flow hedges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Prior service cost (1)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Actuarial losses (1)</w:t>
            </w:r>
          </w:p>
        </w:tc>
        <w:tc>
          <w:tcPr>
            <w:tcW w:w="14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404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Reclassification of deferred gain from cash flow hedges</w:t>
            </w: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realized in net income</w:t>
            </w:r>
          </w:p>
        </w:tc>
        <w:tc>
          <w:tcPr>
            <w:tcW w:w="1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4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Remeasurement of pension and other postretirement</w:t>
            </w:r>
          </w:p>
        </w:tc>
        <w:tc>
          <w:tcPr>
            <w:tcW w:w="140" w:type="dxa"/>
            <w:vAlign w:val="bottom"/>
            <w:shd w:val="clear" w:color="auto" w:fill="CCEEFF"/>
          </w:tcPr>
          <w:p>
            <w:pPr>
              <w:spacing w:after="0"/>
              <w:rPr>
                <w:sz w:val="14"/>
                <w:szCs w:val="14"/>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plans</w:t>
            </w:r>
          </w:p>
        </w:tc>
        <w:tc>
          <w:tcPr>
            <w:tcW w:w="14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deferred gain from cash flow hedges</w:t>
            </w:r>
          </w:p>
        </w:tc>
        <w:tc>
          <w:tcPr>
            <w:tcW w:w="14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40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Prior service cost (1)</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Actuarial losses (gain) (1)</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159"/>
        </w:trPr>
        <w:tc>
          <w:tcPr>
            <w:tcW w:w="404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Reclassification of deferred gain from cash flow hedges</w:t>
            </w:r>
          </w:p>
        </w:tc>
        <w:tc>
          <w:tcPr>
            <w:tcW w:w="14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134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0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realized in net income</w:t>
            </w:r>
          </w:p>
        </w:tc>
        <w:tc>
          <w:tcPr>
            <w:tcW w:w="1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640" w:hanging="316"/>
        <w:spacing w:after="0" w:line="274" w:lineRule="auto"/>
        <w:tabs>
          <w:tab w:leader="none" w:pos="63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included in the computation of net periodic cost and are reflected in Other income, net in each of the Registrants’ respective Condensed Statements of Consolidated Income.</w:t>
      </w:r>
    </w:p>
    <w:p>
      <w:pPr>
        <w:spacing w:after="0" w:line="187" w:lineRule="exact"/>
        <w:rPr>
          <w:rFonts w:ascii="Times New Roman" w:cs="Times New Roman" w:eastAsia="Times New Roman" w:hAnsi="Times New Roman"/>
          <w:sz w:val="18"/>
          <w:szCs w:val="18"/>
          <w:color w:val="auto"/>
        </w:rPr>
      </w:pPr>
    </w:p>
    <w:p>
      <w:pPr>
        <w:ind w:left="340" w:hanging="334"/>
        <w:spacing w:after="0"/>
        <w:tabs>
          <w:tab w:leader="none" w:pos="3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Redemption (CenterPoint Energy)</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July 2025, CenterPoint Energy, through its wholly-owned subsidiary SIGECO, repaid at maturity $41 million aggregate principal amount of SIGECO’s outstanding 3.45% first mortgage bonds due 2025 at a redemption price equal to 100% of the principal amount of the first mortgage bonds to be redeemed plus accrued and unpaid interest thereon.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Issuances (CenterPoint Energy)</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July 1, 2025, CenterPoint Energy, through its wholly-owned subsidiary SIGECO, entered into a Bond Purchase Agreement with certain institutional investors, under which SIGECO agreed to sell, and each investor agreed to severally purchase (i) on July 1, 2025, $100 million aggregate principal amount of SIGECO’s 5.09% First Mortgage Bonds, Series 2025B, Tranche A due 2031 (the “Series 2025B Tranche A Bonds”) and $105 million aggregate principal amount of SIGECO’s 5.52% First Mortgage Bonds, Series 2025B, Tranche B due 2035 (the “Series 2025B Tranche B Bonds” and, together with the Series 2025B Tranche A Bonds, the “Series 2025B Bonds”), and (ii) on October 1, 2025 or such sooner date, as may be selected by SIGECO upon not less than five business days’ advance notice, $45 million aggregate principal amount of SIGECO’s 5.77% First Mortgage Bonds, Series 2025C, Tranche A due 2040 (the “Series 2025C Tranche A Bonds”) and $100 million aggregate principal amount of SIGECO’s 6.18% First Mortgage Bonds, Series 2025C, Tranche B due 2055 (the “Series 2025C Tranche B Bonds”, and together with the Series 2025C Tranche A Bonds, the “Series 2025C Bonds”) in the series and tranche as set forth in the Bond Purchase Agreement.</w:t>
      </w:r>
    </w:p>
    <w:p>
      <w:pPr>
        <w:spacing w:after="0" w:line="2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1, 2025, SIGECO closed on the offering of $205 million aggregate principal amount of the Series 2025B Bonds. The closing of the Series 2025C Bonds is expected to occur on or prior to October 1, 2025. The proceeds of the Series 2025B Bonds were used for, and the proceeds of the 2025C Bonds are expected to be used for, general corporate purposes, including repaying short-term debt, refunding long-term debt at maturity or otherwise, and funding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(CenterPoint Energy)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gridSpan w:val="3"/>
          </w:tcPr>
          <w:p>
            <w:pPr>
              <w:ind w:left="1500"/>
              <w:spacing w:after="0"/>
              <w:rPr>
                <w:sz w:val="20"/>
                <w:szCs w:val="20"/>
                <w:color w:val="auto"/>
              </w:rPr>
            </w:pPr>
            <w:r>
              <w:rPr>
                <w:rFonts w:ascii="Times New Roman" w:cs="Times New Roman" w:eastAsia="Times New Roman" w:hAnsi="Times New Roman"/>
                <w:sz w:val="16"/>
                <w:szCs w:val="16"/>
                <w:b w:val="1"/>
                <w:bCs w:val="1"/>
                <w:color w:val="auto"/>
              </w:rPr>
              <w:t>Equity Instrument</w:t>
            </w: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Payment Date</w:t>
            </w:r>
          </w:p>
        </w:tc>
        <w:tc>
          <w:tcPr>
            <w:tcW w:w="200" w:type="dxa"/>
            <w:vAlign w:val="bottom"/>
          </w:tcPr>
          <w:p>
            <w:pPr>
              <w:spacing w:after="0"/>
              <w:rPr>
                <w:sz w:val="18"/>
                <w:szCs w:val="18"/>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08"/>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July 17, 2025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August 21, 2025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September 11, 2025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0.2200</w:t>
            </w:r>
          </w:p>
        </w:tc>
      </w:tr>
      <w:tr>
        <w:trPr>
          <w:trHeight w:val="531"/>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CenterPoint Energy Appointment of Chief Operating Officer</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21, 2025, CenterPoint Energy announced the appointment of Jesus Soto, Jr. to the position of Executive Vice President and Chief Operating Officer, effective August 11, 2025.</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both"/>
        <w:ind w:left="800" w:hanging="794"/>
        <w:spacing w:after="0" w:line="276"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 OF CENTERPOINT ENERGY, INC. AND SUBSIDIARIES</w:t>
      </w:r>
    </w:p>
    <w:p>
      <w:pPr>
        <w:spacing w:after="0" w:line="18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combined discussion and analysis should be read in combination with the Interim Condensed Financial Statements contained in this combined Form 10-Q and the Registrants’ combined 2024 Form 10-K. When discussing CenterPoint Energy’s consolidated financial information, it includes the results of Houston Electric and CERC, which, along with CenterPoint Energy, are collectively referred to as the Registrants.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representations as to the information related solely to CenterPoint Energy or the subsidiaries of CenterPoint Energy other than itself.</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4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CenterPoint Energy Appointment of Chief Operating Officer. </w:t>
      </w:r>
      <w:r>
        <w:rPr>
          <w:rFonts w:ascii="Times New Roman" w:cs="Times New Roman" w:eastAsia="Times New Roman" w:hAnsi="Times New Roman"/>
          <w:sz w:val="18"/>
          <w:szCs w:val="18"/>
          <w:color w:val="auto"/>
        </w:rPr>
        <w:t>On July 21, 2025, CenterPoint Energy announced the appointment of Jesus Soto, Jr.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of Executive Vice President and Chief Operating Officer, effective August 11, 2025.</w:t>
      </w:r>
    </w:p>
    <w:p>
      <w:pPr>
        <w:spacing w:after="0" w:line="18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One Big Beautiful Bill Act (OBBBA) and Executive Order 14315. </w:t>
      </w:r>
      <w:r>
        <w:rPr>
          <w:rFonts w:ascii="Times New Roman" w:cs="Times New Roman" w:eastAsia="Times New Roman" w:hAnsi="Times New Roman"/>
          <w:sz w:val="18"/>
          <w:szCs w:val="18"/>
          <w:color w:val="auto"/>
        </w:rPr>
        <w:t>On July 4, 2025, the OBBBA was signed into law. The OBBBA includes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such as the permanent extension of certain expiring provisions of the Tax Cuts and Jobs Act of 2017 and numerous changes to the energy tax credits initially introduced and expanded under the IRA. The legislation has multiple effective dates, with certain provisions effective in 2025 and others implemented through 2027. Additionally, on July 7, 2025, President Trump issued Executive Order 14315, which relates to the implementation of such changes to energy tax credits. The Registrants are evaluating the OBBBA for the effect on their future financial results, and the Registrants will consider the impacts of the OBBBA and Executive Order 14315 on any future generation projects, including any BTAs or PPAs, as applicable. As a result of the Registrants having limited generation activities qualifying for tax credits under the IRA, the Registrants do not expect material impacts resulting from the changes to the IRA.</w:t>
      </w:r>
    </w:p>
    <w:p>
      <w:pPr>
        <w:spacing w:after="0" w:line="21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Temporary Generation. </w:t>
      </w:r>
      <w:r>
        <w:rPr>
          <w:rFonts w:ascii="Times New Roman" w:cs="Times New Roman" w:eastAsia="Times New Roman" w:hAnsi="Times New Roman"/>
          <w:sz w:val="18"/>
          <w:szCs w:val="18"/>
          <w:color w:val="auto"/>
        </w:rPr>
        <w:t>In June 2025, Houston Electric entered into definitive documentation, subject to PUCT approval, with relevant parties to release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15 large 27 MW to 32 MW TEEEF units to the San Antonio area for a period of up to two years, during which time Houston Electric will not receive revenue or profit from ERCOT and will also not charge Houston-area customers for these TEEEF units while they are in San Antonio serving ERCOT. For additional information, see Note 6 to the Interim Condensed Financial Statements.</w:t>
      </w:r>
    </w:p>
    <w:p>
      <w:pPr>
        <w:spacing w:after="0" w:line="20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Updated 10-Year Capital Plan. </w:t>
      </w:r>
      <w:r>
        <w:rPr>
          <w:rFonts w:ascii="Times New Roman" w:cs="Times New Roman" w:eastAsia="Times New Roman" w:hAnsi="Times New Roman"/>
          <w:sz w:val="18"/>
          <w:szCs w:val="18"/>
          <w:color w:val="auto"/>
        </w:rPr>
        <w:t>Following CenterPoint Energy’s announcement in April 2025 of an increase of $1 billion to the previously announced 10-year capital plan initially established in 2021, CenterPoint Energy announced in May and July 2025 additional increases of approximately $4 billion and $500 million, respectively, to reflect total capital expenditures of approximately $53 billion through 2030. The additional capital investment is expected to support growth in Texas.</w:t>
      </w:r>
    </w:p>
    <w:p>
      <w:pPr>
        <w:spacing w:after="0" w:line="20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Ohio Natural Gas LDC Sale. </w:t>
      </w:r>
      <w:r>
        <w:rPr>
          <w:rFonts w:ascii="Times New Roman" w:cs="Times New Roman" w:eastAsia="Times New Roman" w:hAnsi="Times New Roman"/>
          <w:sz w:val="18"/>
          <w:szCs w:val="18"/>
          <w:color w:val="auto"/>
        </w:rPr>
        <w:t>In May 2025, CenterPoint Energy announced that it is planning to sell its Ohio natural gas LDC business to support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recycling of capital and portfolio optimization. As of June 30, 2025, the assets associated with this proposed transaction do not meet the requirements to be classified as held for sale.</w:t>
      </w:r>
    </w:p>
    <w:p>
      <w:pPr>
        <w:spacing w:after="0" w:line="197"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Sale Agreements. </w:t>
      </w:r>
      <w:r>
        <w:rPr>
          <w:rFonts w:ascii="Times New Roman" w:cs="Times New Roman" w:eastAsia="Times New Roman" w:hAnsi="Times New Roman"/>
          <w:sz w:val="18"/>
          <w:szCs w:val="18"/>
          <w:color w:val="auto"/>
        </w:rPr>
        <w:t>In May 2025, CenterPoint Energy entered into separate forward sale agreements with certain financial institutions relating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aggregate of 24,864,865 shares of Common Stock. For additional information, see Note 15 to the Interim Condensed Financial Statements.</w:t>
      </w:r>
    </w:p>
    <w:p>
      <w:pPr>
        <w:spacing w:after="0" w:line="18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Distribution Agreement. </w:t>
      </w:r>
      <w:r>
        <w:rPr>
          <w:rFonts w:ascii="Times New Roman" w:cs="Times New Roman" w:eastAsia="Times New Roman" w:hAnsi="Times New Roman"/>
          <w:sz w:val="18"/>
          <w:szCs w:val="18"/>
          <w:color w:val="auto"/>
        </w:rPr>
        <w:t>In April 2025, CenterPoint Energy entered into separate forward sale agreements pursuant to the Equity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certain of the ATM Forward Purchasers relating to 3,277,764 shares and 680,902 shares of Common Stock at an initial forward price of $36.29 per share and $36.72 per share, respectively. In May 2025, CenterPoint Energy entered into a forward sale agreement with an ATM Forward Purchaser relating to 521,962 shares of Common Stock at an initial forward price of $37.49 per share. For additional information, see Note 15 to the Interim Condensed Financial Statements.</w:t>
      </w:r>
    </w:p>
    <w:p>
      <w:pPr>
        <w:spacing w:after="0" w:line="20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Divestiture of Louisiana and Mississippi Natural Gas Businesses. </w:t>
      </w:r>
      <w:r>
        <w:rPr>
          <w:rFonts w:ascii="Times New Roman" w:cs="Times New Roman" w:eastAsia="Times New Roman" w:hAnsi="Times New Roman"/>
          <w:sz w:val="18"/>
          <w:szCs w:val="18"/>
          <w:color w:val="auto"/>
        </w:rPr>
        <w:t>On March 31, 2025, CenterPoint Energy, through its subsidiary CERC Corp.,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completed the sale of its Louisiana and Mississippi natural gas LDC businesses for approximately $1.2 billion, subject to adjustment as set forth in the LAMS Asset Purchase Agreement, including adjustments based on net working capital, regulatory assets and liabilities and capital expenditures at closing. For information about this transaction,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of Posey Solar. </w:t>
      </w:r>
      <w:r>
        <w:rPr>
          <w:rFonts w:ascii="Times New Roman" w:cs="Times New Roman" w:eastAsia="Times New Roman" w:hAnsi="Times New Roman"/>
          <w:sz w:val="18"/>
          <w:szCs w:val="18"/>
          <w:color w:val="auto"/>
        </w:rPr>
        <w:t>On March 7, 2025, SIGECO acquired 100% of the equity interests in Posey Solar, which was constructing a 191 MW solar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array in Posey County, Indiana, for approximately $357 million. For information about this transaction, see Note 3 to the Interim Condensed Financial Statements.</w:t>
      </w:r>
    </w:p>
    <w:p>
      <w:pPr>
        <w:spacing w:after="0" w:line="197"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Proceedings. </w:t>
      </w:r>
      <w:r>
        <w:rPr>
          <w:rFonts w:ascii="Times New Roman" w:cs="Times New Roman" w:eastAsia="Times New Roman" w:hAnsi="Times New Roman"/>
          <w:sz w:val="18"/>
          <w:szCs w:val="18"/>
          <w:color w:val="auto"/>
        </w:rPr>
        <w:t>For further information, see Note 6 to the Interim Condensed Financial Statements. For information related to our pending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completed regulatory proceedings to date in 2025, see “Liquidity and Capital Resources —Regulatory Matters” below.</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Transactions. </w:t>
      </w:r>
      <w:r>
        <w:rPr>
          <w:rFonts w:ascii="Times New Roman" w:cs="Times New Roman" w:eastAsia="Times New Roman" w:hAnsi="Times New Roman"/>
          <w:sz w:val="18"/>
          <w:szCs w:val="18"/>
          <w:color w:val="auto"/>
        </w:rPr>
        <w:t>For information about debt transactions to date in 2025, see Note 9 and Note 16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CONSOLIDATED RESULTS OF OPERATIONS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our consolidated operations, see “Risk Factors” in Part I, Item 1A of the Registrants’ combined 2024 Form 10-K.</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for the three and six months ended June 30, 2025 and 2024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20" w:type="dxa"/>
            <w:vAlign w:val="bottom"/>
          </w:tcPr>
          <w:p>
            <w:pPr>
              <w:spacing w:after="0"/>
              <w:rPr>
                <w:sz w:val="18"/>
                <w:szCs w:val="18"/>
                <w:color w:val="auto"/>
              </w:rPr>
            </w:pPr>
          </w:p>
        </w:tc>
        <w:tc>
          <w:tcPr>
            <w:tcW w:w="3060" w:type="dxa"/>
            <w:vAlign w:val="bottom"/>
            <w:gridSpan w:val="7"/>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88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41"/>
              <w:spacing w:after="0" w:line="155" w:lineRule="exact"/>
              <w:rPr>
                <w:sz w:val="20"/>
                <w:szCs w:val="20"/>
                <w:color w:val="auto"/>
              </w:rPr>
            </w:pPr>
            <w:r>
              <w:rPr>
                <w:rFonts w:ascii="Times New Roman" w:cs="Times New Roman" w:eastAsia="Times New Roman" w:hAnsi="Times New Roman"/>
                <w:sz w:val="16"/>
                <w:szCs w:val="16"/>
                <w:b w:val="1"/>
                <w:bCs w:val="1"/>
                <w:color w:val="auto"/>
                <w:w w:val="98"/>
              </w:rPr>
              <w:t>Favorable</w:t>
            </w:r>
          </w:p>
        </w:tc>
        <w:tc>
          <w:tcPr>
            <w:tcW w:w="10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21"/>
              <w:spacing w:after="0" w:line="155"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1"/>
        </w:trPr>
        <w:tc>
          <w:tcPr>
            <w:tcW w:w="324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8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3"/>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Utility Operations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and Other (1)</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2"/>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CenterPoint Energy</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Includes unallocated corporate costs, interest income and interest expense and intercompany eliminations.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to three months ended June 30, 2024</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decreased $30 million primarily due to the following items:</w:t>
      </w:r>
    </w:p>
    <w:p>
      <w:pPr>
        <w:spacing w:after="0" w:line="244"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of $44 million for the Electric reportable segment, as further discussed below;</w:t>
      </w:r>
    </w:p>
    <w:p>
      <w:pPr>
        <w:spacing w:after="0" w:line="24" w:lineRule="exact"/>
        <w:rPr>
          <w:rFonts w:ascii="Times New Roman" w:cs="Times New Roman" w:eastAsia="Times New Roman" w:hAnsi="Times New Roman"/>
          <w:sz w:val="18"/>
          <w:szCs w:val="18"/>
          <w:color w:val="auto"/>
        </w:rPr>
      </w:pPr>
    </w:p>
    <w:p>
      <w:pPr>
        <w:ind w:left="640" w:hanging="316"/>
        <w:spacing w:after="0" w:line="231"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income of $39 million for the Natural Gas reportable segment, as further discussed below; and</w:t>
      </w:r>
    </w:p>
    <w:p>
      <w:pPr>
        <w:jc w:val="both"/>
        <w:ind w:left="640" w:hanging="316"/>
        <w:spacing w:after="0" w:line="225"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of $25 million for Corporate and Other, primarily due to $14 million after-tax expense associated with increased borrowing costs and $27 million associated with an increase in tax expense, partially offset by a $21 million after-tax gain on early extinguishment of debt with proceeds from the divestiture of the Louisiana and Mississippi natural gas LDCs. See Note 3 and Note 9 for additional detail.</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decreased $83 million primarily due to the following items:</w:t>
      </w:r>
    </w:p>
    <w:p>
      <w:pPr>
        <w:spacing w:after="0" w:line="244"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decrease in net income of $57 million for the Electric reportable segment, as further discussed below;</w:t>
      </w:r>
    </w:p>
    <w:p>
      <w:pPr>
        <w:spacing w:after="0" w:line="24"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of $16 million for the Natural Gas reportable segment, as further discussed below; and</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7"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income of $10 million for Corporate and Other, primarily due to a $27 million after-tax expense associated with increased borrowing costs, $8 million associated with a year-to-date tax benefit associated with the favorable impact of accrued income tax benefits offset in other segments in the first quarter of 2025, partially offset by a $21 million after-tax gain on early extinguishment of debt with proceeds from the divestiture of the Louisiana and Mississippi natural gas LDCs. See Note 3 and Note 9 for additional detail.</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10 to the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ENERGY’S RESULTS OF OPERATIONS BY REPORTABLE SEGMENT</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discussion of CenterPoint Energy’s results of operations is separated into two reportable segments, Electric and Natural Gas.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Electric (CenterPoint Energy)</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information regarding factors that may affect the future results of operations of CenterPoint Energy’s Electric reportable segment, see “Risk Factors</w:t>
      </w:r>
    </w:p>
    <w:p>
      <w:pPr>
        <w:spacing w:after="0" w:line="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CenterPoint Energy’s Electric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61"/>
              <w:spacing w:after="0" w:line="155"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1"/>
        </w:trPr>
        <w:tc>
          <w:tcPr>
            <w:tcW w:w="2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5"/>
              </w:rPr>
              <w:t>(Unfavorable)</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operating statistics)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2,256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4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Utility natural gas, fuel and purchased</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power</w:t>
            </w: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3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1,683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74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Interest expense and other finance</w:t>
            </w:r>
          </w:p>
        </w:tc>
        <w:tc>
          <w:tcPr>
            <w:tcW w:w="300" w:type="dxa"/>
            <w:vAlign w:val="bottom"/>
          </w:tcPr>
          <w:p>
            <w:pPr>
              <w:spacing w:after="0"/>
              <w:rPr>
                <w:sz w:val="13"/>
                <w:szCs w:val="13"/>
                <w:color w:val="auto"/>
              </w:rPr>
            </w:pPr>
          </w:p>
        </w:tc>
        <w:tc>
          <w:tcPr>
            <w:tcW w:w="10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2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charges</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7"/>
                <w:szCs w:val="17"/>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7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Throughput (in GWh):</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159"/>
        </w:trPr>
        <w:tc>
          <w:tcPr>
            <w:tcW w:w="27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Weather (percentage of normal weather</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service area):</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Cooling degree days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Heating degree days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161"/>
        </w:trPr>
        <w:tc>
          <w:tcPr>
            <w:tcW w:w="27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Number of metered customers at end of</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2,663,365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2,663,365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2,996,732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2,996,732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2025 compared to the three months ended June 30, 2024 as well as for the six months ended June 30, 2025 compared to the six months ended June 30, 2024 by major income statement caption for CenterPoint Energy’s Electric reportable segment:</w:t>
      </w:r>
    </w:p>
    <w:p>
      <w:pPr>
        <w:spacing w:after="0" w:line="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3"/>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6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 June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 vs 2024</w:t>
            </w:r>
          </w:p>
        </w:tc>
        <w:tc>
          <w:tcPr>
            <w:tcW w:w="1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gridSpan w:val="3"/>
          </w:tcPr>
          <w:p>
            <w:pPr>
              <w:jc w:val="right"/>
              <w:ind w:right="122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14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Transmission Revenues, including TCOS and TCRF, inclusive of costs billed by transmission providers,</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CCEEFF"/>
            </w:tcBorders>
            <w:vMerge w:val="restart"/>
            <w:shd w:val="clear" w:color="auto" w:fill="CCEEFF"/>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partially offset in operation and maintenance below</w:t>
            </w:r>
          </w:p>
        </w:tc>
        <w:tc>
          <w:tcPr>
            <w:tcW w:w="18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 and the impact of the change in rate design</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fuel and purchased power, offset in utility natural gas, fuel and purchased power below</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operation and maintenance below</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Miscellaneous revenues, including service connections and off-system sales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return, related to true-up of transition charges for Transition Bond Company IV in 2024</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Weather, efficiency improvements and other usage impacts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Bond Company IV and SIGECO Securitization Subsidiary, offset in other line items below</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220" w:type="dxa"/>
            <w:vAlign w:val="bottom"/>
            <w:tcBorders>
              <w:bottom w:val="single" w:sz="8" w:color="CCEEFF"/>
            </w:tcBorders>
            <w:gridSpan w:val="2"/>
          </w:tcPr>
          <w:p>
            <w:pPr>
              <w:ind w:left="68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Utility natural gas, fuel and purchased power</w:t>
            </w: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purchased power, offset in revenues above</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660" w:type="dxa"/>
            <w:vAlign w:val="bottom"/>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fuel, including coal, natural gas, and fuel oil, offset in revenues above</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220" w:type="dxa"/>
            <w:vAlign w:val="bottom"/>
            <w:tcBorders>
              <w:bottom w:val="single" w:sz="8" w:color="CCEEFF"/>
            </w:tcBorders>
            <w:gridSpan w:val="2"/>
          </w:tcPr>
          <w:p>
            <w:pPr>
              <w:ind w:left="68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7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Operation and maintenance</w:t>
            </w: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Transmission costs billed by transmission providers, offset in revenues above</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660" w:type="dxa"/>
            <w:vAlign w:val="bottom"/>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Transition Bond Company IV and SIGECO Securitization Subsidiary, offset in other line items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revenues above</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 other operation and maintenance expense, including materials and supplies and insurance</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20" w:type="dxa"/>
            <w:vAlign w:val="bottom"/>
            <w:gridSpan w:val="2"/>
            <w:shd w:val="clear" w:color="auto" w:fill="CCEEFF"/>
          </w:tcPr>
          <w:p>
            <w:pPr>
              <w:ind w:left="68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7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Depreciation and amortization</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expense associated with temporary generation units no longer eligible for regulatory deferral</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Bond Company IV and SIGECO Securitization Subsidiary, offset in other line items</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Borders>
              <w:bottom w:val="single" w:sz="8" w:color="CCEEFF"/>
            </w:tcBorders>
            <w:gridSpan w:val="2"/>
          </w:tcPr>
          <w:p>
            <w:pPr>
              <w:ind w:left="68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Taxes other than income taxes</w:t>
            </w: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updated property tax rates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20" w:type="dxa"/>
            <w:vAlign w:val="bottom"/>
            <w:gridSpan w:val="2"/>
            <w:shd w:val="clear" w:color="auto" w:fill="CCEEFF"/>
          </w:tcPr>
          <w:p>
            <w:pPr>
              <w:ind w:left="68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Interest expense and other finance charges</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Bond Company IV and SIGECO Securitization Subsidiary, offset in other line items above</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Borders>
              <w:bottom w:val="single" w:sz="8" w:color="CCEEFF"/>
            </w:tcBorders>
            <w:gridSpan w:val="2"/>
          </w:tcPr>
          <w:p>
            <w:pPr>
              <w:ind w:left="68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7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Other income, net</w:t>
            </w: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including AFUDC - Equity</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1660" w:type="dxa"/>
            <w:vAlign w:val="bottom"/>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Bond Company IV and SIGECO Securitization Subsidiary, offset in other line items above</w:t>
            </w: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gridSpan w:val="2"/>
          </w:tcPr>
          <w:p>
            <w:pPr>
              <w:ind w:left="68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Income Tax Expense. </w:t>
      </w:r>
      <w:r>
        <w:rPr>
          <w:rFonts w:ascii="Times New Roman" w:cs="Times New Roman" w:eastAsia="Times New Roman" w:hAnsi="Times New Roman"/>
          <w:sz w:val="17"/>
          <w:szCs w:val="17"/>
          <w:color w:val="auto"/>
        </w:rPr>
        <w:t>For a discussion of effective tax rate per period by Registrant, see Note 10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00"/>
          </w:cols>
          <w:pgMar w:left="320" w:top="119" w:right="10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(CenterPoint Energy)</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operations of CenterPoint Energy’s Natural Gas reportable segment,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CenterPoint Energy’s Natural Gas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w w:val="98"/>
              </w:rPr>
              <w:t>Favorable</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61"/>
              <w:spacing w:after="0" w:line="155"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1"/>
        </w:trPr>
        <w:tc>
          <w:tcPr>
            <w:tcW w:w="2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5"/>
              </w:rPr>
              <w:t>(Unfavorable)</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operating statistics)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2,265</w:t>
            </w:r>
          </w:p>
        </w:tc>
        <w:tc>
          <w:tcPr>
            <w:tcW w:w="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19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 and fuel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159"/>
        </w:trPr>
        <w:tc>
          <w:tcPr>
            <w:tcW w:w="274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Non-utility cost of revenues, including</w:t>
            </w:r>
          </w:p>
        </w:tc>
        <w:tc>
          <w:tcPr>
            <w:tcW w:w="300" w:type="dxa"/>
            <w:vAlign w:val="bottom"/>
          </w:tcPr>
          <w:p>
            <w:pPr>
              <w:spacing w:after="0"/>
              <w:rPr>
                <w:sz w:val="13"/>
                <w:szCs w:val="13"/>
                <w:color w:val="auto"/>
              </w:rPr>
            </w:pP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natural gas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0"/>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1,751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59"/>
        </w:trPr>
        <w:tc>
          <w:tcPr>
            <w:tcW w:w="2740" w:type="dxa"/>
            <w:vAlign w:val="bottom"/>
          </w:tcPr>
          <w:p>
            <w:pPr>
              <w:ind w:left="100"/>
              <w:spacing w:after="0" w:line="159" w:lineRule="exact"/>
              <w:rPr>
                <w:sz w:val="20"/>
                <w:szCs w:val="20"/>
                <w:color w:val="auto"/>
              </w:rPr>
            </w:pPr>
            <w:r>
              <w:rPr>
                <w:rFonts w:ascii="Times New Roman" w:cs="Times New Roman" w:eastAsia="Times New Roman" w:hAnsi="Times New Roman"/>
                <w:sz w:val="16"/>
                <w:szCs w:val="16"/>
                <w:color w:val="auto"/>
              </w:rPr>
              <w:t>Interest expense and other finance</w:t>
            </w:r>
          </w:p>
        </w:tc>
        <w:tc>
          <w:tcPr>
            <w:tcW w:w="300" w:type="dxa"/>
            <w:vAlign w:val="bottom"/>
          </w:tcPr>
          <w:p>
            <w:pPr>
              <w:spacing w:after="0"/>
              <w:rPr>
                <w:sz w:val="13"/>
                <w:szCs w:val="13"/>
                <w:color w:val="auto"/>
              </w:rPr>
            </w:pPr>
          </w:p>
        </w:tc>
        <w:tc>
          <w:tcPr>
            <w:tcW w:w="10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charges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79"/>
        </w:trPr>
        <w:tc>
          <w:tcPr>
            <w:tcW w:w="274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0"/>
              <w:spacing w:after="0" w:line="179" w:lineRule="exact"/>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1"/>
              <w:spacing w:after="0" w:line="179" w:lineRule="exact"/>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81"/>
              <w:spacing w:after="0" w:line="179"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7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Throughput (in Bcf):</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7"/>
        </w:trPr>
        <w:tc>
          <w:tcPr>
            <w:tcW w:w="2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7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Weather (percentage of 10-year average</w:t>
            </w: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service area):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Heating degree days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161"/>
        </w:trPr>
        <w:tc>
          <w:tcPr>
            <w:tcW w:w="27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Number of metered customers at end of</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3,714,672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4,022,435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3,714,672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4,022,435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27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3,994,198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4,323,753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3,994,198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4,323,753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ind w:left="640" w:right="20" w:hanging="316"/>
        <w:spacing w:after="0" w:line="274" w:lineRule="auto"/>
        <w:tabs>
          <w:tab w:leader="none" w:pos="6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number of metered customers is primarily attributable to customer accounts associated with the divestiture of the Louisiana and Mississippi natural gas LDCs. See Note 3 for additional detail.</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2025 compared to the three months ended June 30, 2024 as well as for the six months ended June 30, 2025 compared to the six months ended June 30, 2024 by major income statement caption for CenterPoint Energy’s Natural Gas reportable segment: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3"/>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460" w:type="dxa"/>
            <w:vAlign w:val="bottom"/>
            <w:tcBorders>
              <w:bottom w:val="single" w:sz="8" w:color="auto"/>
            </w:tcBorders>
          </w:tcPr>
          <w:p>
            <w:pPr>
              <w:spacing w:after="0"/>
              <w:rPr>
                <w:sz w:val="18"/>
                <w:szCs w:val="18"/>
                <w:color w:val="auto"/>
              </w:rPr>
            </w:pPr>
          </w:p>
        </w:tc>
      </w:tr>
      <w:tr>
        <w:trPr>
          <w:trHeight w:val="155"/>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 vs 2024</w:t>
            </w: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460" w:type="dxa"/>
            <w:vAlign w:val="bottom"/>
            <w:tcBorders>
              <w:bottom w:val="single" w:sz="8" w:color="auto"/>
            </w:tcBorders>
          </w:tcPr>
          <w:p>
            <w:pPr>
              <w:spacing w:after="0"/>
              <w:rPr>
                <w:sz w:val="18"/>
                <w:szCs w:val="18"/>
                <w:color w:val="auto"/>
              </w:rPr>
            </w:pPr>
          </w:p>
        </w:tc>
      </w:tr>
      <w:tr>
        <w:trPr>
          <w:trHeight w:val="204"/>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gridSpan w:val="3"/>
          </w:tcPr>
          <w:p>
            <w:pPr>
              <w:jc w:val="right"/>
              <w:ind w:right="106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r>
      <w:tr>
        <w:trPr>
          <w:trHeight w:val="212"/>
        </w:trPr>
        <w:tc>
          <w:tcPr>
            <w:tcW w:w="7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8"/>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utility natural gas and fuel below</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operation and maintenance below</w:t>
            </w:r>
          </w:p>
        </w:tc>
        <w:tc>
          <w:tcPr>
            <w:tcW w:w="1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taxes other than income taxes below</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Non-volumetric and miscellaneous revenue</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Weather and usage</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Non-utility revenues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 and impact of the change in rate design</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7200" w:type="dxa"/>
            <w:vAlign w:val="bottom"/>
            <w:tcBorders>
              <w:bottom w:val="single" w:sz="8" w:color="CCEEFF"/>
            </w:tcBorders>
            <w:gridSpan w:val="2"/>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194"/>
        </w:trPr>
        <w:tc>
          <w:tcPr>
            <w:tcW w:w="7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Utility natural gas and fuel</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03"/>
        </w:trPr>
        <w:tc>
          <w:tcPr>
            <w:tcW w:w="7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revenues above</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7"/>
                <w:szCs w:val="17"/>
                <w:color w:val="auto"/>
              </w:rPr>
            </w:pPr>
          </w:p>
        </w:tc>
        <w:tc>
          <w:tcPr>
            <w:tcW w:w="1520" w:type="dxa"/>
            <w:vAlign w:val="bottom"/>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7200" w:type="dxa"/>
            <w:vAlign w:val="bottom"/>
            <w:tcBorders>
              <w:bottom w:val="single" w:sz="8" w:color="CCEEFF"/>
            </w:tcBorders>
            <w:gridSpan w:val="2"/>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194"/>
        </w:trPr>
        <w:tc>
          <w:tcPr>
            <w:tcW w:w="7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Operation and maintenance</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03"/>
        </w:trPr>
        <w:tc>
          <w:tcPr>
            <w:tcW w:w="7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All other operations and maintenance expense, including bad debt expense</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520" w:type="dxa"/>
            <w:vAlign w:val="bottom"/>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revenues above</w:t>
            </w:r>
          </w:p>
        </w:tc>
        <w:tc>
          <w:tcPr>
            <w:tcW w:w="1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7200" w:type="dxa"/>
            <w:vAlign w:val="bottom"/>
            <w:tcBorders>
              <w:bottom w:val="single" w:sz="8" w:color="CCEEFF"/>
            </w:tcBorders>
            <w:gridSpan w:val="2"/>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7"/>
        </w:trPr>
        <w:tc>
          <w:tcPr>
            <w:tcW w:w="7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Depreciation and amortization</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05"/>
        </w:trPr>
        <w:tc>
          <w:tcPr>
            <w:tcW w:w="7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100" w:type="dxa"/>
            <w:vAlign w:val="bottom"/>
          </w:tcPr>
          <w:p>
            <w:pPr>
              <w:spacing w:after="0"/>
              <w:rPr>
                <w:sz w:val="17"/>
                <w:szCs w:val="17"/>
                <w:color w:val="auto"/>
              </w:rPr>
            </w:pPr>
          </w:p>
        </w:tc>
        <w:tc>
          <w:tcPr>
            <w:tcW w:w="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7"/>
                <w:szCs w:val="17"/>
                <w:color w:val="auto"/>
              </w:rPr>
            </w:pPr>
          </w:p>
        </w:tc>
        <w:tc>
          <w:tcPr>
            <w:tcW w:w="1520" w:type="dxa"/>
            <w:vAlign w:val="bottom"/>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7200" w:type="dxa"/>
            <w:vAlign w:val="bottom"/>
            <w:tcBorders>
              <w:bottom w:val="single" w:sz="8" w:color="CCEEFF"/>
            </w:tcBorders>
            <w:gridSpan w:val="2"/>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4"/>
        </w:trPr>
        <w:tc>
          <w:tcPr>
            <w:tcW w:w="7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Taxes other than income taxes</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03"/>
        </w:trPr>
        <w:tc>
          <w:tcPr>
            <w:tcW w:w="7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revenues above</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520" w:type="dxa"/>
            <w:vAlign w:val="bottom"/>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updated property tax rates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720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1"/>
        </w:trPr>
        <w:tc>
          <w:tcPr>
            <w:tcW w:w="7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Loss on sale</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Louisiana and Mississippi natural gas LDC businesses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shd w:val="clear" w:color="auto" w:fill="CCEEFF"/>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3"/>
        </w:trPr>
        <w:tc>
          <w:tcPr>
            <w:tcW w:w="7200" w:type="dxa"/>
            <w:vAlign w:val="bottom"/>
            <w:tcBorders>
              <w:bottom w:val="single" w:sz="8" w:color="CCEEFF"/>
            </w:tcBorders>
            <w:gridSpan w:val="2"/>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4"/>
        </w:trPr>
        <w:tc>
          <w:tcPr>
            <w:tcW w:w="7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Interest expense and other finance charges</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r>
      <w:tr>
        <w:trPr>
          <w:trHeight w:val="203"/>
        </w:trPr>
        <w:tc>
          <w:tcPr>
            <w:tcW w:w="7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1520" w:type="dxa"/>
            <w:vAlign w:val="bottom"/>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720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1"/>
        </w:trPr>
        <w:tc>
          <w:tcPr>
            <w:tcW w:w="7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Other income, net</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including AFUDC - Equity</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7200" w:type="dxa"/>
            <w:vAlign w:val="bottom"/>
            <w:tcBorders>
              <w:top w:val="single" w:sz="8" w:color="CCEEFF"/>
            </w:tcBorders>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by Registrant, see Note 10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ELECTRIC CONSOLIDATED RESULTS OF OPERATIONS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2024 Form 10-K and in Part II, Item 1A of this combined Form 10-Q.</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Houston Electric’s single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8"/>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3880" w:type="dxa"/>
            <w:vAlign w:val="bottom"/>
            <w:gridSpan w:val="7"/>
          </w:tcPr>
          <w:p>
            <w:pPr>
              <w:jc w:val="right"/>
              <w:ind w:right="108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61"/>
              <w:spacing w:after="0" w:line="155" w:lineRule="exact"/>
              <w:rPr>
                <w:sz w:val="20"/>
                <w:szCs w:val="20"/>
                <w:color w:val="auto"/>
              </w:rPr>
            </w:pPr>
            <w:r>
              <w:rPr>
                <w:rFonts w:ascii="Times New Roman" w:cs="Times New Roman" w:eastAsia="Times New Roman" w:hAnsi="Times New Roman"/>
                <w:sz w:val="16"/>
                <w:szCs w:val="16"/>
                <w:b w:val="1"/>
                <w:bCs w:val="1"/>
                <w:color w:val="auto"/>
                <w:w w:val="98"/>
              </w:rPr>
              <w:t>Favorable</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61"/>
              <w:spacing w:after="0" w:line="155"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204"/>
        </w:trPr>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 except operating statistics)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TDU</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Transition Bond Company IV</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27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1,945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Operation and maintenance, excluding</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Transition Bond Company IV</w:t>
            </w: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excluding Transition Bond Company</w:t>
            </w:r>
          </w:p>
        </w:tc>
        <w:tc>
          <w:tcPr>
            <w:tcW w:w="300" w:type="dxa"/>
            <w:vAlign w:val="bottom"/>
          </w:tcPr>
          <w:p>
            <w:pPr>
              <w:spacing w:after="0"/>
              <w:rPr>
                <w:sz w:val="13"/>
                <w:szCs w:val="13"/>
                <w:color w:val="auto"/>
              </w:rPr>
            </w:pP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2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IV</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Transition Bond Company IV</w:t>
            </w:r>
          </w:p>
        </w:tc>
        <w:tc>
          <w:tcPr>
            <w:tcW w:w="3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27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Interest expense and other finance</w:t>
            </w:r>
          </w:p>
        </w:tc>
        <w:tc>
          <w:tcPr>
            <w:tcW w:w="300" w:type="dxa"/>
            <w:vAlign w:val="bottom"/>
          </w:tcPr>
          <w:p>
            <w:pPr>
              <w:spacing w:after="0"/>
              <w:rPr>
                <w:sz w:val="13"/>
                <w:szCs w:val="13"/>
                <w:color w:val="auto"/>
              </w:rPr>
            </w:pPr>
          </w:p>
        </w:tc>
        <w:tc>
          <w:tcPr>
            <w:tcW w:w="10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2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charges</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78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Interest expense on Securitization</w:t>
            </w:r>
          </w:p>
        </w:tc>
        <w:tc>
          <w:tcPr>
            <w:tcW w:w="3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Bonds</w:t>
            </w:r>
          </w:p>
        </w:tc>
        <w:tc>
          <w:tcPr>
            <w:tcW w:w="3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2"/>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Throughput (in GWh):</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0"/>
        </w:trPr>
        <w:tc>
          <w:tcPr>
            <w:tcW w:w="2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161"/>
        </w:trPr>
        <w:tc>
          <w:tcPr>
            <w:tcW w:w="27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Weather (percentage of 10-year average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service area):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Cooling degree days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Heating degree days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59"/>
        </w:trPr>
        <w:tc>
          <w:tcPr>
            <w:tcW w:w="27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Number of metered customers at end of</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2,528,981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2,486,881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2,528,981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08"/>
        </w:trPr>
        <w:tc>
          <w:tcPr>
            <w:tcW w:w="2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2,842,718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2,797,899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2,842,718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2,797,899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2025 compared to the three months ended June 30, 2024 as well as for the six months ended June 30, 2025 compared to the six months ended June 30, 2024 by major income statement caption for Houston Electric: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 vs 2024</w:t>
            </w:r>
          </w:p>
        </w:tc>
        <w:tc>
          <w:tcPr>
            <w:tcW w:w="15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gridSpan w:val="3"/>
          </w:tcPr>
          <w:p>
            <w:pPr>
              <w:jc w:val="right"/>
              <w:ind w:right="1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10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Transmission Revenues, including TCOS and TCRF, inclusive of costs billed by transmission providers,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CCEEFF"/>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vMerge w:val="restart"/>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2"/>
        </w:trPr>
        <w:tc>
          <w:tcPr>
            <w:tcW w:w="7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partially offset in operation and maintenance below</w:t>
            </w:r>
          </w:p>
        </w:tc>
        <w:tc>
          <w:tcPr>
            <w:tcW w:w="180" w:type="dxa"/>
            <w:vAlign w:val="bottom"/>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 and the impact of the change in rate design</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partially offset in operations and maintenance below</w:t>
            </w:r>
          </w:p>
        </w:tc>
        <w:tc>
          <w:tcPr>
            <w:tcW w:w="18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 revenues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return, related to true-up of transition charges for Transition Bond Company IV in 2024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Weather, efficiency improvements and other usage impacts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Transition Bond Company IV, offset in other line items below</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720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1"/>
        </w:trPr>
        <w:tc>
          <w:tcPr>
            <w:tcW w:w="7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Operation and maintenance, excluding Transition Bond Company IV</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Transmission costs billed by transmission providers, offset in revenues above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operation and maintenance expense, including materials and supplies and insurance</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revenues above</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1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7200" w:type="dxa"/>
            <w:vAlign w:val="bottom"/>
            <w:tcBorders>
              <w:top w:val="single" w:sz="8" w:color="CCEEFF"/>
            </w:tcBorders>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1"/>
        </w:trPr>
        <w:tc>
          <w:tcPr>
            <w:tcW w:w="7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Depreciation and amortization, excluding Transition Bond Company IV</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Lease expense associated with temporary generation units no longer eligible for regulatory deferral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7"/>
        </w:trPr>
        <w:tc>
          <w:tcPr>
            <w:tcW w:w="720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1"/>
        </w:trPr>
        <w:tc>
          <w:tcPr>
            <w:tcW w:w="7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Taxes other than income taxes</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changes to tax rates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7200" w:type="dxa"/>
            <w:vAlign w:val="bottom"/>
            <w:tcBorders>
              <w:bottom w:val="single" w:sz="8" w:color="CCEEFF"/>
            </w:tcBorders>
            <w:gridSpan w:val="2"/>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4"/>
        </w:trPr>
        <w:tc>
          <w:tcPr>
            <w:tcW w:w="7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Transition Bond Company IV expense</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Operations and maintenance and depreciation expense, offset in revenues above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720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91"/>
        </w:trPr>
        <w:tc>
          <w:tcPr>
            <w:tcW w:w="7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Interest expense and other finance charges</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720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91"/>
        </w:trPr>
        <w:tc>
          <w:tcPr>
            <w:tcW w:w="7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Interest expense on Securitization Bonds</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Lower outstanding principal balance, offset in revenues above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CCEEFF"/>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7200" w:type="dxa"/>
            <w:vAlign w:val="bottom"/>
            <w:tcBorders>
              <w:bottom w:val="single" w:sz="8" w:color="CCEEFF"/>
            </w:tcBorders>
            <w:gridSpan w:val="2"/>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4"/>
        </w:trPr>
        <w:tc>
          <w:tcPr>
            <w:tcW w:w="7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Other income, net</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including AFUDC - Equity</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720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10 to the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CERC CONSOLIDATED RESULTS OF OPERATIONS</w:t>
      </w:r>
    </w:p>
    <w:p>
      <w:pPr>
        <w:spacing w:after="0" w:line="232"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20" w:type="dxa"/>
            <w:vAlign w:val="bottom"/>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21"/>
              <w:spacing w:after="0" w:line="155"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61"/>
              <w:spacing w:after="0" w:line="155"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7"/>
              </w:rPr>
              <w:t>(Unfavorable)</w:t>
            </w: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millions, except operating statistics)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679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2,191</w:t>
            </w:r>
          </w:p>
        </w:tc>
        <w:tc>
          <w:tcPr>
            <w:tcW w:w="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159"/>
        </w:trPr>
        <w:tc>
          <w:tcPr>
            <w:tcW w:w="270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Non-utility cost of revenues, including</w:t>
            </w:r>
          </w:p>
        </w:tc>
        <w:tc>
          <w:tcPr>
            <w:tcW w:w="3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natural gas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59"/>
        </w:trPr>
        <w:tc>
          <w:tcPr>
            <w:tcW w:w="270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Interest expense and other finance</w:t>
            </w:r>
          </w:p>
        </w:tc>
        <w:tc>
          <w:tcPr>
            <w:tcW w:w="30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charges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5"/>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7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Throughput (in Bcf):</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7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Weather (percentage of 10-year average</w:t>
            </w: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service area):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Heating degree days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161"/>
        </w:trPr>
        <w:tc>
          <w:tcPr>
            <w:tcW w:w="27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Number of metered customers at end of</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3,609,924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3,918,039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3,609,924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3,918,039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2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3,878,828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4,208,797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3,878,828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4,208,797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640" w:right="20" w:hanging="316"/>
        <w:spacing w:after="0" w:line="274" w:lineRule="auto"/>
        <w:tabs>
          <w:tab w:leader="none" w:pos="6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number of metered customers is primarily attributable to customer accounts associated with the divestiture of the Louisiana and Mississippi natural gas LDCs. See Note 3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2025 compared to the three months ended June 30, 2024 as well as for the six months ended June 30, 2025 compared to the six months ended June 30, 2024 by major income statement caption for CERC:</w:t>
      </w:r>
    </w:p>
    <w:tbl>
      <w:tblPr>
        <w:tblLayout w:type="fixed"/>
        <w:tblInd w:w="32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3"/>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240" w:type="dxa"/>
            <w:vAlign w:val="bottom"/>
            <w:tcBorders>
              <w:bottom w:val="single" w:sz="8" w:color="auto"/>
            </w:tcBorders>
          </w:tcPr>
          <w:p>
            <w:pPr>
              <w:spacing w:after="0"/>
              <w:rPr>
                <w:sz w:val="18"/>
                <w:szCs w:val="18"/>
                <w:color w:val="auto"/>
              </w:rPr>
            </w:pPr>
          </w:p>
        </w:tc>
      </w:tr>
      <w:tr>
        <w:trPr>
          <w:trHeight w:val="155"/>
        </w:trPr>
        <w:tc>
          <w:tcPr>
            <w:tcW w:w="7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7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99"/>
              </w:rPr>
              <w:t>Six Months Ended June 3</w:t>
            </w:r>
          </w:p>
        </w:tc>
      </w:tr>
      <w:tr>
        <w:trPr>
          <w:trHeight w:val="211"/>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 vs 2024</w:t>
            </w: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40" w:type="dxa"/>
            <w:vAlign w:val="bottom"/>
            <w:tcBorders>
              <w:bottom w:val="single" w:sz="8" w:color="auto"/>
            </w:tcBorders>
          </w:tcPr>
          <w:p>
            <w:pPr>
              <w:spacing w:after="0"/>
              <w:rPr>
                <w:sz w:val="18"/>
                <w:szCs w:val="18"/>
                <w:color w:val="auto"/>
              </w:rPr>
            </w:pPr>
          </w:p>
        </w:tc>
      </w:tr>
      <w:tr>
        <w:trPr>
          <w:trHeight w:val="204"/>
        </w:trPr>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gridSpan w:val="3"/>
          </w:tcPr>
          <w:p>
            <w:pPr>
              <w:jc w:val="right"/>
              <w:ind w:right="108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r>
      <w:tr>
        <w:trPr>
          <w:trHeight w:val="212"/>
        </w:trPr>
        <w:tc>
          <w:tcPr>
            <w:tcW w:w="7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8"/>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utility natural gas below</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operation and maintenance below</w:t>
            </w: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taxes other than income taxes below</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Non-volumetric and miscellaneous revenue</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Weather and usage</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Non-utility revenues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180" w:type="dxa"/>
            <w:vAlign w:val="bottom"/>
            <w:tcBorders>
              <w:bottom w:val="single" w:sz="8" w:color="CCEEFF"/>
            </w:tcBorders>
            <w:gridSpan w:val="2"/>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4"/>
        </w:trPr>
        <w:tc>
          <w:tcPr>
            <w:tcW w:w="7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Utility natural gas</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revenues above</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520" w:type="dxa"/>
            <w:vAlign w:val="bottom"/>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r>
      <w:tr>
        <w:trPr>
          <w:trHeight w:val="203"/>
        </w:trPr>
        <w:tc>
          <w:tcPr>
            <w:tcW w:w="7180" w:type="dxa"/>
            <w:vAlign w:val="bottom"/>
            <w:tcBorders>
              <w:bottom w:val="single" w:sz="8" w:color="CCEEFF"/>
            </w:tcBorders>
            <w:gridSpan w:val="2"/>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94"/>
        </w:trPr>
        <w:tc>
          <w:tcPr>
            <w:tcW w:w="7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Operation and maintenance</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All other operations and maintenance expense, including bad debt expense</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520" w:type="dxa"/>
            <w:vAlign w:val="bottom"/>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7"/>
                <w:szCs w:val="17"/>
                <w:color w:val="auto"/>
              </w:rPr>
            </w:pP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revenues above</w:t>
            </w: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r>
      <w:tr>
        <w:trPr>
          <w:trHeight w:val="203"/>
        </w:trPr>
        <w:tc>
          <w:tcPr>
            <w:tcW w:w="7180" w:type="dxa"/>
            <w:vAlign w:val="bottom"/>
            <w:tcBorders>
              <w:bottom w:val="single" w:sz="8" w:color="CCEEFF"/>
            </w:tcBorders>
            <w:gridSpan w:val="2"/>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7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Depreciation and amortization</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520" w:type="dxa"/>
            <w:vAlign w:val="bottom"/>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r>
      <w:tr>
        <w:trPr>
          <w:trHeight w:val="203"/>
        </w:trPr>
        <w:tc>
          <w:tcPr>
            <w:tcW w:w="7180" w:type="dxa"/>
            <w:vAlign w:val="bottom"/>
            <w:tcBorders>
              <w:bottom w:val="single" w:sz="8" w:color="CCEEFF"/>
            </w:tcBorders>
            <w:gridSpan w:val="2"/>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7"/>
                <w:szCs w:val="17"/>
                <w:color w:val="auto"/>
              </w:rPr>
            </w:pPr>
          </w:p>
        </w:tc>
      </w:tr>
      <w:tr>
        <w:trPr>
          <w:trHeight w:val="194"/>
        </w:trPr>
        <w:tc>
          <w:tcPr>
            <w:tcW w:w="7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Taxes other than income taxes</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revenues above</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520" w:type="dxa"/>
            <w:vAlign w:val="bottom"/>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7"/>
                <w:szCs w:val="17"/>
                <w:color w:val="auto"/>
              </w:rPr>
            </w:pP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updated property tax rates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07"/>
        </w:trPr>
        <w:tc>
          <w:tcPr>
            <w:tcW w:w="7180" w:type="dxa"/>
            <w:vAlign w:val="bottom"/>
            <w:gridSpan w:val="2"/>
            <w:shd w:val="clear" w:color="auto" w:fill="CCEEFF"/>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r>
      <w:tr>
        <w:trPr>
          <w:trHeight w:val="191"/>
        </w:trPr>
        <w:tc>
          <w:tcPr>
            <w:tcW w:w="7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Gain on sale</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6"/>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Louisiana and Mississippi natural gas LDC businesses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r>
      <w:tr>
        <w:trPr>
          <w:trHeight w:val="203"/>
        </w:trPr>
        <w:tc>
          <w:tcPr>
            <w:tcW w:w="7180" w:type="dxa"/>
            <w:vAlign w:val="bottom"/>
            <w:tcBorders>
              <w:bottom w:val="single" w:sz="8" w:color="CCEEFF"/>
            </w:tcBorders>
            <w:gridSpan w:val="2"/>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7"/>
                <w:szCs w:val="17"/>
                <w:color w:val="auto"/>
              </w:rPr>
            </w:pPr>
          </w:p>
        </w:tc>
      </w:tr>
      <w:tr>
        <w:trPr>
          <w:trHeight w:val="194"/>
        </w:trPr>
        <w:tc>
          <w:tcPr>
            <w:tcW w:w="7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Interest expense and other finance charges</w:t>
            </w:r>
          </w:p>
        </w:tc>
        <w:tc>
          <w:tcPr>
            <w:tcW w:w="1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100" w:type="dxa"/>
            <w:vAlign w:val="bottom"/>
          </w:tcPr>
          <w:p>
            <w:pPr>
              <w:spacing w:after="0"/>
              <w:rPr>
                <w:sz w:val="17"/>
                <w:szCs w:val="17"/>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520" w:type="dxa"/>
            <w:vAlign w:val="bottom"/>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07"/>
        </w:trPr>
        <w:tc>
          <w:tcPr>
            <w:tcW w:w="7180" w:type="dxa"/>
            <w:vAlign w:val="bottom"/>
            <w:gridSpan w:val="2"/>
            <w:shd w:val="clear" w:color="auto" w:fill="CCEEFF"/>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r>
      <w:tr>
        <w:trPr>
          <w:trHeight w:val="191"/>
        </w:trPr>
        <w:tc>
          <w:tcPr>
            <w:tcW w:w="7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Other income, net</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6"/>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including AFUDC - Equity</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Impact of divestiture of Louisiana and Mississippi natural gas LDCs on March 31, 2025</w:t>
            </w:r>
          </w:p>
        </w:tc>
        <w:tc>
          <w:tcPr>
            <w:tcW w:w="18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180" w:type="dxa"/>
            <w:vAlign w:val="bottom"/>
            <w:tcBorders>
              <w:top w:val="single" w:sz="8" w:color="CCEEFF"/>
            </w:tcBorders>
            <w:gridSpan w:val="2"/>
            <w:shd w:val="clear" w:color="auto" w:fill="CCEEFF"/>
          </w:tcPr>
          <w:p>
            <w:pPr>
              <w:ind w:left="67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ind w:right="13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r>
    </w:tbl>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10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FACTORS AFFECTING FUTURE EARNINGS</w:t>
      </w:r>
    </w:p>
    <w:p>
      <w:pPr>
        <w:spacing w:after="0" w:line="232"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For information on other developments, factors and trends that may impact the Registrants’ future earnings, see “Management’s Discussion and Analysis of Financial Condition and Results of Operations — Certain Factors Affecting Future Earnings” in Item 7 of Part II and “Risk Factors” in Part I, Item 1A of the Registrants’ combined 2024 Form 10-K, and “Cautionary Statement Regarding Forward-Looking Information” in this combined Form 10-Q.</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Registrants’ cash flows by category during the six months ended June 30, 2025 and 2024: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80" w:type="dxa"/>
            <w:vAlign w:val="bottom"/>
          </w:tcPr>
          <w:p>
            <w:pPr>
              <w:spacing w:after="0"/>
              <w:rPr>
                <w:sz w:val="11"/>
                <w:szCs w:val="11"/>
                <w:color w:val="auto"/>
              </w:rPr>
            </w:pPr>
          </w:p>
        </w:tc>
        <w:tc>
          <w:tcPr>
            <w:tcW w:w="88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70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970</w:t>
            </w:r>
          </w:p>
        </w:tc>
        <w:tc>
          <w:tcPr>
            <w:tcW w:w="3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w w:val="91"/>
              </w:rPr>
              <w:t>117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1,114</w:t>
            </w:r>
          </w:p>
        </w:tc>
        <w:tc>
          <w:tcPr>
            <w:tcW w:w="3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center"/>
              <w:ind w:left="381"/>
              <w:spacing w:after="0"/>
              <w:rPr>
                <w:sz w:val="20"/>
                <w:szCs w:val="20"/>
                <w:color w:val="auto"/>
              </w:rPr>
            </w:pPr>
            <w:r>
              <w:rPr>
                <w:rFonts w:ascii="Times New Roman" w:cs="Times New Roman" w:eastAsia="Times New Roman" w:hAnsi="Times New Roman"/>
                <w:sz w:val="16"/>
                <w:szCs w:val="16"/>
                <w:color w:val="auto"/>
                <w:w w:val="99"/>
              </w:rPr>
              <w:t>350</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10"/>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(1,341)</w:t>
            </w:r>
          </w:p>
        </w:tc>
        <w:tc>
          <w:tcPr>
            <w:tcW w:w="300" w:type="dxa"/>
            <w:vAlign w:val="bottom"/>
          </w:tcPr>
          <w:p>
            <w:pPr>
              <w:spacing w:after="0"/>
              <w:rPr>
                <w:sz w:val="18"/>
                <w:szCs w:val="18"/>
                <w:color w:val="auto"/>
              </w:rPr>
            </w:pPr>
          </w:p>
        </w:tc>
        <w:tc>
          <w:tcPr>
            <w:tcW w:w="900" w:type="dxa"/>
            <w:vAlign w:val="bottom"/>
          </w:tcPr>
          <w:p>
            <w:pPr>
              <w:jc w:val="center"/>
              <w:ind w:left="321"/>
              <w:spacing w:after="0"/>
              <w:rPr>
                <w:sz w:val="20"/>
                <w:szCs w:val="20"/>
                <w:color w:val="auto"/>
              </w:rPr>
            </w:pPr>
            <w:r>
              <w:rPr>
                <w:rFonts w:ascii="Times New Roman" w:cs="Times New Roman" w:eastAsia="Times New Roman" w:hAnsi="Times New Roman"/>
                <w:sz w:val="16"/>
                <w:szCs w:val="16"/>
                <w:color w:val="auto"/>
                <w:w w:val="97"/>
              </w:rPr>
              <w:t>(881)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(1,600)</w:t>
            </w:r>
          </w:p>
        </w:tc>
        <w:tc>
          <w:tcPr>
            <w:tcW w:w="300" w:type="dxa"/>
            <w:vAlign w:val="bottom"/>
          </w:tcPr>
          <w:p>
            <w:pPr>
              <w:spacing w:after="0"/>
              <w:rPr>
                <w:sz w:val="18"/>
                <w:szCs w:val="18"/>
                <w:color w:val="auto"/>
              </w:rPr>
            </w:pPr>
          </w:p>
        </w:tc>
        <w:tc>
          <w:tcPr>
            <w:tcW w:w="900" w:type="dxa"/>
            <w:vAlign w:val="bottom"/>
          </w:tcPr>
          <w:p>
            <w:pPr>
              <w:jc w:val="center"/>
              <w:ind w:left="321"/>
              <w:spacing w:after="0"/>
              <w:rPr>
                <w:sz w:val="20"/>
                <w:szCs w:val="20"/>
                <w:color w:val="auto"/>
              </w:rPr>
            </w:pPr>
            <w:r>
              <w:rPr>
                <w:rFonts w:ascii="Times New Roman" w:cs="Times New Roman" w:eastAsia="Times New Roman" w:hAnsi="Times New Roman"/>
                <w:sz w:val="16"/>
                <w:szCs w:val="16"/>
                <w:color w:val="auto"/>
                <w:w w:val="97"/>
              </w:rPr>
              <w:t>(852)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440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16"/>
                <w:szCs w:val="16"/>
                <w:color w:val="auto"/>
                <w:w w:val="99"/>
              </w:rPr>
              <w:t>765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459</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381"/>
              <w:spacing w:after="0"/>
              <w:rPr>
                <w:sz w:val="20"/>
                <w:szCs w:val="20"/>
                <w:color w:val="auto"/>
              </w:rPr>
            </w:pPr>
            <w:r>
              <w:rPr>
                <w:rFonts w:ascii="Times New Roman" w:cs="Times New Roman" w:eastAsia="Times New Roman" w:hAnsi="Times New Roman"/>
                <w:sz w:val="16"/>
                <w:szCs w:val="16"/>
                <w:color w:val="auto"/>
                <w:w w:val="99"/>
              </w:rPr>
              <w:t>487</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following items contributed to increased (decreased) net cash provided by operating activities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six months ended June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280" w:type="dxa"/>
            <w:vAlign w:val="bottom"/>
          </w:tcPr>
          <w:p>
            <w:pPr>
              <w:spacing w:after="0"/>
              <w:rPr>
                <w:sz w:val="16"/>
                <w:szCs w:val="16"/>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80" w:type="dxa"/>
            <w:vAlign w:val="bottom"/>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net income after adjusting for non-cash items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current regulatory assets and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non-current regulatory assets and liabilities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non-current assets and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Higher pension contribution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2"/>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following items contributed to (increased) decreased net cash used in investing activities for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six months ended June 30, 2024:</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280" w:type="dxa"/>
            <w:vAlign w:val="bottom"/>
          </w:tcPr>
          <w:p>
            <w:pPr>
              <w:spacing w:after="0"/>
              <w:rPr>
                <w:sz w:val="16"/>
                <w:szCs w:val="16"/>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80" w:type="dxa"/>
            <w:vAlign w:val="bottom"/>
            <w:vMerge w:val="restart"/>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5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for asset acquisition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capital expenditures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notes receivable from affiliated companies</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divestiture</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1,219</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5"/>
        </w:trPr>
        <w:tc>
          <w:tcPr>
            <w:tcW w:w="5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The following items contributed to (increased) decreased net cash provided by (used in) financing activities for the six months ended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compared to the six months ended June 30, 2024:</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80" w:type="dxa"/>
            <w:vAlign w:val="bottom"/>
            <w:vMerge w:val="restart"/>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5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changes in commercial paper outstanding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changes in proceeds from issuances of Common Stock</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changes in long-term debt and term loans outstanding, excluding commercial paper</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changes in debt issuance costs</w:t>
            </w: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changes in short-term borrowings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 payment of Common Stock dividends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notes payable from affiliated companies</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contribution from parent</w:t>
            </w: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dividend to parent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Sources and Uses of Cash</w:t>
      </w:r>
    </w:p>
    <w:p>
      <w:pPr>
        <w:spacing w:after="0" w:line="24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liquidity and capital requirements of the Registrants are affected primarily by results of operations, capital expenditures, storm restoration costs, debt service requirements, tax payments, working capital needs and various regulatory actions. Future capital expenditures (other than expenditures associated with the May 2024 Storm Events) are expected to primarily relate to investment in infrastructure. These capital expenditures are anticipated to enhance reliability and safety, increase resiliency and expand our systems through value-added projects. In addition to dividend payments on CenterPoint Energy’s Common Stock and interest payments on debt, the Registrants’ principal anticipated cash requirements for the remainder of 2025 include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60" w:type="dxa"/>
            <w:vAlign w:val="bottom"/>
          </w:tcPr>
          <w:p>
            <w:pPr>
              <w:spacing w:after="0"/>
              <w:rPr>
                <w:sz w:val="16"/>
                <w:szCs w:val="16"/>
                <w:color w:val="auto"/>
              </w:rPr>
            </w:pPr>
          </w:p>
        </w:tc>
        <w:tc>
          <w:tcPr>
            <w:tcW w:w="150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460" w:type="dxa"/>
            <w:vAlign w:val="bottom"/>
          </w:tcPr>
          <w:p>
            <w:pPr>
              <w:spacing w:after="0"/>
              <w:rPr>
                <w:sz w:val="16"/>
                <w:szCs w:val="16"/>
                <w:color w:val="auto"/>
              </w:rPr>
            </w:pPr>
          </w:p>
        </w:tc>
        <w:tc>
          <w:tcPr>
            <w:tcW w:w="1380" w:type="dxa"/>
            <w:vAlign w:val="bottom"/>
            <w:vMerge w:val="restart"/>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capital expenditures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2,929</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1,835</w:t>
            </w:r>
          </w:p>
        </w:tc>
        <w:tc>
          <w:tcPr>
            <w:tcW w:w="4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restoration costs associated with May 2024 Storm Events (2)</w:t>
            </w:r>
          </w:p>
        </w:tc>
        <w:tc>
          <w:tcPr>
            <w:tcW w:w="160" w:type="dxa"/>
            <w:vAlign w:val="bottom"/>
          </w:tcPr>
          <w:p>
            <w:pPr>
              <w:spacing w:after="0"/>
              <w:rPr>
                <w:sz w:val="18"/>
                <w:szCs w:val="18"/>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w:t>
            </w:r>
          </w:p>
        </w:tc>
        <w:tc>
          <w:tcPr>
            <w:tcW w:w="360" w:type="dxa"/>
            <w:vAlign w:val="bottom"/>
          </w:tcPr>
          <w:p>
            <w:pPr>
              <w:spacing w:after="0"/>
              <w:rPr>
                <w:sz w:val="18"/>
                <w:szCs w:val="18"/>
                <w:color w:val="auto"/>
              </w:rPr>
            </w:pPr>
          </w:p>
        </w:tc>
        <w:tc>
          <w:tcPr>
            <w:tcW w:w="15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Scheduled principal payments on Securitization Bonds (3)</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contributions to pension plans and other post-retirement plans</w:t>
            </w:r>
          </w:p>
        </w:tc>
        <w:tc>
          <w:tcPr>
            <w:tcW w:w="160" w:type="dxa"/>
            <w:vAlign w:val="bottom"/>
          </w:tcPr>
          <w:p>
            <w:pPr>
              <w:spacing w:after="0"/>
              <w:rPr>
                <w:sz w:val="18"/>
                <w:szCs w:val="18"/>
                <w:color w:val="auto"/>
              </w:rPr>
            </w:pP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Pr>
          <w:p>
            <w:pPr>
              <w:spacing w:after="0"/>
              <w:rPr>
                <w:sz w:val="18"/>
                <w:szCs w:val="18"/>
                <w:color w:val="auto"/>
              </w:rPr>
            </w:pPr>
          </w:p>
        </w:tc>
        <w:tc>
          <w:tcPr>
            <w:tcW w:w="15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expenditures for the restoration costs associated with the May 2024 Storm Events.</w:t>
      </w:r>
    </w:p>
    <w:p>
      <w:pPr>
        <w:spacing w:after="0" w:line="11" w:lineRule="exact"/>
        <w:rPr>
          <w:rFonts w:ascii="Times New Roman" w:cs="Times New Roman" w:eastAsia="Times New Roman" w:hAnsi="Times New Roman"/>
          <w:sz w:val="18"/>
          <w:szCs w:val="18"/>
          <w:color w:val="auto"/>
        </w:rPr>
      </w:pPr>
    </w:p>
    <w:p>
      <w:pPr>
        <w:ind w:left="640" w:hanging="316"/>
        <w:spacing w:after="0" w:line="230"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requirements associated with the estimated storm restoration costs for the remainder of 2025.</w:t>
      </w: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potential payments of principal on May 2024 Storm Events System Restoration Bonds.</w:t>
      </w:r>
    </w:p>
    <w:p>
      <w:pPr>
        <w:spacing w:after="0" w:line="21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Registrants expect that anticipated cash needs for the remainder of 2025 will be met with available cash flow from operations, as well as cash flows from financing (such as incremental bond issuances including securitization, issuances of equity securities upon physical settlement of outstanding forward sale agreements and borrowings under credit facilities, commercial paper issuances or other sources). At this time, CenterPoint Energy does not anticipate the need for further sales of shares of Common Stock under the Equity Distribution Agreement. The issuance of securities in the capital markets and borrowings under additional credit facilities and term loans may not, however, be available on acceptable terms. The Registrants may also, from time to time, redeem, repurchase or otherwise acquire their outstanding debt securities through open market purchases, tender offers or pursuant to the terms of such securities.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more information regarding the May 2024 Storm Events and Hurricane Beryl, see Note 6 to the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than Houston Electric’s general mortgage bonds issued as collateral for tax-exempt long-term debt of CenterPoint Energy as discussed in Note 9 and guarantees as discussed in Note 11(c) to the Interim Condensed Financial Statements, the Registrants have no off-balance sheet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Houston Electric TEEEF</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information about Houston Electric’s TEEEF, see Note 6 to the Interim Condensed Financial Statements.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Hurricane Beryl</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Hurricane Beryl, see Note 6 to the Interim Condensed Financial Statements.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May 2024 Storm Events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the May 2024 Storm Events, see Note 6 to the Interim Condensed Financial Statements.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Indiana Electric CPCN (CenterPoint Energy)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BTAs</w:t>
      </w:r>
    </w:p>
    <w:p>
      <w:pPr>
        <w:spacing w:after="0" w:line="248"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Indiana Electric has pursued PTCs for solar projects following the passage of the IRA. On February 7, 2023, Indiana Electric filed a CPCN with the IURC to approve an amended BTA to purchase the 191 MW Posey Solar project. Indiana Electric requested that project costs, net of PTCs, be recovered in rate base rather than a levelized rate, through base rates or the CECA mechanism, depending on which provides more timely recovery. On September 6, 2023, the IURC issued an order approving the CPCN. On March 7, 2025, SIGECO completed the acquisition of Posey Solar from Arevon for a purchase price of approximately $357 million. Subsequent to the acquisition, and pursuant to the Posey Solar Merger Agreement, Posey Solar was merged into SIGECO. The Posey Solar project was placed in service in the second quarter of 2025 and is currently being recovered through base rates. In the applicable rate case, the</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IURC approved Indiana Electric’s request to convey PTCs to customers through the new tax adjustment rider. For further information, see Note 3 to the Interim Condensed Financial Statements.</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January 10, 2023, Indiana Electric filed a CPCN with the IURC to acquire a wind energy generating facility with installed capacity of 200 MWs through a BTA, consistent with its 2019/2020 IRP that calls for up to 300 MWs of wind generation. The wind project is located in the central region of MISO. Indiana Electric received approval from the IURC to recover the costs of the wind facility via the CECA mechanism, which is planned to be placed in service in 2027. On June 6, 2023, the IURC issued an order approving the CPCN, thereby authorizing Indiana Electric to purchase the wind generating facility. However, as of the date of the filing of this combined Form 10-Q, Indiana Electric has not entered into any definitive agreement relating to this wind energy generating facility, and there is a significant possibility that either no definitive agreement will be entered into at all or a definitive agreement will not be entered on the expected timeline.</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Indiana Electric sought approval in February 2021 for a 100 MW solar PPA with Clenera LLC in Warrick County, Indiana. The request accounted for increased cost of debt related to this PPA, which provides equivalent equity return to offset imputed debt during the 25-year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 agreement to increase the PPA price. On January 17, 2023, Indiana Electric filed a request with the IURC to amend the previously approved PPA with certain modifications. Revised purchase power costs are requested to be recovered through the fuel adjustment clause proceedings over the term of the amended PPA. On May 30, 2023, the IURC approved the Warrick County solar amended PPA; however, due to MISO interconnection study delays and estimated interconnection cost increases, on April 24, 2025,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Indiana Electric provided notice that it was exercising its right to terminate the PPA, which terminated all further obligations of Indiana Electric with respect to the project.</w:t>
      </w:r>
    </w:p>
    <w:p>
      <w:pPr>
        <w:spacing w:after="0" w:line="19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 xml:space="preserve">On August 25, 2021, Indiana Electric filed with the IURC seeking approval to purchase 185 MW of solar power, under a 15-year PPA, from </w:t>
      </w:r>
      <w:r>
        <w:rPr>
          <w:rFonts w:ascii="Times New Roman" w:cs="Times New Roman" w:eastAsia="Times New Roman" w:hAnsi="Times New Roman"/>
          <w:sz w:val="17"/>
          <w:szCs w:val="17"/>
          <w:color w:val="auto"/>
          <w:highlight w:val="white"/>
        </w:rPr>
        <w:t>Oriden,</w:t>
      </w:r>
      <w:r>
        <w:rPr>
          <w:rFonts w:ascii="Times New Roman" w:cs="Times New Roman" w:eastAsia="Times New Roman" w:hAnsi="Times New Roman"/>
          <w:sz w:val="17"/>
          <w:szCs w:val="17"/>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will be delayed from 2024 to 2026. On January 17, 2023, Indiana Electric filed a request with the IURC to amend the previously approved PPA with Oriden with certain modifications. Revised purchase power costs were approved to be recovered through the fuel adjustment clause proceedings over the term of the amended PPA with Oriden. On May 30, 2023, the IURC approved the Vermillion County solar amended PPA; however, due to MISO interconnection study delays, the developer disclosed the project in-service date would be delayed to 2028. On May 9, 2025, Indiana Electric and Oriden terminated the PPA.</w:t>
      </w:r>
    </w:p>
    <w:p>
      <w:pPr>
        <w:spacing w:after="0" w:line="20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is targeted to be in operation in mid-2026.</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April 14, 2025, Indiana Electric filed with the IURC seeking approval to purchase 170 MW of wind power under a 25-year PPA with an affiliate of NextEra Energy, Inc., which is developing a wind project in Tama County, Iowa. On June 3, 2025, an amendment to the PPA was filed with the IURC requesting an extension of the PPA’s term from 25 to 27 years. The facility is targeted to be in operation by the fourth quarter of 2025. Indiana Electric expects a decision from the IURC in the fourth quarter of 2025. If Indiana Electric’s request is approved, the power purchase costs will be recovered through the fuel adjustment clause proceedings over the term of the PPA.</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Natural Gas Combustion Turbines</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being constructed at the previous site of the A.B. Brown power plant in Posey County, Indiana and is expected to provide a combined output of 460 MW. Indiana Electric received approval for depreciation expense and post in-service carrying costs to be deferred in a regulatory asset until the date Indiana Electric’s base rates include a return on and recovery of depreciation expense on the facility. A new approximately 23.5-mile pipeline was constructed and is operated by Texas Gas Transmission, LLC to supply natural gas to the turbine facility. FERC granted a certificate to construct the pipeline on October 20, 2022. On January 7, 2025, the United States Court of Appeals for the D.C. Circuit affirmed the FERC’s order granting the certificate. Indiana Electric granted its contractor a full notice to proceed to construct the turbines on December 9, 2022. In the second quarter of 2025, 230 MW of the facility was placed in service, and, due to a transformer manufacturing issue, it is expected that the remaining 230 MW of the facility will be operational in the third quarter of 2025. On February 6, 2025, the EPC contractor for Indiana Electric’s proposed natural gas combustion turbines provided a notice to Indiana Electric that the EPC contractor was identifying the impacts of the proposed tariffs on the project and intended to seek an equitable adjustment to the contract price for the project. Indiana Electric received approval from the IURC on February 3, 2025, to recover for each combustion turbine by adjusting base rates as they are placed in service. The first turbine is currently being recovered in base rates that were updated on June 17, 2025.</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Stewart-West Bay Transmission Project (CenterPoint Energy and Houston Electric)</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On April 30, 2025, Houston Electric filed a CCN application with the PUCT for approval to replace a portion of a 138 kV double circuit transmission line in</w:t>
      </w:r>
    </w:p>
    <w:p>
      <w:pPr>
        <w:spacing w:after="0" w:line="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Galveston County, Texas that connects Houston Electric’s Stewart and West Bay substations. On June 27, 2025, an order was issued dismissing all opposing parties from the proceeding. Houston Electric’s application is expected to be approved in the third quarter of 2025. The project is estimated to cost</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$105 million, but the actual capital cost of the project will depend on construction costs and other factors. Completion of construction and energization of the line is anticipated to occur in the third quarter of 2027.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Texas Legislation (CenterPoint Energy, Houston Electric and CERC)</w:t>
      </w:r>
    </w:p>
    <w:p>
      <w:pPr>
        <w:spacing w:after="0" w:line="24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Registrants are evaluating the effects of certain legislation passed in 2025 and associated PUCT rulemaking projects, including the following pieces of legislation that became law during the 89th Texas Legislature:</w:t>
      </w:r>
    </w:p>
    <w:p>
      <w:pPr>
        <w:spacing w:after="0" w:line="190" w:lineRule="exact"/>
        <w:rPr>
          <w:sz w:val="20"/>
          <w:szCs w:val="20"/>
          <w:color w:val="auto"/>
        </w:rPr>
      </w:pPr>
    </w:p>
    <w:p>
      <w:pPr>
        <w:jc w:val="both"/>
        <w:ind w:left="640" w:hanging="316"/>
        <w:spacing w:after="0" w:line="252" w:lineRule="auto"/>
        <w:tabs>
          <w:tab w:leader="none" w:pos="635" w:val="left"/>
        </w:tabs>
        <w:numPr>
          <w:ilvl w:val="0"/>
          <w:numId w:val="39"/>
        </w:numPr>
        <w:rPr>
          <w:rFonts w:ascii="Arial" w:cs="Arial" w:eastAsia="Arial" w:hAnsi="Arial"/>
          <w:sz w:val="18"/>
          <w:szCs w:val="18"/>
          <w:color w:val="auto"/>
        </w:rPr>
      </w:pPr>
      <w:r>
        <w:rPr>
          <w:rFonts w:ascii="Times New Roman" w:cs="Times New Roman" w:eastAsia="Times New Roman" w:hAnsi="Times New Roman"/>
          <w:sz w:val="18"/>
          <w:szCs w:val="18"/>
          <w:color w:val="auto"/>
        </w:rPr>
        <w:t>House Bill 4384, effective June 20, 2025, allows LDCs to recover post in-service carry costs (PISCC) in GRIP filings. This allows LDCs to defer for future recovery as a regulatory asset PISCC, depreciation associated with unrecovered gross plant and ad valorem taxes associated with unrecovered gross plant.</w:t>
      </w:r>
    </w:p>
    <w:p>
      <w:pPr>
        <w:spacing w:after="0" w:line="2"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231, effective June 20, 2025, revises the types of temporary generation units that may be used by a utility to have a maximum generation capacity of not more than 5 MW and be rapidly deployable.</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1963, effective September 1, 2025, will allow ERCOT utilities to securitize system restoration costs using a third-party government agency, which may allow for the debt to be off balance sheet and an abbreviated proceeding timeline. This bill also lowered the system restoration costs threshold from $100 million to $50 million, provided the effectiveness tests are met.</w:t>
      </w:r>
    </w:p>
    <w:p>
      <w:pPr>
        <w:spacing w:after="0" w:line="2" w:lineRule="exact"/>
        <w:rPr>
          <w:rFonts w:ascii="Times New Roman" w:cs="Times New Roman" w:eastAsia="Times New Roman" w:hAnsi="Times New Roman"/>
          <w:sz w:val="18"/>
          <w:szCs w:val="18"/>
          <w:color w:val="auto"/>
        </w:rPr>
      </w:pPr>
    </w:p>
    <w:p>
      <w:pPr>
        <w:ind w:left="640" w:right="20" w:hanging="316"/>
        <w:spacing w:after="0" w:line="251"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482, effective September 1, 2025, will result in increased penalties for assaulting a utility worker to a third-degree felony, equal to assaulting a first responder, and for harassing a utility worker to a Class A misdemeanor.</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Solar Panel Issues (CenterPoint Energy)</w:t>
      </w:r>
    </w:p>
    <w:p>
      <w:pPr>
        <w:spacing w:after="0" w:line="24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CenterPoint Energy’s current and future solar projects have been impacted by delays and/or increased costs. The potential delays and inflationary cost pressures communicated from the developers of our solar projects have been primarily due to (i) unavailability of solar panels and other uncertainties related to DOC antidumping and countervailing duties investigation(s), (ii) the December 2021 Uyghur Forced Labor Prevention Act on solar modules and other products manufactured in China’s Xinjiang Uyghur Autonomous Region and (iii) persistent general global supply chain and labor availability issues. On May 15, 2024, based on a petition filed by the American Alliance for Solar Manufacturing Trade Committee, the DOC announced the initiation of antidumping and countervailing duty investigations of silicon photovoltaic cells from Cambodia, Malaysia, Thailand, and Vietnam. On October 1, 2024, the DOC’s preliminary countervailing duty determination affirmed the petition and established preliminary duty rates. On November 29, 2024, the DOC announced its preliminary affirmative determination in the antidumping investigation and established preliminary dumping rates. On April 21, 2025, the DOC announced its final affirmative determinations in the antidumping and countervailing duty investigations, determining that imports of silicon photovoltaic cells from the aforementioned countries are being dumped into the U.S. market and receiving countervailable subsidies. On May 20, 2025, the ITC announced its final determination that a U.S. industry is materially injured by reason of imports of silicon photovoltaic cells from Malaysia and Vietnam and a U.S. industry is threatened with material injury by reason of imports of silicon photovoltaic cells from Cambodia and Thailand. As a result of such determinations, the DOC will impose certain duty rates on imports of silicon photovoltaic cells from the aforementioned countries. Furthermore, in 2025, the U.S. government has announced and, in certain cases, rescinded, multiple tariffs on several foreign jurisdictions and imports into the United States. Increased tariffs by the United States have led, and may continue to lead, to the imposition of retaliatory tariffs or other measures taken by foreign jurisdictions, which may in turn lead to additional tariffs imposed or measures taken by the United States. These tariffs, as well as new legislation, tariffs, bans, retaliatory trade measures or related governmental action, have already, and may continue to, further negatively impact the supply of solar panels. In addition to supply reductions, these or similar duties, legislation, tariffs, bans and other measures have and may in the future also put upward pressure on prices of these solar energy products, which may reduce our ability to acquire these items in a timely and cost-efficient manner. These impacts have resulted, and may continue to result in, cost increases for certain projects, and such impacts may require that we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“Risk Factors” in Part I, Item 1A of the Registrants’ combined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Transmission and Distribution System Resiliency Plan (CenterPoint Energy and Houston Electric)</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Following feedback from customers, external experts and other stakeholders, including elected officials and local agencies, Houston Electric filed a revised SRP with the PUCT on January 31, 2025 for review and approval. The filed SRP proposed to invest approximately $5.75 billion over a three-year period from 2026 to 2028 for transmission and distribution infrastructure, information technology and cybersecurity assets and event response capability. This plan proposed 39 resiliency-enhancing measures and a microgrid pilot program to be implemented over the three-year period. The SRP has an estimated capital cost of approximately $5.54 billion and an estimated operations and maintenance expense of approximately $211 million. Approximately $2.17 billion of such cost was for transmission-related investments, and approximately $3.58 billion was for distribution-related investments. Intervenor testimony was filed on April 8, 2025, and PUCT staff testimony was filed on April 15, 2025. On June 12, 2025, Houston Electric announced that it had reached a settlement agreement with parties to its SRP, which provides for approximately $3.18 billion in distribution related investments. The proposed transmission investments were removed from the SRP and will be implemented as appropriate outside of the SRP process. The agreement also includes the deferral of more than $240 million of the approximate $3.18 billion in SRP costs until the second half of 2029, which will help reduce the bill impact for customers by spreading costs over a four-year period instead of three years. Once approved, and while some cost recovery would be deferred into 2029, it is expected that all SRP work agreed upon in the settlement agreement will be completed in the proposed 2025 to 2028 timeframe. A decision from the PUCT is anticipated in the third quarter of 2025.</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Rate Change Applications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ECA, CECA and TDSIC), its decoupling mechanism (e.g., decoupling and SRC), and its energy efficiency cost trackers (e.g., CIP, DSMA, EECRF, EEFC and EEFR).</w:t>
      </w:r>
    </w:p>
    <w:p>
      <w:pPr>
        <w:spacing w:after="0" w:line="20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Minnesota Gas Rate Case. </w:t>
      </w:r>
      <w:r>
        <w:rPr>
          <w:rFonts w:ascii="Times New Roman" w:cs="Times New Roman" w:eastAsia="Times New Roman" w:hAnsi="Times New Roman"/>
          <w:sz w:val="18"/>
          <w:szCs w:val="18"/>
          <w:color w:val="auto"/>
        </w:rPr>
        <w:t>On November 1, 2023, CERC filed an application with the MPUC requesting an adjustment to delivery charges in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for the natural gas business in Minnesota. The requested increase is approximately 6.5% or $85 million for 2024 and an additional approximately 3.7% or $52 million for 2025. The need for a rate change is primarily driven by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10.3% ROE on a 52.5% equity ratio. Interim rates for 2024 of $69 million, subject to refund, were implemented as of January 1, 2024. A request for interim rates of $33 million for 2025 was filed on September 30, 2024, approved at the December 3, 2024 hearing and approved by an order issued December 20, 2024. A unanimous settlement agreement was filed on November 25, 2024. The settlement provided for an increase of $60.8 million for 2024 and an additional $42.7 million for 2025. The parties agreed to an overall cost of capital of 7.07% for 2024 and 2025. The ALJ filed a report on February 13, 2025 recommending that the MPUC approve the settlement agreement. As required by the December 20, 2024 order, the difference between 2024 interim rates and the settled amount of $60.8 million was refunded to customers in March 2025. Exceptions to the ALJ report were filed on April 18, 2025. On May 29, 2025, the MPUC approved the settlement agreement. A final order approving the settlement agreement was issued by the MPUC on June 27, 2025 and final rates are expected to be implemented on September 1, 2025.</w:t>
      </w:r>
    </w:p>
    <w:p>
      <w:pPr>
        <w:spacing w:after="0" w:line="21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Houston Electric Rate Case. </w:t>
      </w:r>
      <w:r>
        <w:rPr>
          <w:rFonts w:ascii="Times New Roman" w:cs="Times New Roman" w:eastAsia="Times New Roman" w:hAnsi="Times New Roman"/>
          <w:sz w:val="17"/>
          <w:szCs w:val="17"/>
          <w:color w:val="auto"/>
        </w:rPr>
        <w:t>On March 6, 2024, Houston Electric filed an application with the PUCT requesting authority to change rates and charges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electric transmission and distribution service. The requested increase was approximately $17 million (1%) for retail customers and $43 million (6.6%) for wholesale transmission service, excluding TCRF and rate case expenses. The need for a rate increase was primarily driven by continuing investment that has been made to support customer growth and to bolster the safety and reliability of Houston Electric’s transmission and distribution system. The request reflected a proposed 10.4% ROE and a 45% equity ratio. Errata testimony was filed to correct minor errors included in the initial filing which reduced the requested increase to $56 million compared to then-current rates. Houston Electric reached a settlement agreement with certain parties and submitted the agreement to the PUCT on January 29, 2025. The settlement reflects a $47 million reduction in annual revenues and a 9.65% ROE and a weighted average cost of capital of 6.606% based upon an as-filed 4.29% cost of debt, an agreed ROE of 9.65% and an agreed regulatory capital structure of 56.75% long-term debt and 43.25% equity. A final order approving the settlement agreement was issued by the PUCT on March 13, 2025. Final retail delivery rates were implemented on April 28, 2025. Final wholesale transmission rates were superseded by interim TCOS rates that went into effect on the same date.</w:t>
      </w:r>
    </w:p>
    <w:p>
      <w:pPr>
        <w:spacing w:after="0" w:line="187"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i w:val="1"/>
          <w:iCs w:val="1"/>
          <w:color w:val="auto"/>
        </w:rPr>
        <w:t>Ohio Gas Rate Case</w:t>
      </w:r>
      <w:r>
        <w:rPr>
          <w:rFonts w:ascii="Times New Roman" w:cs="Times New Roman" w:eastAsia="Times New Roman" w:hAnsi="Times New Roman"/>
          <w:sz w:val="18"/>
          <w:szCs w:val="18"/>
          <w:color w:val="auto"/>
        </w:rPr>
        <w:t>. CEOH filed its Application and Standard Filing Requirement in October 2024 and the related testimony in November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seeks a revenue requirement increase of approximately $100 million based on a requested return on equity of 10.4% and an equity percentage of 54.13%. The need for a rate increase was primarily driven by continuing investment in the safety and reliability of the natural gas system. On May 16, 2025, the PUCO staff filed its staff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report recommending a revenue requirement range of $340.8 million to $350.3 million and a net increase of $25.1 million to $34.6 million based on an ROE range from 9.05% to 10.07% with a capitalization ratio of 52.3% common equity and 47.7% long-term debt. The PUCO staff recommendation includes amortization over 49 years and 65 years for CEP and DRR assets, respectively, compared to CEOH’s proposal to amortize over seven years. On June 16, 2025, CEOH filed objections to the PUCO staff report and supplemental testimony. On July 11, 2025, CEOH filed a stipulation and recommendation that outlined the agreed upon terms between CEOH, the Federal Executive Agencies, Ohio Energy Group, the City of Dayton, the Retail Energy Supply Association, Interstate Gas Supply, LLC and the PUCO staff. One intervening party to the case, Spire Marketing, Inc., is a non-opposing party, while another intervening party to the case, the Office of the Ohio Consumers’ Counsel, did not sign onto, and has indicated that it plans to oppose, the stipulation and recommendation. The stipulation and recommendation included a revenue requirement of $371.3 million, which would result in a revenue requirement increase of $59.6 million based on a rate of return of 7.1% comprised of a ROE of 9.85% with a capitalization ratio of 52.9% common equity, 47.1% long-term debt at a cost of debt of 4.02%. The stipulation and recommendation amortization periods for CEP and DRR assets within base rates and within the rider mechanisms is 15 years. The stipulation and recommendation included an extension of the CEP rider and DRR through 2029 investment with revised residential caps for dollars per month per customer ranging from $2.75 for 2025 investment to $9.95 for 2029 investment for the CEP rider, and from $2.56 for 2025 investment to $7.69 for 2029 investment for DRR. The evidentiary hearing commenced on July 21, 2025 and is scheduled to continue until early August. A final order is expected no sooner than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 table below reflects significant applications pending or completed since the Registrants’ combined 2024 Form 10-K was filed with the SEC through the date of the filing of this combined Form 10-Q:</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ind w:right="131"/>
              <w:spacing w:after="0" w:line="146"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10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5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Mechanism</w:t>
            </w:r>
          </w:p>
        </w:tc>
        <w:tc>
          <w:tcPr>
            <w:tcW w:w="1120" w:type="dxa"/>
            <w:vAlign w:val="bottom"/>
            <w:gridSpan w:val="2"/>
          </w:tcPr>
          <w:p>
            <w:pPr>
              <w:jc w:val="center"/>
              <w:ind w:left="49"/>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(Decrease) </w:t>
            </w:r>
            <w:r>
              <w:rPr>
                <w:rFonts w:ascii="Times New Roman" w:cs="Times New Roman" w:eastAsia="Times New Roman" w:hAnsi="Times New Roman"/>
                <w:sz w:val="10"/>
                <w:szCs w:val="10"/>
                <w:b w:val="1"/>
                <w:bCs w:val="1"/>
                <w:color w:val="auto"/>
              </w:rPr>
              <w:t>(1)</w:t>
            </w:r>
          </w:p>
        </w:tc>
        <w:tc>
          <w:tcPr>
            <w:tcW w:w="1080" w:type="dxa"/>
            <w:vAlign w:val="bottom"/>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920" w:type="dxa"/>
            <w:vAlign w:val="bottom"/>
            <w:vMerge w:val="continue"/>
          </w:tcPr>
          <w:p>
            <w:pPr>
              <w:spacing w:after="0"/>
              <w:rPr>
                <w:sz w:val="12"/>
                <w:szCs w:val="12"/>
                <w:color w:val="auto"/>
              </w:rPr>
            </w:pPr>
          </w:p>
        </w:tc>
        <w:tc>
          <w:tcPr>
            <w:tcW w:w="586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Additional Information</w:t>
            </w:r>
          </w:p>
        </w:tc>
        <w:tc>
          <w:tcPr>
            <w:tcW w:w="0" w:type="dxa"/>
            <w:vAlign w:val="bottom"/>
          </w:tcPr>
          <w:p>
            <w:pPr>
              <w:spacing w:after="0"/>
              <w:rPr>
                <w:sz w:val="1"/>
                <w:szCs w:val="1"/>
                <w:color w:val="auto"/>
              </w:rPr>
            </w:pPr>
          </w:p>
        </w:tc>
      </w:tr>
      <w:tr>
        <w:trPr>
          <w:trHeight w:val="159"/>
        </w:trPr>
        <w:tc>
          <w:tcPr>
            <w:tcW w:w="12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108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5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gridSpan w:val="3"/>
          </w:tcPr>
          <w:p>
            <w:pPr>
              <w:jc w:val="center"/>
              <w:ind w:right="3349"/>
              <w:spacing w:after="0"/>
              <w:rPr>
                <w:sz w:val="20"/>
                <w:szCs w:val="20"/>
                <w:color w:val="auto"/>
              </w:rPr>
            </w:pPr>
            <w:r>
              <w:rPr>
                <w:rFonts w:ascii="Times New Roman" w:cs="Times New Roman" w:eastAsia="Times New Roman" w:hAnsi="Times New Roman"/>
                <w:sz w:val="14"/>
                <w:szCs w:val="14"/>
                <w:b w:val="1"/>
                <w:bCs w:val="1"/>
                <w:color w:val="auto"/>
              </w:rPr>
              <w:t>CenterPoint Energy and Houston Electric (PUCT)</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Rate Case</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(47)</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2024</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April 2025</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March 2025</w:t>
            </w:r>
          </w:p>
        </w:tc>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Houston Electric Rate Case</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TCOS</w:t>
            </w:r>
          </w:p>
        </w:tc>
        <w:tc>
          <w:tcPr>
            <w:tcW w:w="3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1"/>
              <w:spacing w:after="0" w:line="137" w:lineRule="exact"/>
              <w:rPr>
                <w:sz w:val="20"/>
                <w:szCs w:val="20"/>
                <w:color w:val="auto"/>
              </w:rPr>
            </w:pPr>
            <w:r>
              <w:rPr>
                <w:rFonts w:ascii="Times New Roman" w:cs="Times New Roman" w:eastAsia="Times New Roman" w:hAnsi="Times New Roman"/>
                <w:sz w:val="14"/>
                <w:szCs w:val="14"/>
                <w:color w:val="auto"/>
              </w:rPr>
              <w:t>64</w:t>
            </w:r>
          </w:p>
        </w:tc>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February 2025</w:t>
            </w: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April 2025</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April 2025</w:t>
            </w: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Based on the net change in invested capital since its last base rate proceeding of approximately $614</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million for the period January 1, 2024 through December 31, 2024.</w:t>
            </w: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DCRF</w:t>
            </w: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10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February 2025</w:t>
            </w:r>
          </w:p>
        </w:tc>
        <w:tc>
          <w:tcPr>
            <w:tcW w:w="10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July 2025</w:t>
            </w:r>
          </w:p>
        </w:tc>
        <w:tc>
          <w:tcPr>
            <w:tcW w:w="9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June 2025</w:t>
            </w:r>
          </w:p>
        </w:tc>
        <w:tc>
          <w:tcPr>
            <w:tcW w:w="58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Based on the net change in distribution invested capital since its last base rate proceeding of</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60" w:type="dxa"/>
            <w:vAlign w:val="bottom"/>
            <w:shd w:val="clear" w:color="auto" w:fill="CCEEFF"/>
          </w:tcPr>
          <w:p>
            <w:pPr>
              <w:ind w:left="120"/>
              <w:spacing w:after="0" w:line="146" w:lineRule="exact"/>
              <w:rPr>
                <w:sz w:val="20"/>
                <w:szCs w:val="20"/>
                <w:color w:val="auto"/>
              </w:rPr>
            </w:pPr>
            <w:r>
              <w:rPr>
                <w:rFonts w:ascii="Times New Roman" w:cs="Times New Roman" w:eastAsia="Times New Roman" w:hAnsi="Times New Roman"/>
                <w:sz w:val="14"/>
                <w:szCs w:val="14"/>
                <w:color w:val="auto"/>
              </w:rPr>
              <w:t>approximately $1 billion for the period January 1, 2024 through December 31, 2024, for an</w:t>
            </w:r>
          </w:p>
        </w:tc>
        <w:tc>
          <w:tcPr>
            <w:tcW w:w="0" w:type="dxa"/>
            <w:vAlign w:val="bottom"/>
          </w:tcPr>
          <w:p>
            <w:pPr>
              <w:spacing w:after="0"/>
              <w:rPr>
                <w:sz w:val="1"/>
                <w:szCs w:val="1"/>
                <w:color w:val="auto"/>
              </w:rPr>
            </w:pPr>
          </w:p>
        </w:tc>
      </w:tr>
      <w:tr>
        <w:trPr>
          <w:trHeight w:val="195"/>
        </w:trPr>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incremental revenue increase of $123 million adjusted for load growth.</w:t>
            </w:r>
          </w:p>
        </w:tc>
        <w:tc>
          <w:tcPr>
            <w:tcW w:w="0" w:type="dxa"/>
            <w:vAlign w:val="bottom"/>
          </w:tcPr>
          <w:p>
            <w:pPr>
              <w:spacing w:after="0"/>
              <w:rPr>
                <w:sz w:val="1"/>
                <w:szCs w:val="1"/>
                <w:color w:val="auto"/>
              </w:rPr>
            </w:pPr>
          </w:p>
        </w:tc>
      </w:tr>
      <w:tr>
        <w:trPr>
          <w:trHeight w:val="136"/>
        </w:trPr>
        <w:tc>
          <w:tcPr>
            <w:tcW w:w="1220" w:type="dxa"/>
            <w:vAlign w:val="bottom"/>
          </w:tcPr>
          <w:p>
            <w:pPr>
              <w:jc w:val="center"/>
              <w:ind w:left="9"/>
              <w:spacing w:after="0" w:line="137" w:lineRule="exact"/>
              <w:rPr>
                <w:sz w:val="20"/>
                <w:szCs w:val="20"/>
                <w:color w:val="auto"/>
              </w:rPr>
            </w:pPr>
            <w:r>
              <w:rPr>
                <w:rFonts w:ascii="Times New Roman" w:cs="Times New Roman" w:eastAsia="Times New Roman" w:hAnsi="Times New Roman"/>
                <w:sz w:val="14"/>
                <w:szCs w:val="14"/>
                <w:color w:val="auto"/>
                <w:w w:val="99"/>
              </w:rPr>
              <w:t>TEEEF</w:t>
            </w:r>
          </w:p>
        </w:tc>
        <w:tc>
          <w:tcPr>
            <w:tcW w:w="3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00"/>
              <w:spacing w:after="0" w:line="137" w:lineRule="exact"/>
              <w:rPr>
                <w:sz w:val="20"/>
                <w:szCs w:val="20"/>
                <w:color w:val="auto"/>
              </w:rPr>
            </w:pPr>
            <w:r>
              <w:rPr>
                <w:rFonts w:ascii="Times New Roman" w:cs="Times New Roman" w:eastAsia="Times New Roman" w:hAnsi="Times New Roman"/>
                <w:sz w:val="14"/>
                <w:szCs w:val="14"/>
                <w:color w:val="auto"/>
              </w:rPr>
              <w:t>(24)</w:t>
            </w:r>
          </w:p>
        </w:tc>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April 2025</w:t>
            </w: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TBD</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Seeks approval of: (1) a proposal to release Houston Electric’s 15 large 32 MW TEEEF units to</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ERCOT and CPS Energy beginning on or around May 1, 2025 to address a potential shortfall and</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Load Shed risk and provide support to the San Antonio region; (2) a corresponding reduction to the</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capacity of the Houston Electric TEEEF fleet; and (3) a reduction and update to Houston Electric’s</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rider TEEEF rate to reflect the removal of the 15 large 32 MW TEEEF units from Houston Electric’s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TEEEF fleet. Houston Electric will make no revenue or profit from ERCOT for the time period when</w:t>
            </w: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15 large 32 MW TEEEF units are in the San Antonio area being dispatched by ERCOT.</w:t>
            </w:r>
          </w:p>
        </w:tc>
        <w:tc>
          <w:tcPr>
            <w:tcW w:w="0" w:type="dxa"/>
            <w:vAlign w:val="bottom"/>
          </w:tcPr>
          <w:p>
            <w:pPr>
              <w:spacing w:after="0"/>
              <w:rPr>
                <w:sz w:val="1"/>
                <w:szCs w:val="1"/>
                <w:color w:val="auto"/>
              </w:rPr>
            </w:pPr>
          </w:p>
        </w:tc>
      </w:tr>
      <w:tr>
        <w:trPr>
          <w:trHeight w:val="144"/>
        </w:trPr>
        <w:tc>
          <w:tcPr>
            <w:tcW w:w="1220" w:type="dxa"/>
            <w:vAlign w:val="bottom"/>
            <w:shd w:val="clear" w:color="auto" w:fill="CCEEFF"/>
          </w:tcPr>
          <w:p>
            <w:pPr>
              <w:jc w:val="center"/>
              <w:ind w:left="9"/>
              <w:spacing w:after="0" w:line="144" w:lineRule="exact"/>
              <w:rPr>
                <w:sz w:val="20"/>
                <w:szCs w:val="20"/>
                <w:color w:val="auto"/>
              </w:rPr>
            </w:pPr>
            <w:r>
              <w:rPr>
                <w:rFonts w:ascii="Times New Roman" w:cs="Times New Roman" w:eastAsia="Times New Roman" w:hAnsi="Times New Roman"/>
                <w:sz w:val="14"/>
                <w:szCs w:val="14"/>
                <w:color w:val="auto"/>
                <w:w w:val="99"/>
              </w:rPr>
              <w:t>TEEEF</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May 2025</w:t>
            </w:r>
          </w:p>
        </w:tc>
        <w:tc>
          <w:tcPr>
            <w:tcW w:w="104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TBD</w:t>
            </w:r>
          </w:p>
        </w:tc>
        <w:tc>
          <w:tcPr>
            <w:tcW w:w="9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Seeks authorization to lease additional small, 200-kilowatt to 1,250-kilowatt TEEEF units in</w:t>
            </w:r>
          </w:p>
        </w:tc>
        <w:tc>
          <w:tcPr>
            <w:tcW w:w="0" w:type="dxa"/>
            <w:vAlign w:val="bottom"/>
          </w:tcPr>
          <w:p>
            <w:pPr>
              <w:spacing w:after="0"/>
              <w:rPr>
                <w:sz w:val="1"/>
                <w:szCs w:val="1"/>
                <w:color w:val="auto"/>
              </w:rPr>
            </w:pPr>
          </w:p>
        </w:tc>
      </w:tr>
      <w:tr>
        <w:trPr>
          <w:trHeight w:val="146"/>
        </w:trPr>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60" w:type="dxa"/>
            <w:vAlign w:val="bottom"/>
            <w:shd w:val="clear" w:color="auto" w:fill="CCEEFF"/>
          </w:tcPr>
          <w:p>
            <w:pPr>
              <w:ind w:left="120"/>
              <w:spacing w:after="0" w:line="146" w:lineRule="exact"/>
              <w:rPr>
                <w:sz w:val="20"/>
                <w:szCs w:val="20"/>
                <w:color w:val="auto"/>
              </w:rPr>
            </w:pPr>
            <w:r>
              <w:rPr>
                <w:rFonts w:ascii="Times New Roman" w:cs="Times New Roman" w:eastAsia="Times New Roman" w:hAnsi="Times New Roman"/>
                <w:sz w:val="14"/>
                <w:szCs w:val="14"/>
                <w:color w:val="auto"/>
              </w:rPr>
              <w:t>accordance with the TEEEF Rule. Among other things, the TEEEF Rule requires that a utility obtain</w:t>
            </w: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preapproval prior to entering into any lease renewal or new leases for TEEEF units. Approval of</w:t>
            </w:r>
          </w:p>
        </w:tc>
        <w:tc>
          <w:tcPr>
            <w:tcW w:w="0" w:type="dxa"/>
            <w:vAlign w:val="bottom"/>
          </w:tcPr>
          <w:p>
            <w:pPr>
              <w:spacing w:after="0"/>
              <w:rPr>
                <w:sz w:val="1"/>
                <w:szCs w:val="1"/>
                <w:color w:val="auto"/>
              </w:rPr>
            </w:pPr>
          </w:p>
        </w:tc>
      </w:tr>
      <w:tr>
        <w:trPr>
          <w:trHeight w:val="136"/>
        </w:trPr>
        <w:tc>
          <w:tcPr>
            <w:tcW w:w="1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Houston Electric’s request in this filing will have no cost impact on customers at this time, as cost</w:t>
            </w:r>
          </w:p>
        </w:tc>
        <w:tc>
          <w:tcPr>
            <w:tcW w:w="0" w:type="dxa"/>
            <w:vAlign w:val="bottom"/>
          </w:tcPr>
          <w:p>
            <w:pPr>
              <w:spacing w:after="0"/>
              <w:rPr>
                <w:sz w:val="1"/>
                <w:szCs w:val="1"/>
                <w:color w:val="auto"/>
              </w:rPr>
            </w:pPr>
          </w:p>
        </w:tc>
      </w:tr>
      <w:tr>
        <w:trPr>
          <w:trHeight w:val="195"/>
        </w:trPr>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determination will occur in a future proceeding.</w:t>
            </w:r>
          </w:p>
        </w:tc>
        <w:tc>
          <w:tcPr>
            <w:tcW w:w="0" w:type="dxa"/>
            <w:vAlign w:val="bottom"/>
          </w:tcPr>
          <w:p>
            <w:pPr>
              <w:spacing w:after="0"/>
              <w:rPr>
                <w:sz w:val="1"/>
                <w:szCs w:val="1"/>
                <w:color w:val="auto"/>
              </w:rPr>
            </w:pPr>
          </w:p>
        </w:tc>
      </w:tr>
      <w:tr>
        <w:trPr>
          <w:trHeight w:val="136"/>
        </w:trPr>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EECRF</w:t>
            </w:r>
          </w:p>
        </w:tc>
        <w:tc>
          <w:tcPr>
            <w:tcW w:w="3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1"/>
              <w:spacing w:after="0" w:line="137" w:lineRule="exact"/>
              <w:rPr>
                <w:sz w:val="20"/>
                <w:szCs w:val="20"/>
                <w:color w:val="auto"/>
              </w:rPr>
            </w:pPr>
            <w:r>
              <w:rPr>
                <w:rFonts w:ascii="Times New Roman" w:cs="Times New Roman" w:eastAsia="Times New Roman" w:hAnsi="Times New Roman"/>
                <w:sz w:val="14"/>
                <w:szCs w:val="14"/>
                <w:color w:val="auto"/>
              </w:rPr>
              <w:t>33</w:t>
            </w:r>
          </w:p>
        </w:tc>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rPr>
              <w:t>May 2025</w:t>
            </w:r>
          </w:p>
        </w:tc>
        <w:tc>
          <w:tcPr>
            <w:tcW w:w="1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March 2026</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TBD</w:t>
            </w: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Requests $96 million, which is comprised primarily of the following: 2026 program costs of $50</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million; $5 million related to the under-recovery of 2024 program costs; the 2024 earned bonus of</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$40 million; and 2026 projected evaluation, measurement and verification costs of $0.6 million. The</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PUCT staff is scheduled to file testimony on or before September 17, 2025. Rebuttal testimony, if</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needed, is due on October 1, 2025. A hearing on the merits is scheduled for October 9, 2025. On</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October 3, 2024, the PUCT staff petitioned (Docket No. 57271) to establish a secondary cap on</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utilities’ 2024 Program Year (PY) earned performance bonuses equal to 25% of utilities total</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expenditures for PY 2024. If Docket No. 57172 is approved by the PUCT, applying the secondary</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cap would result in an estimated $19 million reduction to Houston Electric’s initial EECRF request,</w:t>
            </w: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reducing the requested $40 million bonus to $21 million.</w:t>
            </w:r>
          </w:p>
        </w:tc>
        <w:tc>
          <w:tcPr>
            <w:tcW w:w="0" w:type="dxa"/>
            <w:vAlign w:val="bottom"/>
          </w:tcPr>
          <w:p>
            <w:pPr>
              <w:spacing w:after="0"/>
              <w:rPr>
                <w:sz w:val="1"/>
                <w:szCs w:val="1"/>
                <w:color w:val="auto"/>
              </w:rPr>
            </w:pPr>
          </w:p>
        </w:tc>
      </w:tr>
      <w:tr>
        <w:trPr>
          <w:trHeight w:val="200"/>
        </w:trPr>
        <w:tc>
          <w:tcPr>
            <w:tcW w:w="12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720" w:type="dxa"/>
            <w:vAlign w:val="bottom"/>
            <w:tcBorders>
              <w:bottom w:val="single" w:sz="8" w:color="auto"/>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36"/>
        </w:trPr>
        <w:tc>
          <w:tcPr>
            <w:tcW w:w="12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Tax Act Rider</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1"/>
              <w:spacing w:after="0" w:line="136" w:lineRule="exact"/>
              <w:rPr>
                <w:sz w:val="20"/>
                <w:szCs w:val="20"/>
                <w:color w:val="auto"/>
              </w:rPr>
            </w:pPr>
            <w:r>
              <w:rPr>
                <w:rFonts w:ascii="Times New Roman" w:cs="Times New Roman" w:eastAsia="Times New Roman" w:hAnsi="Times New Roman"/>
                <w:sz w:val="14"/>
                <w:szCs w:val="14"/>
                <w:color w:val="auto"/>
              </w:rPr>
              <w:t>15</w:t>
            </w:r>
          </w:p>
        </w:tc>
        <w:tc>
          <w:tcPr>
            <w:tcW w:w="10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August 2024</w:t>
            </w:r>
          </w:p>
        </w:tc>
        <w:tc>
          <w:tcPr>
            <w:tcW w:w="10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June 2025</w:t>
            </w:r>
          </w:p>
        </w:tc>
        <w:tc>
          <w:tcPr>
            <w:tcW w:w="9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May 2025</w:t>
            </w:r>
          </w:p>
        </w:tc>
        <w:tc>
          <w:tcPr>
            <w:tcW w:w="5860" w:type="dxa"/>
            <w:vAlign w:val="bottom"/>
          </w:tcPr>
          <w:p>
            <w:pPr>
              <w:ind w:left="120"/>
              <w:spacing w:after="0" w:line="136" w:lineRule="exact"/>
              <w:rPr>
                <w:sz w:val="20"/>
                <w:szCs w:val="20"/>
                <w:color w:val="auto"/>
              </w:rPr>
            </w:pPr>
            <w:r>
              <w:rPr>
                <w:rFonts w:ascii="Times New Roman" w:cs="Times New Roman" w:eastAsia="Times New Roman" w:hAnsi="Times New Roman"/>
                <w:sz w:val="14"/>
                <w:szCs w:val="14"/>
                <w:color w:val="auto"/>
              </w:rPr>
              <w:t>Resulting from the Texas Gas Rate Case, the first Tax Act Rider Calculation was filed on August 1,</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2024 pursuant to Docket No. OS-23-00015513 to recover the effects of the IRA and certain other</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tax-related costs for rates that became effective January 1, 2025. These effects include the return on</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the CAMT deferred tax asset (“DTA”) resulting from the IRA, income tax credits resulting from the</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IRA, and the return on the increment or decrement in the net operating loss DTA included in the rate</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base and in the standard service base revenue requirement approved in the Texas Gas Rate Case.</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CERC believes its filing is consistent with the Tax Act Rider tariff approved in Docket No. OS-23-</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00015513. On October 1, 2024, certain parties filed comments disputing the application. Briefings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were filed with an ALJ in November 2024. A hearing on the merits was held on February 21, 2025</w:t>
            </w: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and continued on March 21, 2025. On March 21, 2025, a unanimous settlement agreement was filed.</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color w:val="auto"/>
              </w:rPr>
              <w:t>On April 11, 2025, a PFD was issued. The Railroad Commission considered the PFD at the May 13,</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 open meeting and issued a Final Order approving the settlement agreement.</w:t>
            </w:r>
          </w:p>
        </w:tc>
        <w:tc>
          <w:tcPr>
            <w:tcW w:w="0" w:type="dxa"/>
            <w:vAlign w:val="bottom"/>
          </w:tcPr>
          <w:p>
            <w:pPr>
              <w:spacing w:after="0"/>
              <w:rPr>
                <w:sz w:val="1"/>
                <w:szCs w:val="1"/>
                <w:color w:val="auto"/>
              </w:rPr>
            </w:pPr>
          </w:p>
        </w:tc>
      </w:tr>
      <w:tr>
        <w:trPr>
          <w:trHeight w:val="204"/>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GRIP</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February 2025</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June 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2025</w:t>
            </w: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Based on net change in invested capital of $445 million.</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gridSpan w:val="3"/>
          </w:tcPr>
          <w:p>
            <w:pPr>
              <w:jc w:val="center"/>
              <w:ind w:right="3329"/>
              <w:spacing w:after="0"/>
              <w:rPr>
                <w:sz w:val="20"/>
                <w:szCs w:val="20"/>
                <w:color w:val="auto"/>
              </w:rPr>
            </w:pPr>
            <w:r>
              <w:rPr>
                <w:rFonts w:ascii="Times New Roman" w:cs="Times New Roman" w:eastAsia="Times New Roman" w:hAnsi="Times New Roman"/>
                <w:sz w:val="14"/>
                <w:szCs w:val="14"/>
                <w:b w:val="1"/>
                <w:bCs w:val="1"/>
                <w:color w:val="auto"/>
              </w:rPr>
              <w:t>CenterPoint Energy and CERC - Minnesota (MPUC)</w:t>
            </w:r>
          </w:p>
        </w:tc>
        <w:tc>
          <w:tcPr>
            <w:tcW w:w="0" w:type="dxa"/>
            <w:vAlign w:val="bottom"/>
          </w:tcPr>
          <w:p>
            <w:pPr>
              <w:spacing w:after="0"/>
              <w:rPr>
                <w:sz w:val="1"/>
                <w:szCs w:val="1"/>
                <w:color w:val="auto"/>
              </w:rPr>
            </w:pPr>
          </w:p>
        </w:tc>
      </w:tr>
      <w:tr>
        <w:trPr>
          <w:trHeight w:val="136"/>
        </w:trPr>
        <w:tc>
          <w:tcPr>
            <w:tcW w:w="12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Rate Case</w:t>
            </w:r>
          </w:p>
        </w:tc>
        <w:tc>
          <w:tcPr>
            <w:tcW w:w="3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1"/>
              <w:spacing w:after="0" w:line="136" w:lineRule="exact"/>
              <w:rPr>
                <w:sz w:val="20"/>
                <w:szCs w:val="20"/>
                <w:color w:val="auto"/>
              </w:rPr>
            </w:pPr>
            <w:r>
              <w:rPr>
                <w:rFonts w:ascii="Times New Roman" w:cs="Times New Roman" w:eastAsia="Times New Roman" w:hAnsi="Times New Roman"/>
                <w:sz w:val="14"/>
                <w:szCs w:val="14"/>
                <w:color w:val="auto"/>
              </w:rPr>
              <w:t>104</w:t>
            </w:r>
          </w:p>
        </w:tc>
        <w:tc>
          <w:tcPr>
            <w:tcW w:w="10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November 2023</w:t>
            </w:r>
          </w:p>
        </w:tc>
        <w:tc>
          <w:tcPr>
            <w:tcW w:w="10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September</w:t>
            </w:r>
          </w:p>
        </w:tc>
        <w:tc>
          <w:tcPr>
            <w:tcW w:w="92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July 2025</w:t>
            </w:r>
          </w:p>
        </w:tc>
        <w:tc>
          <w:tcPr>
            <w:tcW w:w="586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Minnesota Gas Rate Case.</w:t>
            </w:r>
          </w:p>
        </w:tc>
        <w:tc>
          <w:tcPr>
            <w:tcW w:w="0" w:type="dxa"/>
            <w:vAlign w:val="bottom"/>
          </w:tcPr>
          <w:p>
            <w:pPr>
              <w:spacing w:after="0"/>
              <w:rPr>
                <w:sz w:val="1"/>
                <w:szCs w:val="1"/>
                <w:color w:val="auto"/>
              </w:rPr>
            </w:pPr>
          </w:p>
        </w:tc>
      </w:tr>
      <w:tr>
        <w:trPr>
          <w:trHeight w:val="195"/>
        </w:trPr>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920" w:type="dxa"/>
            <w:vAlign w:val="bottom"/>
            <w:shd w:val="clear" w:color="auto" w:fill="CCEEFF"/>
          </w:tcPr>
          <w:p>
            <w:pPr>
              <w:spacing w:after="0"/>
              <w:rPr>
                <w:sz w:val="16"/>
                <w:szCs w:val="16"/>
                <w:color w:val="auto"/>
              </w:rPr>
            </w:pPr>
          </w:p>
        </w:tc>
        <w:tc>
          <w:tcPr>
            <w:tcW w:w="5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jc w:val="center"/>
              <w:ind w:right="152"/>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w:t>
            </w:r>
          </w:p>
        </w:tc>
        <w:tc>
          <w:tcPr>
            <w:tcW w:w="112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Mechanism</w:t>
            </w:r>
          </w:p>
        </w:tc>
        <w:tc>
          <w:tcPr>
            <w:tcW w:w="1160" w:type="dxa"/>
            <w:vAlign w:val="bottom"/>
            <w:gridSpan w:val="2"/>
          </w:tcPr>
          <w:p>
            <w:pPr>
              <w:jc w:val="center"/>
              <w:ind w:left="49"/>
              <w:spacing w:after="0" w:line="144" w:lineRule="exact"/>
              <w:rPr>
                <w:sz w:val="20"/>
                <w:szCs w:val="20"/>
                <w:color w:val="auto"/>
              </w:rPr>
            </w:pPr>
            <w:r>
              <w:rPr>
                <w:rFonts w:ascii="Times New Roman" w:cs="Times New Roman" w:eastAsia="Times New Roman" w:hAnsi="Times New Roman"/>
                <w:sz w:val="14"/>
                <w:szCs w:val="14"/>
                <w:b w:val="1"/>
                <w:bCs w:val="1"/>
                <w:color w:val="auto"/>
              </w:rPr>
              <w:t xml:space="preserve">(Decrease) </w:t>
            </w:r>
            <w:r>
              <w:rPr>
                <w:rFonts w:ascii="Times New Roman" w:cs="Times New Roman" w:eastAsia="Times New Roman" w:hAnsi="Times New Roman"/>
                <w:sz w:val="10"/>
                <w:szCs w:val="10"/>
                <w:b w:val="1"/>
                <w:bCs w:val="1"/>
                <w:color w:val="auto"/>
              </w:rPr>
              <w:t>(1)</w:t>
            </w:r>
          </w:p>
        </w:tc>
        <w:tc>
          <w:tcPr>
            <w:tcW w:w="1020" w:type="dxa"/>
            <w:vAlign w:val="bottom"/>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860" w:type="dxa"/>
            <w:vAlign w:val="bottom"/>
            <w:vMerge w:val="continue"/>
          </w:tcPr>
          <w:p>
            <w:pPr>
              <w:spacing w:after="0"/>
              <w:rPr>
                <w:sz w:val="12"/>
                <w:szCs w:val="12"/>
                <w:color w:val="auto"/>
              </w:rPr>
            </w:pPr>
          </w:p>
        </w:tc>
        <w:tc>
          <w:tcPr>
            <w:tcW w:w="588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Additional Information</w:t>
            </w:r>
          </w:p>
        </w:tc>
        <w:tc>
          <w:tcPr>
            <w:tcW w:w="0" w:type="dxa"/>
            <w:vAlign w:val="bottom"/>
          </w:tcPr>
          <w:p>
            <w:pPr>
              <w:spacing w:after="0"/>
              <w:rPr>
                <w:sz w:val="1"/>
                <w:szCs w:val="1"/>
                <w:color w:val="auto"/>
              </w:rPr>
            </w:pPr>
          </w:p>
        </w:tc>
      </w:tr>
      <w:tr>
        <w:trPr>
          <w:trHeight w:val="172"/>
        </w:trPr>
        <w:tc>
          <w:tcPr>
            <w:tcW w:w="12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860" w:type="dxa"/>
            <w:vAlign w:val="bottom"/>
            <w:tcBorders>
              <w:bottom w:val="single" w:sz="8" w:color="auto"/>
            </w:tcBorders>
            <w:gridSpan w:val="3"/>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CenterPoint Energy - Indiana South - Gas (IURC)</w:t>
            </w:r>
          </w:p>
        </w:tc>
        <w:tc>
          <w:tcPr>
            <w:tcW w:w="0" w:type="dxa"/>
            <w:vAlign w:val="bottom"/>
          </w:tcPr>
          <w:p>
            <w:pPr>
              <w:spacing w:after="0"/>
              <w:rPr>
                <w:sz w:val="1"/>
                <w:szCs w:val="1"/>
                <w:color w:val="auto"/>
              </w:rPr>
            </w:pPr>
          </w:p>
        </w:tc>
      </w:tr>
      <w:tr>
        <w:trPr>
          <w:trHeight w:val="132"/>
        </w:trPr>
        <w:tc>
          <w:tcPr>
            <w:tcW w:w="1200" w:type="dxa"/>
            <w:vAlign w:val="bottom"/>
            <w:shd w:val="clear" w:color="auto" w:fill="CCEEFF"/>
          </w:tcPr>
          <w:p>
            <w:pPr>
              <w:jc w:val="center"/>
              <w:ind w:left="9"/>
              <w:spacing w:after="0" w:line="133" w:lineRule="exact"/>
              <w:rPr>
                <w:sz w:val="20"/>
                <w:szCs w:val="20"/>
                <w:color w:val="auto"/>
              </w:rPr>
            </w:pPr>
            <w:r>
              <w:rPr>
                <w:rFonts w:ascii="Times New Roman" w:cs="Times New Roman" w:eastAsia="Times New Roman" w:hAnsi="Times New Roman"/>
                <w:sz w:val="14"/>
                <w:szCs w:val="14"/>
                <w:color w:val="auto"/>
              </w:rPr>
              <w:t>CSIA</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72"/>
              <w:spacing w:after="0" w:line="133" w:lineRule="exact"/>
              <w:rPr>
                <w:sz w:val="20"/>
                <w:szCs w:val="20"/>
                <w:color w:val="auto"/>
              </w:rPr>
            </w:pPr>
            <w:r>
              <w:rPr>
                <w:rFonts w:ascii="Times New Roman" w:cs="Times New Roman" w:eastAsia="Times New Roman" w:hAnsi="Times New Roman"/>
                <w:sz w:val="14"/>
                <w:szCs w:val="14"/>
                <w:color w:val="auto"/>
              </w:rPr>
              <w:t>2</w:t>
            </w:r>
          </w:p>
        </w:tc>
        <w:tc>
          <w:tcPr>
            <w:tcW w:w="10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April 2025</w:t>
            </w:r>
          </w:p>
        </w:tc>
        <w:tc>
          <w:tcPr>
            <w:tcW w:w="11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TBD</w:t>
            </w:r>
          </w:p>
        </w:tc>
        <w:tc>
          <w:tcPr>
            <w:tcW w:w="58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4"/>
                <w:szCs w:val="14"/>
                <w:color w:val="auto"/>
              </w:rPr>
              <w:t>Requested an increase of $11.6 million to rate base, which reflects an approximately $1.5 million</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rPr>
              <w:t>annual increase in current revenues, of which 80% is included in the mechanism and 20% is deferred</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until the next rate case. The mechanism also includes a change in (over)/under recovery variance of</w:t>
            </w:r>
          </w:p>
        </w:tc>
        <w:tc>
          <w:tcPr>
            <w:tcW w:w="0" w:type="dxa"/>
            <w:vAlign w:val="bottom"/>
          </w:tcPr>
          <w:p>
            <w:pPr>
              <w:spacing w:after="0"/>
              <w:rPr>
                <w:sz w:val="1"/>
                <w:szCs w:val="1"/>
                <w:color w:val="auto"/>
              </w:rPr>
            </w:pPr>
          </w:p>
        </w:tc>
      </w:tr>
      <w:tr>
        <w:trPr>
          <w:trHeight w:val="142"/>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$1.9 million. The OUCC filed testimony on June 3, 2025, recommending minor changes. Indiana</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rPr>
              <w:t>South filed a rebuttal on June 17, 2025, adopting the changes. The evidentiary hearing was held on</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June 30, 2025. A final order is expected by the end of July 2025.</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860" w:type="dxa"/>
            <w:vAlign w:val="bottom"/>
            <w:tcBorders>
              <w:bottom w:val="single" w:sz="8" w:color="auto"/>
            </w:tcBorders>
            <w:gridSpan w:val="3"/>
          </w:tcPr>
          <w:p>
            <w:pPr>
              <w:jc w:val="center"/>
              <w:ind w:right="3289"/>
              <w:spacing w:after="0"/>
              <w:rPr>
                <w:sz w:val="20"/>
                <w:szCs w:val="20"/>
                <w:color w:val="auto"/>
              </w:rPr>
            </w:pPr>
            <w:r>
              <w:rPr>
                <w:rFonts w:ascii="Times New Roman" w:cs="Times New Roman" w:eastAsia="Times New Roman" w:hAnsi="Times New Roman"/>
                <w:sz w:val="14"/>
                <w:szCs w:val="14"/>
                <w:b w:val="1"/>
                <w:bCs w:val="1"/>
                <w:color w:val="auto"/>
              </w:rPr>
              <w:t>CenterPoint Energy and CERC - Indiana North - Gas (IURC)</w:t>
            </w:r>
          </w:p>
        </w:tc>
        <w:tc>
          <w:tcPr>
            <w:tcW w:w="0" w:type="dxa"/>
            <w:vAlign w:val="bottom"/>
          </w:tcPr>
          <w:p>
            <w:pPr>
              <w:spacing w:after="0"/>
              <w:rPr>
                <w:sz w:val="1"/>
                <w:szCs w:val="1"/>
                <w:color w:val="auto"/>
              </w:rPr>
            </w:pPr>
          </w:p>
        </w:tc>
      </w:tr>
      <w:tr>
        <w:trPr>
          <w:trHeight w:val="132"/>
        </w:trPr>
        <w:tc>
          <w:tcPr>
            <w:tcW w:w="1200" w:type="dxa"/>
            <w:vAlign w:val="bottom"/>
            <w:shd w:val="clear" w:color="auto" w:fill="CCEEFF"/>
          </w:tcPr>
          <w:p>
            <w:pPr>
              <w:jc w:val="center"/>
              <w:ind w:left="9"/>
              <w:spacing w:after="0" w:line="133" w:lineRule="exact"/>
              <w:rPr>
                <w:sz w:val="20"/>
                <w:szCs w:val="20"/>
                <w:color w:val="auto"/>
              </w:rPr>
            </w:pPr>
            <w:r>
              <w:rPr>
                <w:rFonts w:ascii="Times New Roman" w:cs="Times New Roman" w:eastAsia="Times New Roman" w:hAnsi="Times New Roman"/>
                <w:sz w:val="14"/>
                <w:szCs w:val="14"/>
                <w:color w:val="auto"/>
              </w:rPr>
              <w:t>CSIA</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72"/>
              <w:spacing w:after="0" w:line="133" w:lineRule="exact"/>
              <w:rPr>
                <w:sz w:val="20"/>
                <w:szCs w:val="20"/>
                <w:color w:val="auto"/>
              </w:rPr>
            </w:pPr>
            <w:r>
              <w:rPr>
                <w:rFonts w:ascii="Times New Roman" w:cs="Times New Roman" w:eastAsia="Times New Roman" w:hAnsi="Times New Roman"/>
                <w:sz w:val="14"/>
                <w:szCs w:val="14"/>
                <w:color w:val="auto"/>
              </w:rPr>
              <w:t>9</w:t>
            </w:r>
          </w:p>
        </w:tc>
        <w:tc>
          <w:tcPr>
            <w:tcW w:w="10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April 2025</w:t>
            </w:r>
          </w:p>
        </w:tc>
        <w:tc>
          <w:tcPr>
            <w:tcW w:w="11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TBD</w:t>
            </w:r>
          </w:p>
        </w:tc>
        <w:tc>
          <w:tcPr>
            <w:tcW w:w="58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4"/>
                <w:szCs w:val="14"/>
                <w:color w:val="auto"/>
              </w:rPr>
              <w:t>Requested an increase of $94.9 million to rate base, which reflects an approximately $8.6 million</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rPr>
              <w:t>annual increase in current revenues, of which 80% is included in the mechanism and 20% is deferred</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until the next rate case. The mechanism also includes a change in (over)/under recovery variance of</w:t>
            </w:r>
          </w:p>
        </w:tc>
        <w:tc>
          <w:tcPr>
            <w:tcW w:w="0" w:type="dxa"/>
            <w:vAlign w:val="bottom"/>
          </w:tcPr>
          <w:p>
            <w:pPr>
              <w:spacing w:after="0"/>
              <w:rPr>
                <w:sz w:val="1"/>
                <w:szCs w:val="1"/>
                <w:color w:val="auto"/>
              </w:rPr>
            </w:pPr>
          </w:p>
        </w:tc>
      </w:tr>
      <w:tr>
        <w:trPr>
          <w:trHeight w:val="142"/>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$5 million. The OUCC filed testimony on June 3, 2025. Indiana North filed rebuttal testimony on</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rPr>
              <w:t>June 17, 2025. The evidentiary hearing was held on June 30, 2025. A final order is expected by the</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 of July 2025.</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860" w:type="dxa"/>
            <w:vAlign w:val="bottom"/>
            <w:tcBorders>
              <w:bottom w:val="single" w:sz="8" w:color="auto"/>
            </w:tcBorders>
            <w:gridSpan w:val="3"/>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CenterPoint Energy and CERC - Ohio - Gas (PUCO)</w:t>
            </w:r>
          </w:p>
        </w:tc>
        <w:tc>
          <w:tcPr>
            <w:tcW w:w="0" w:type="dxa"/>
            <w:vAlign w:val="bottom"/>
          </w:tcPr>
          <w:p>
            <w:pPr>
              <w:spacing w:after="0"/>
              <w:rPr>
                <w:sz w:val="1"/>
                <w:szCs w:val="1"/>
                <w:color w:val="auto"/>
              </w:rPr>
            </w:pPr>
          </w:p>
        </w:tc>
      </w:tr>
      <w:tr>
        <w:trPr>
          <w:trHeight w:val="132"/>
        </w:trPr>
        <w:tc>
          <w:tcPr>
            <w:tcW w:w="1200" w:type="dxa"/>
            <w:vAlign w:val="bottom"/>
            <w:shd w:val="clear" w:color="auto" w:fill="CCEEFF"/>
          </w:tcPr>
          <w:p>
            <w:pPr>
              <w:jc w:val="center"/>
              <w:ind w:left="9"/>
              <w:spacing w:after="0" w:line="133" w:lineRule="exact"/>
              <w:rPr>
                <w:sz w:val="20"/>
                <w:szCs w:val="20"/>
                <w:color w:val="auto"/>
              </w:rPr>
            </w:pPr>
            <w:r>
              <w:rPr>
                <w:rFonts w:ascii="Times New Roman" w:cs="Times New Roman" w:eastAsia="Times New Roman" w:hAnsi="Times New Roman"/>
                <w:sz w:val="14"/>
                <w:szCs w:val="14"/>
                <w:color w:val="auto"/>
                <w:w w:val="97"/>
              </w:rPr>
              <w:t>DRR</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72"/>
              <w:spacing w:after="0" w:line="133" w:lineRule="exact"/>
              <w:rPr>
                <w:sz w:val="20"/>
                <w:szCs w:val="20"/>
                <w:color w:val="auto"/>
              </w:rPr>
            </w:pPr>
            <w:r>
              <w:rPr>
                <w:rFonts w:ascii="Times New Roman" w:cs="Times New Roman" w:eastAsia="Times New Roman" w:hAnsi="Times New Roman"/>
                <w:sz w:val="14"/>
                <w:szCs w:val="14"/>
                <w:color w:val="auto"/>
              </w:rPr>
              <w:t>6</w:t>
            </w:r>
          </w:p>
        </w:tc>
        <w:tc>
          <w:tcPr>
            <w:tcW w:w="10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May</w:t>
            </w:r>
          </w:p>
        </w:tc>
        <w:tc>
          <w:tcPr>
            <w:tcW w:w="11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w w:val="99"/>
              </w:rPr>
              <w:t>TBD</w:t>
            </w:r>
          </w:p>
        </w:tc>
        <w:tc>
          <w:tcPr>
            <w:tcW w:w="588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4"/>
                <w:szCs w:val="14"/>
                <w:color w:val="auto"/>
              </w:rPr>
              <w:t>Requested an increase of $54 million to rate base for investments made in 2024, which reflects a $6</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2025</w:t>
            </w: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rPr>
              <w:t>million annual increase in current revenues. A change in (over)/under-recovery variance of ($0.03)</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million annually is also included in rates. PUCO staff and intervenor (Ohio Consumers’ Counsel)</w:t>
            </w:r>
          </w:p>
        </w:tc>
        <w:tc>
          <w:tcPr>
            <w:tcW w:w="0" w:type="dxa"/>
            <w:vAlign w:val="bottom"/>
          </w:tcPr>
          <w:p>
            <w:pPr>
              <w:spacing w:after="0"/>
              <w:rPr>
                <w:sz w:val="1"/>
                <w:szCs w:val="1"/>
                <w:color w:val="auto"/>
              </w:rPr>
            </w:pPr>
          </w:p>
        </w:tc>
      </w:tr>
      <w:tr>
        <w:trPr>
          <w:trHeight w:val="142"/>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filed comments June 27, 2025. PUCO staff recommended approval. Ohio Consumers’ Counsel</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rPr>
              <w:t>commented on affordability and provided potential solutions including stretching out the</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replacement program over a longer period of time, phasing in the annual increase, shifting from fixed</w:t>
            </w:r>
          </w:p>
        </w:tc>
        <w:tc>
          <w:tcPr>
            <w:tcW w:w="0" w:type="dxa"/>
            <w:vAlign w:val="bottom"/>
          </w:tcPr>
          <w:p>
            <w:pPr>
              <w:spacing w:after="0"/>
              <w:rPr>
                <w:sz w:val="1"/>
                <w:szCs w:val="1"/>
                <w:color w:val="auto"/>
              </w:rPr>
            </w:pPr>
          </w:p>
        </w:tc>
      </w:tr>
      <w:tr>
        <w:trPr>
          <w:trHeight w:val="142"/>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charges to volumetric charges, and increasing funding for its bill assistance programs. A statement</w:t>
            </w:r>
          </w:p>
        </w:tc>
        <w:tc>
          <w:tcPr>
            <w:tcW w:w="0" w:type="dxa"/>
            <w:vAlign w:val="bottom"/>
          </w:tcPr>
          <w:p>
            <w:pPr>
              <w:spacing w:after="0"/>
              <w:rPr>
                <w:sz w:val="1"/>
                <w:szCs w:val="1"/>
                <w:color w:val="auto"/>
              </w:rPr>
            </w:pPr>
          </w:p>
        </w:tc>
      </w:tr>
      <w:tr>
        <w:trPr>
          <w:trHeight w:val="136"/>
        </w:trPr>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88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4"/>
                <w:szCs w:val="14"/>
                <w:color w:val="auto"/>
              </w:rPr>
              <w:t>informing the PUCO of whether the issues raised in comments have been resolved was filed July 11,</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4"/>
                <w:szCs w:val="14"/>
                <w:color w:val="auto"/>
              </w:rPr>
              <w:t>2025. Supplemental Testimony from CEOH and the Ohio Consumers’ Counsel was filed July 22,</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 A hearing is scheduled for July 29, 2025.</w:t>
            </w:r>
          </w:p>
        </w:tc>
        <w:tc>
          <w:tcPr>
            <w:tcW w:w="0" w:type="dxa"/>
            <w:vAlign w:val="bottom"/>
          </w:tcPr>
          <w:p>
            <w:pPr>
              <w:spacing w:after="0"/>
              <w:rPr>
                <w:sz w:val="1"/>
                <w:szCs w:val="1"/>
                <w:color w:val="auto"/>
              </w:rPr>
            </w:pPr>
          </w:p>
        </w:tc>
      </w:tr>
      <w:tr>
        <w:trPr>
          <w:trHeight w:val="186"/>
        </w:trPr>
        <w:tc>
          <w:tcPr>
            <w:tcW w:w="12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Rate Case</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100</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Ohio Gas Rate Case.</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40" w:hanging="316"/>
        <w:spacing w:after="0" w:line="274" w:lineRule="auto"/>
        <w:tabs>
          <w:tab w:leader="none" w:pos="6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proposed increases (decreases) when effective date and/or approval date is not yet determined. Approved rates could differ materially from proposed rates.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24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In 2025, the U.S. government has announced and, in certain cases, rescinded, multiple tariffs on several foreign jurisdictions and imports into the United States. For example, in March 2025, the U.S. government imposed a 25% tariff on steel imports, and in April 2025, the U.S. government announced a baseline tariff of 10% on products imported from all countries and an additional individualized reciprocal tariff on the countries with which the United States has the largest trade deficits, including China. Increased tariffs by the United States have led, and may continue to lead, to the imposition of retaliatory tariffs or other measures taken by foreign jurisdictions, which may in turn lead to additional tariffs imposed or measures taken by the United States. Additionally, the announcement and rescission of tariffs on foreign jurisdictions has increased uncertainty regarding the ultimate effect of the tariffs on economic conditions. Current uncertainties about tariffs and their effects on trading relationships may affect the Registrants’ ability to access the capital markets, contribute to inflation in the markets in which the Registrants operate, increase commodity cost volatility, impact availability of goods and materials or otherwise negatively impact the global supply chain. The Registrants are continuing to monitor the economic effects of such announcements and developments, as well as the Registrants’ ability to mitigate their related impacts, but costs and other effects associated with the tariffs remain uncertain.</w:t>
      </w:r>
    </w:p>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Greenhouse Gas and Climate-Related Regulation and Compliance (CenterPoint Energy)</w:t>
      </w:r>
    </w:p>
    <w:p>
      <w:pPr>
        <w:spacing w:after="0" w:line="2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There has been increasing attention at the local, state and international levels to the issue of climate risk. There has been a recent shift, however, in climate policy at the federal level in the United States. On June 11, 2025, the EPA proposed to repeal all GHG emissions standards for the power sector under Section 111 of the Clean Air Act. As an alternative, the EPA proposed to repeal a narrower set of requirements, including the emission guidelines for existing fossil fuel-fired steam electric generating units and the carbon capture and sequestration/storage-based standards for new base load stationary combustion turbines.</w:t>
      </w:r>
    </w:p>
    <w:p>
      <w:pPr>
        <w:spacing w:after="0" w:line="1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March 6, 2024, the SEC adopted final rules that require the Registrants to disclose certain climate-related information in registration statements and annual reports. Litigation challenging the rules was filed by multiple parties in multiple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jurisdictions, which was consolidated and assigned to the U.S. Court of Appeals for the Eighth Circuit. On April 4, 2024, the SEC announced it was voluntarily delaying the implementation of the climate disclosure rules while the U.S. Court of Appeals considered the litigation, and on March 27, 2025, the SEC voted to end the defense of the rules in the litigation. On April 4, 2025, a group of 18 intervenor-respondent states and the District of Columbia moved to hold the cases in abeyance until the SEC amends or rescinds the regulations, which motion was granted by the U.S. Court of Appeals in an order issued on April 24, 2025. Further, the U.S. Court of Appeals directed the SEC to file a status report within 90 days (by July 23, 2025) advising the court whether the SEC intends to review or reconsider the rules at issue in the case.</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Climate Risk Trends and Uncertainties</w:t>
      </w:r>
    </w:p>
    <w:p>
      <w:pPr>
        <w:spacing w:after="0" w:line="24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Changes in the U.S. presidential administration and significant expected increases in electric demand, as announced by organizations such as ERCOT and MISO, have shifted the energy landscape in the United States. Since taking office, President Trump has issued a series of executive orders and presidential memoranda that seek to increase investment in fossil fuel infrastructure, including by directing all heads of federal agencies to identify and begin the processes to suspend, revise or rescind all agency actions that are determined to be unduly burdensome on the identification, development or use of domestic energy resources, with particular attention to oil, natural gas, hydropower, biofuels, critical mineral and nuclear energy resources. Additionally, on July 4, 2025, the OBBBA was signed into law, which includes numerous changes to the energy tax credits initially introduced and expanded under the IRA, including accelerated phase outs for certain credits. Further, on July 7, 2025, President Trump issued Executive Order 14315, which relates to the implementation of such changes to energy tax credits. This shift in federal domestic energy policy has resulted in uncertainty with respect to the scope and speed of future renewable generation infrastructure development and the role that existing renewable generation will play in support of the U.S. energy grid. The long-term impacts of this domestic energy policy shift are uncertain, including with respect to impacts on the development of, and consequently the availability of, alternative energy sources (such as solar energy, including private solar, wind energy, microturbines, fuel cells, energy-efficient buildings and energy storage devices). Additionally, it is unclear whether, and if so how, the new domestic energy policy, including the potential suspension, revision or rescission of regulations restricting emissions (including methane emissions), will affect consumers’ and companies’ energy use, adoption of alternative energy sources or decisions to expand their facilities, including natural gas facilities.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9 to the Interim Condensed Financial Statements.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June 30, 2025. As of July 21, 2025, the Registrants had the following revolving credit facilities and utilization of such facilities: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Amount Utilized as of July 21, 2025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0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Size of Facility</w:t>
            </w: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Letters of Credit</w:t>
            </w: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 Interest</w:t>
            </w:r>
          </w:p>
        </w:tc>
        <w:tc>
          <w:tcPr>
            <w:tcW w:w="19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0" w:type="dxa"/>
            <w:vAlign w:val="bottom"/>
          </w:tcPr>
          <w:p>
            <w:pPr>
              <w:spacing w:after="0"/>
              <w:rPr>
                <w:sz w:val="1"/>
                <w:szCs w:val="1"/>
                <w:color w:val="auto"/>
              </w:rPr>
            </w:pPr>
          </w:p>
        </w:tc>
      </w:tr>
      <w:tr>
        <w:trPr>
          <w:trHeight w:val="211"/>
        </w:trPr>
        <w:tc>
          <w:tcPr>
            <w:tcW w:w="2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Paper</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3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6"/>
              </w:rPr>
              <w:t>4.58%</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1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CenterPoint Energy (1)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14"/>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1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34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6"/>
              </w:rPr>
              <w:t>4.50%</w:t>
            </w:r>
          </w:p>
        </w:tc>
        <w:tc>
          <w:tcPr>
            <w:tcW w:w="100" w:type="dxa"/>
            <w:vAlign w:val="bottom"/>
          </w:tcPr>
          <w:p>
            <w:pPr>
              <w:spacing w:after="0"/>
              <w:rPr>
                <w:sz w:val="18"/>
                <w:szCs w:val="18"/>
                <w:color w:val="auto"/>
              </w:rPr>
            </w:pPr>
          </w:p>
        </w:tc>
        <w:tc>
          <w:tcPr>
            <w:tcW w:w="19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December 6, 2028</w:t>
            </w:r>
          </w:p>
        </w:tc>
        <w:tc>
          <w:tcPr>
            <w:tcW w:w="0" w:type="dxa"/>
            <w:vAlign w:val="bottom"/>
          </w:tcPr>
          <w:p>
            <w:pPr>
              <w:spacing w:after="0"/>
              <w:rPr>
                <w:sz w:val="1"/>
                <w:szCs w:val="1"/>
                <w:color w:val="auto"/>
              </w:rPr>
            </w:pPr>
          </w:p>
        </w:tc>
      </w:tr>
      <w:tr>
        <w:trPr>
          <w:trHeight w:val="232"/>
        </w:trPr>
        <w:tc>
          <w:tcPr>
            <w:tcW w:w="27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This credit facility was issued by SIGECO.</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Registrants and SIGECO are currently in compliance with the various business and financial covenants in the four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detailed information about the Registrants’ debt transactions to date in 2025, see Note 9 to the Interim Condensed Financial Statements.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Securities Registered with the SEC</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2025, see Note 9 to the Interim Condensed Financial Statements.</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Additionally, for information related to shares of Common Stock sold pursuant to the forward sale agreements and the Equity Distribution Agreement in 2025, see Note 15 to the Interim Condensed Financial Statements.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July 21, 2025, the Registrants had no temporary investments.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Money Pool</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 money pool activity by Registrant as of July 21, 2025:</w:t>
      </w:r>
    </w:p>
    <w:p>
      <w:pPr>
        <w:spacing w:after="0" w:line="35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200" w:type="dxa"/>
            <w:vAlign w:val="bottom"/>
          </w:tcPr>
          <w:p>
            <w:pPr>
              <w:spacing w:after="0"/>
              <w:rPr>
                <w:sz w:val="16"/>
                <w:szCs w:val="16"/>
                <w:color w:val="auto"/>
              </w:rPr>
            </w:pPr>
          </w:p>
        </w:tc>
        <w:tc>
          <w:tcPr>
            <w:tcW w:w="158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580" w:type="dxa"/>
            <w:vAlign w:val="bottom"/>
          </w:tcPr>
          <w:p>
            <w:pPr>
              <w:spacing w:after="0"/>
              <w:rPr>
                <w:sz w:val="16"/>
                <w:szCs w:val="16"/>
                <w:color w:val="auto"/>
              </w:rPr>
            </w:pPr>
          </w:p>
        </w:tc>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2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0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pool borrowings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396</w:t>
            </w:r>
          </w:p>
        </w:tc>
        <w:tc>
          <w:tcPr>
            <w:tcW w:w="5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on Liquidity of a Downgrade in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interest rate on borrowings under the credit facilities is based on each respective borrower’s credit ratings. As of July 21, 2025, Moody’s, S&amp;P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 had assigned the following credit ratings to the borrowers: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Moody’s</w:t>
            </w:r>
          </w:p>
        </w:tc>
        <w:tc>
          <w:tcPr>
            <w:tcW w:w="72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S&amp;P</w:t>
            </w:r>
          </w:p>
        </w:tc>
        <w:tc>
          <w:tcPr>
            <w:tcW w:w="72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Fitch</w:t>
            </w:r>
          </w:p>
        </w:tc>
      </w:tr>
      <w:tr>
        <w:trPr>
          <w:trHeight w:val="209"/>
        </w:trPr>
        <w:tc>
          <w:tcPr>
            <w:tcW w:w="19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36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Borrower/Instrument</w:t>
            </w:r>
          </w:p>
        </w:tc>
        <w:tc>
          <w:tcPr>
            <w:tcW w:w="9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Outlook (1)</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Outlook (2)</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Outlook (3)</w:t>
            </w:r>
          </w:p>
        </w:tc>
      </w:tr>
      <w:tr>
        <w:trPr>
          <w:trHeight w:val="206"/>
        </w:trPr>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10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 Senior Unsecured Debt</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Baa2</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Negative</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3"/>
              </w:rPr>
              <w:t>BBB</w:t>
            </w: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Negative</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9"/>
              </w:rPr>
              <w:t>BBB</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r>
        <w:trPr>
          <w:trHeight w:val="21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Vectren Corp. Issuer Rating</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BBB+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SIGECO Senior Secured Debt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A1</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Stable</w:t>
            </w:r>
          </w:p>
        </w:tc>
        <w:tc>
          <w:tcPr>
            <w:tcW w:w="72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86"/>
              </w:rPr>
              <w: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Houston Electric Senior Secured Debt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A2</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w w:val="86"/>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Negative</w:t>
            </w:r>
          </w:p>
        </w:tc>
      </w:tr>
      <w:tr>
        <w:trPr>
          <w:trHeight w:val="214"/>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CERC Corp. Senior Unsecured Debt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A3</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Stable</w:t>
            </w:r>
          </w:p>
        </w:tc>
        <w:tc>
          <w:tcPr>
            <w:tcW w:w="72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BBB+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4"/>
              </w:rPr>
              <w: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r>
      <w:tr>
        <w:trPr>
          <w:trHeight w:val="208"/>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Indiana Gas Senior Unsecured Debt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BBB+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79" w:lineRule="exact"/>
        <w:rPr>
          <w:sz w:val="20"/>
          <w:szCs w:val="20"/>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Moody’s rating outlook is an opinion regarding the likely direction of an issuer’s rating over the medium term.</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S&amp;P outlook assesses the potential direction of a long-term credit rating over the intermediate to longer term.</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Fitch rating outlook indicates the direction a rating is likely to move over a one- to two-year period.</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w:t>
      </w:r>
    </w:p>
    <w:p>
      <w:pPr>
        <w:sectPr>
          <w:pgSz w:w="11900" w:h="16838" w:orient="portrait"/>
          <w:cols w:equalWidth="0" w:num="1">
            <w:col w:w="11240"/>
          </w:cols>
          <w:pgMar w:left="320" w:top="11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 decline in credit ratings could increase borrowing costs under the Registrants’ revolving credit facilities. If the Registrants’ credit ratings had been downgraded one notch by S&amp;P and Moody’s from the ratings that existed as of June 30, 2025,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$289 million as of June 30, 2025. The amount of collateral will depend on seasonal variations in transportation levels.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ZENS and Securities Related to ZENS (CenterPoint Energy)</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June 30, 2025, deferred taxes of approximately $819 million would have been payable in 2025. If all the ZENS-Related Securities had been sold on June 30, 2025, capital gains taxes of approximately $108 million would have been payable in 2025 based on 2025 tax rates in effect. For additional information about ZENS, see Note 8 to the Interim Condensed Financial Statements.</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Cross Defaults</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Under the Registrants’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Possible Acquisitions, Divestitures and Joint Ventures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has increased its planned capital expenditures in its Electric and Natural Gas businesses multiple times over the recent years to support rate base growth and may continue to do so in the future. The Registrants may continue to explore asset sales as a means to efficiently finance a portion of its increased capital expenditures in the future, subject to the considerations listed above. For further information,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February 19, 2024, CenterPoint Energy, through its subsidiary CERC Corp., entered into the LAMS Asset Purchase Agreement to sell its Louisiana and Mississippi natural gas LDC businesses for approximately $1.2 billion, subject to adjustment as set forth in the LAMS Asset Purchase Agreement, including adjustments based on net working capital, regulatory assets and liabilities and capital expenditures at closing. The transaction closed on March 31, 2025. On March 7, 2025, SIGECO acquired 100% of the equity interests in Posey Solar, which was constructing a 191 MW solar array in Posey County, Indiana, for approximately $357 million. For further information, see Note 3 to the Interim Condensed Financial Statements. In May 2025, CenterPoint Energy announced that it is planning to sell its Ohio natural gas LDC business to support the efficient recycling of capital and portfolio optimization.</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Collection of Receivables from REPs (CenterPoint Energy and Houston Electric)</w:t>
      </w:r>
    </w:p>
    <w:p>
      <w:pPr>
        <w:spacing w:after="0" w:line="24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Factors that Could Affect Cash Requirements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to the above factors, the Registrants’ liquidity and capital resources could also be negatively affected by:</w:t>
      </w:r>
    </w:p>
    <w:p>
      <w:pPr>
        <w:spacing w:after="0" w:line="24" w:lineRule="exact"/>
        <w:rPr>
          <w:sz w:val="20"/>
          <w:szCs w:val="20"/>
          <w:color w:val="auto"/>
        </w:rPr>
      </w:pPr>
    </w:p>
    <w:p>
      <w:pPr>
        <w:ind w:left="640" w:hanging="316"/>
        <w:spacing w:after="0" w:line="245"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spacing w:after="0" w:line="1"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related to the acquisition of natural gas (CenterPoint Energy and CERC);</w:t>
      </w:r>
    </w:p>
    <w:p>
      <w:pPr>
        <w:spacing w:after="0" w:line="5" w:lineRule="exact"/>
        <w:rPr>
          <w:rFonts w:ascii="Times New Roman" w:cs="Times New Roman" w:eastAsia="Times New Roman" w:hAnsi="Times New Roman"/>
          <w:sz w:val="18"/>
          <w:szCs w:val="18"/>
          <w:color w:val="auto"/>
        </w:rPr>
      </w:pPr>
    </w:p>
    <w:p>
      <w:pPr>
        <w:ind w:left="640" w:hanging="316"/>
        <w:spacing w:after="0" w:line="238"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certain goods, materials or services due to tariffs or trade restrictions imposed by the U.S. government, the imposition of retaliatory tariffs or other measures, and any effect on trading relationships between the United States and other countries;</w:t>
      </w:r>
    </w:p>
    <w:p>
      <w:pPr>
        <w:ind w:left="640" w:right="20" w:hanging="316"/>
        <w:spacing w:after="0" w:line="237"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expense in connection with debt refinancings and borrowings under credit facilities or term loans or the use of alternative sources of financings, including financings due to the May 2024 Storm Events and Hurricane Beryl;</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legislative, executive or regulatory actions at the federal, state and local levels, including actions in response to the May 2024 Storm Events and Hurricane Beryl and actions pertaining to trade (including tariffs, bans, retaliatory trade measures taken against the United States or related governmental action);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collateral, if any, that may be required due to regulation of derivatives (CenterPoint Energy);</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REPs, including REP affiliates of NRG and Vistra Energy Corp., to satisfy their obligations to CenterPoint Energy and Houston Electric;</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customer payments and increased write-offs of receivables due to higher natural gas prices, changing economic conditions, public health threats or severe weather events, such as the May 2024 Storm Events and Hurricane Beryl (CenterPoint Energy and CERC);</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any obligations pursuant to guarantees;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including litigation related to the February 2021 Winter Storm Event and Hurricane Beryl;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pension and postretirement benefit plans;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any losses under applicable insurance policies;</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costs and revenue losses resulting from future natural disasters such as hurricanes or other severe weather events and the timing of and amounts sought for recovery of such restoration costs;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other risks identified in “Risk Factors” in </w:t>
      </w:r>
      <w:hyperlink r:id="rId99">
        <w:r>
          <w:rPr>
            <w:rFonts w:ascii="Times New Roman" w:cs="Times New Roman" w:eastAsia="Times New Roman" w:hAnsi="Times New Roman"/>
            <w:sz w:val="18"/>
            <w:szCs w:val="18"/>
            <w:u w:val="single" w:color="auto"/>
            <w:color w:val="0000FF"/>
          </w:rPr>
          <w:t>Part I, Item 1A of the Registrants’ combined 2024 Form 10-K</w:t>
        </w:r>
      </w:hyperlink>
      <w:r>
        <w:rPr>
          <w:rFonts w:ascii="Times New Roman" w:cs="Times New Roman" w:eastAsia="Times New Roman" w:hAnsi="Times New Roman"/>
          <w:sz w:val="18"/>
          <w:szCs w:val="18"/>
          <w:color w:val="auto"/>
        </w:rPr>
        <w:t>, which are incorporated herein by reference, in Part II, Item 1A of this combined Form 10-Q, and in other reports that the Registrants file from time to time with the SEC.</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Certain Contractual Limits on Our Ability to Issue Securities and Borrow Money</w:t>
      </w:r>
    </w:p>
    <w:p>
      <w:pPr>
        <w:spacing w:after="0" w:line="248"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9 to the Interim Condensed Financial Statements.</w:t>
      </w: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4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Our critical accounting policies that we deemed the most material in nature were reported in our combined 2024 Form 10-K. There has been no material changes with regard to these critical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201" w:lineRule="exact"/>
        <w:rPr>
          <w:sz w:val="20"/>
          <w:szCs w:val="20"/>
          <w:color w:val="auto"/>
        </w:rPr>
      </w:pPr>
    </w:p>
    <w:p>
      <w:pPr>
        <w:jc w:val="both"/>
        <w:ind w:firstLine="159"/>
        <w:spacing w:after="0" w:line="274" w:lineRule="auto"/>
        <w:rPr>
          <w:sz w:val="20"/>
          <w:szCs w:val="20"/>
          <w:color w:val="auto"/>
        </w:rPr>
      </w:pPr>
      <w:r>
        <w:rPr>
          <w:rFonts w:ascii="Times New Roman" w:cs="Times New Roman" w:eastAsia="Times New Roman" w:hAnsi="Times New Roman"/>
          <w:sz w:val="18"/>
          <w:szCs w:val="18"/>
          <w:color w:val="auto"/>
        </w:rPr>
        <w:t>Information regarding the Registrants’ quantitative and qualitative disclosures about market risk are disclosed in Part II, Item 7A of our combined 2024 Form 10-K. Except as described below, there have been no material changes in those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(CenterPoint Energy)</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2025,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CenterPoint Energy’s floating rate obligations aggregated $2.5 billion and $1.5 billion as of June 30, 2025 and December 31, 2024, respectively. If the floating interest rates were to increase by 100 basis points from June 30, 2025 rates, CenterPoint Energy’s combined interest expense would increase by approximately $25 million annually.</w:t>
      </w:r>
    </w:p>
    <w:p>
      <w:pPr>
        <w:spacing w:after="0" w:line="191"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As of June 30, 2025 and December 31, 2024, CenterPoint Energy had outstanding fixed-rate debt (excluding indexed debt securities) aggregating $19.2 billion and $19.7 billion, respectively, in principal amount and having a fair value of $18.3 billion and $18.4 billion, respectively. Because these instruments are fixed-rate, they do not expose CenterPoint Energy to the risk of loss in earnings due to changes in market interest rates. However, the fair value of these instruments would increase by approximately $748 million if interest rates were to decline by 10% from levels on June 30, 2025. In general, such an increase in fair value would impact earnings and cash flows only if CenterPoint Energy were to reacquire all or a portion of these instruments in the open market prior to their maturity.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2025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has been no change in the Registrants’ internal controls over financial reporting that occurred during the three months ended June 30, 2025 that has materially affected, or is reasonably likely to materially affect, the Registrants’ internal controls over financial reporting.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6" w:lineRule="exact"/>
        <w:rPr>
          <w:sz w:val="20"/>
          <w:szCs w:val="20"/>
          <w:color w:val="auto"/>
        </w:rPr>
      </w:pPr>
    </w:p>
    <w:p>
      <w:pPr>
        <w:jc w:val="both"/>
        <w:ind w:firstLine="31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see Note 11(d)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99">
        <w:r>
          <w:rPr>
            <w:rFonts w:ascii="Times New Roman" w:cs="Times New Roman" w:eastAsia="Times New Roman" w:hAnsi="Times New Roman"/>
            <w:sz w:val="18"/>
            <w:szCs w:val="18"/>
            <w:u w:val="single" w:color="auto"/>
            <w:color w:val="0000FF"/>
          </w:rPr>
          <w:t>Business — Regulation” and “— Environmental Matters</w:t>
        </w:r>
      </w:hyperlink>
      <w:r>
        <w:rPr>
          <w:rFonts w:ascii="Times New Roman" w:cs="Times New Roman" w:eastAsia="Times New Roman" w:hAnsi="Times New Roman"/>
          <w:sz w:val="18"/>
          <w:szCs w:val="18"/>
          <w:color w:val="auto"/>
        </w:rPr>
        <w:t>” in Part I, Item 1 and “</w:t>
      </w:r>
      <w:hyperlink r:id="rId99">
        <w:r>
          <w:rPr>
            <w:rFonts w:ascii="Times New Roman" w:cs="Times New Roman" w:eastAsia="Times New Roman" w:hAnsi="Times New Roman"/>
            <w:sz w:val="18"/>
            <w:szCs w:val="18"/>
            <w:u w:val="single" w:color="auto"/>
            <w:color w:val="0000FF"/>
          </w:rPr>
          <w:t>Legal Proceedings</w:t>
        </w:r>
      </w:hyperlink>
      <w:r>
        <w:rPr>
          <w:rFonts w:ascii="Times New Roman" w:cs="Times New Roman" w:eastAsia="Times New Roman" w:hAnsi="Times New Roman"/>
          <w:sz w:val="18"/>
          <w:szCs w:val="18"/>
          <w:color w:val="auto"/>
        </w:rPr>
        <w:t>” in Part I, Item 3 of the Registrants’ combined 2024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the Registrants’ combined 2024 Form 10-K.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4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CenterPoint Energy, Houston Electric or CERC adopted or terminated a “Rule 10b5-1 trading arrangement” or “non-Rule 10b5-1 trading arrangement,” as each term is defined in Item 408 of Regulation 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29"/>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29"/>
            <w:vMerge w:val="continue"/>
          </w:tcPr>
          <w:p>
            <w:pPr>
              <w:spacing w:after="0"/>
              <w:rPr>
                <w:sz w:val="16"/>
                <w:szCs w:val="16"/>
                <w:color w:val="auto"/>
              </w:rPr>
            </w:pP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7"/>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30"/>
          </w:tcPr>
          <w:p>
            <w:pPr>
              <w:spacing w:after="0" w:line="133" w:lineRule="exact"/>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Asset Purchase Agreement, dated February 19,</w:t>
              </w:r>
            </w:hyperlink>
          </w:p>
        </w:tc>
        <w:tc>
          <w:tcPr>
            <w:tcW w:w="80" w:type="dxa"/>
            <w:vAlign w:val="bottom"/>
          </w:tcPr>
          <w:p>
            <w:pPr>
              <w:spacing w:after="0"/>
              <w:rPr>
                <w:sz w:val="12"/>
                <w:szCs w:val="12"/>
                <w:color w:val="auto"/>
              </w:rPr>
            </w:pPr>
          </w:p>
        </w:tc>
        <w:tc>
          <w:tcPr>
            <w:tcW w:w="162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CenterPoint Energy’s Form</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25"/>
          </w:tcPr>
          <w:p>
            <w:pPr>
              <w:spacing w:after="0" w:line="119"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2024, among CenterPoint Energy Resources</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February 19,</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bottom w:val="single" w:sz="8" w:color="0000FF"/>
            </w:tcBorders>
            <w:gridSpan w:val="20"/>
          </w:tcPr>
          <w:p>
            <w:pPr>
              <w:spacing w:after="0" w:line="126" w:lineRule="exact"/>
              <w:rPr>
                <w:rFonts w:ascii="Times New Roman" w:cs="Times New Roman" w:eastAsia="Times New Roman" w:hAnsi="Times New Roman"/>
                <w:sz w:val="14"/>
                <w:szCs w:val="14"/>
                <w:color w:val="0000FF"/>
                <w:w w:val="97"/>
              </w:rPr>
            </w:pPr>
            <w:hyperlink r:id="rId102">
              <w:r>
                <w:rPr>
                  <w:rFonts w:ascii="Times New Roman" w:cs="Times New Roman" w:eastAsia="Times New Roman" w:hAnsi="Times New Roman"/>
                  <w:sz w:val="14"/>
                  <w:szCs w:val="14"/>
                  <w:color w:val="0000FF"/>
                  <w:w w:val="97"/>
                </w:rPr>
                <w:t>Corp. and Delta Utilities No. LA, LLC, Delta</w:t>
              </w:r>
            </w:hyperlink>
          </w:p>
        </w:tc>
        <w:tc>
          <w:tcPr>
            <w:tcW w:w="6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bottom w:val="single" w:sz="8" w:color="0000FF"/>
            </w:tcBorders>
            <w:gridSpan w:val="22"/>
          </w:tcPr>
          <w:p>
            <w:pPr>
              <w:spacing w:after="0" w:line="126" w:lineRule="exact"/>
              <w:rPr>
                <w:rFonts w:ascii="Times New Roman" w:cs="Times New Roman" w:eastAsia="Times New Roman" w:hAnsi="Times New Roman"/>
                <w:sz w:val="14"/>
                <w:szCs w:val="14"/>
                <w:color w:val="0000FF"/>
                <w:w w:val="97"/>
              </w:rPr>
            </w:pPr>
            <w:hyperlink r:id="rId102">
              <w:r>
                <w:rPr>
                  <w:rFonts w:ascii="Times New Roman" w:cs="Times New Roman" w:eastAsia="Times New Roman" w:hAnsi="Times New Roman"/>
                  <w:sz w:val="14"/>
                  <w:szCs w:val="14"/>
                  <w:color w:val="0000FF"/>
                  <w:w w:val="97"/>
                </w:rPr>
                <w:t>Utilities S. LA, LLC, Delta Utilities MS, LLC,</w:t>
              </w:r>
            </w:hyperlink>
          </w:p>
        </w:tc>
        <w:tc>
          <w:tcPr>
            <w:tcW w:w="4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gridSpan w:val="24"/>
          </w:tcPr>
          <w:p>
            <w:pPr>
              <w:spacing w:after="0" w:line="113"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and Delta Shared Services Co., LLC</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Restated Articles of Incorporation of</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19"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CenterPoint Energy</w:t>
              </w:r>
            </w:hyperlink>
          </w:p>
        </w:tc>
        <w:tc>
          <w:tcPr>
            <w:tcW w:w="96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July 24, 2008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Restated Certificate of Formation of Houston</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Houston Electric’s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1-3187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tcBorders>
            <w:gridSpan w:val="21"/>
          </w:tcPr>
          <w:p>
            <w:pPr>
              <w:spacing w:after="0" w:line="119" w:lineRule="exact"/>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Electric</w:t>
              </w:r>
            </w:hyperlink>
          </w:p>
        </w:tc>
        <w:tc>
          <w:tcPr>
            <w:tcW w:w="6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2011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1"/>
          </w:tcPr>
          <w:p>
            <w:pPr>
              <w:spacing w:after="0" w:line="147"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Certificate of Incorporation of RERC Corp.</w:t>
              </w:r>
            </w:hyperlink>
          </w:p>
        </w:tc>
        <w:tc>
          <w:tcPr>
            <w:tcW w:w="17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CERC Form 10-K for the</w:t>
            </w: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1-13265</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97"/>
              </w:rPr>
              <w:t>3(a)(1)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year ended December 31,</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line="157" w:lineRule="exact"/>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Certificate of Amendment changing the name to</w:t>
              </w:r>
            </w:hyperlink>
          </w:p>
        </w:tc>
        <w:tc>
          <w:tcPr>
            <w:tcW w:w="17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CERC Form 10-K for the</w:t>
            </w: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98"/>
              </w:rPr>
              <w:t>1-13265</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7"/>
              </w:rPr>
              <w:t>3(a)(3)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28"/>
          </w:tcPr>
          <w:p>
            <w:pPr>
              <w:spacing w:after="0" w:line="119" w:lineRule="exact"/>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Reliant Energy Resources Corp.</w:t>
              </w:r>
            </w:hyperlink>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year ended December 31,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1"/>
          </w:tcPr>
          <w:p>
            <w:pPr>
              <w:spacing w:after="0" w:line="147" w:lineRule="exact"/>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Certificate of Amendment changing the name to</w:t>
              </w:r>
            </w:hyperlink>
          </w:p>
        </w:tc>
        <w:tc>
          <w:tcPr>
            <w:tcW w:w="17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CERC Form 10-Q for the</w:t>
            </w: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1-13265</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97"/>
              </w:rPr>
              <w:t>3(a)(4)</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28"/>
          </w:tcPr>
          <w:p>
            <w:pPr>
              <w:spacing w:after="0" w:line="119"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CenterPoint Energy Resources Corp.</w:t>
              </w:r>
            </w:hyperlink>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quarter ended June 30,</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1"/>
          </w:tcPr>
          <w:p>
            <w:pPr>
              <w:spacing w:after="0" w:line="147"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Fourth Amended and Restated Bylaws of</w:t>
              </w:r>
            </w:hyperlink>
          </w:p>
        </w:tc>
        <w:tc>
          <w:tcPr>
            <w:tcW w:w="17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3"/>
                <w:szCs w:val="13"/>
                <w:color w:val="auto"/>
              </w:rPr>
            </w:pPr>
          </w:p>
        </w:tc>
        <w:tc>
          <w:tcPr>
            <w:tcW w:w="10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3(h)</w:t>
            </w: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14"/>
          </w:tcPr>
          <w:p>
            <w:pPr>
              <w:spacing w:after="0" w:line="119"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CenterPoint Energy</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10-K for the year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1"/>
          </w:tcPr>
          <w:p>
            <w:pPr>
              <w:spacing w:after="0" w:line="147"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Amended and Restated Limited Liability</w:t>
              </w:r>
            </w:hyperlink>
          </w:p>
        </w:tc>
        <w:tc>
          <w:tcPr>
            <w:tcW w:w="17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Houston Electric’s Form</w:t>
            </w: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1-3187</w:t>
            </w:r>
          </w:p>
        </w:tc>
        <w:tc>
          <w:tcPr>
            <w:tcW w:w="100" w:type="dxa"/>
            <w:vAlign w:val="bottom"/>
          </w:tcPr>
          <w:p>
            <w:pPr>
              <w:spacing w:after="0"/>
              <w:rPr>
                <w:sz w:val="13"/>
                <w:szCs w:val="13"/>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3"/>
          </w:tcPr>
          <w:p>
            <w:pPr>
              <w:spacing w:after="0" w:line="119"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Company Agreement of Houston Electric</w:t>
              </w:r>
            </w:hyperlink>
          </w:p>
        </w:tc>
        <w:tc>
          <w:tcPr>
            <w:tcW w:w="40" w:type="dxa"/>
            <w:vAlign w:val="bottom"/>
            <w:tcBorders>
              <w:bottom w:val="single" w:sz="8" w:color="0000FF"/>
            </w:tcBorders>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2011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1"/>
          </w:tcPr>
          <w:p>
            <w:pPr>
              <w:spacing w:after="0" w:line="147" w:lineRule="exact"/>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Bylaws of RERC Corp.</w:t>
              </w:r>
            </w:hyperlink>
          </w:p>
        </w:tc>
        <w:tc>
          <w:tcPr>
            <w:tcW w:w="17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CERC Form 10-K for the</w:t>
            </w:r>
          </w:p>
        </w:tc>
        <w:tc>
          <w:tcPr>
            <w:tcW w:w="11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8"/>
              </w:rPr>
              <w:t>1-13265</w:t>
            </w:r>
          </w:p>
        </w:tc>
        <w:tc>
          <w:tcPr>
            <w:tcW w:w="100" w:type="dxa"/>
            <w:vAlign w:val="bottom"/>
          </w:tcPr>
          <w:p>
            <w:pPr>
              <w:spacing w:after="0"/>
              <w:rPr>
                <w:sz w:val="13"/>
                <w:szCs w:val="13"/>
                <w:color w:val="auto"/>
              </w:rPr>
            </w:pPr>
          </w:p>
        </w:tc>
        <w:tc>
          <w:tcPr>
            <w:tcW w:w="10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3(b)</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year ended December 31,</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line="157"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Statement of Resolutions Deleting Shares</w:t>
              </w:r>
            </w:hyperlink>
          </w:p>
        </w:tc>
        <w:tc>
          <w:tcPr>
            <w:tcW w:w="17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7"/>
              </w:rPr>
              <w:t>3(c)</w:t>
            </w:r>
          </w:p>
        </w:tc>
        <w:tc>
          <w:tcPr>
            <w:tcW w:w="120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tcBorders>
            <w:gridSpan w:val="15"/>
          </w:tcPr>
          <w:p>
            <w:pPr>
              <w:spacing w:after="0" w:line="119"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Designated Series A Preferred Stock of</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10-K for the year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6" w:lineRule="exact"/>
              <w:rPr>
                <w:rFonts w:ascii="Times New Roman" w:cs="Times New Roman" w:eastAsia="Times New Roman" w:hAnsi="Times New Roman"/>
                <w:sz w:val="14"/>
                <w:szCs w:val="14"/>
                <w:color w:val="0000FF"/>
                <w:w w:val="99"/>
              </w:rPr>
            </w:pPr>
            <w:hyperlink r:id="rId110">
              <w:r>
                <w:rPr>
                  <w:rFonts w:ascii="Times New Roman" w:cs="Times New Roman" w:eastAsia="Times New Roman" w:hAnsi="Times New Roman"/>
                  <w:sz w:val="14"/>
                  <w:szCs w:val="14"/>
                  <w:color w:val="0000FF"/>
                  <w:w w:val="99"/>
                </w:rPr>
                <w:t>CenterPoint Energy</w:t>
              </w:r>
            </w:hyperlink>
          </w:p>
        </w:tc>
        <w:tc>
          <w:tcPr>
            <w:tcW w:w="1100" w:type="dxa"/>
            <w:vAlign w:val="bottom"/>
            <w:tcBorders>
              <w:top w:val="single" w:sz="8" w:color="0000FF"/>
            </w:tcBorders>
            <w:gridSpan w:val="8"/>
          </w:tcPr>
          <w:p>
            <w:pPr>
              <w:spacing w:after="0"/>
              <w:rPr>
                <w:sz w:val="10"/>
                <w:szCs w:val="10"/>
                <w:color w:val="auto"/>
              </w:rPr>
            </w:pPr>
          </w:p>
        </w:tc>
        <w:tc>
          <w:tcPr>
            <w:tcW w:w="2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7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December 31, 2011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Confirmation of Forward Sale Transaction,</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7"/>
          </w:tcPr>
          <w:p>
            <w:pPr>
              <w:spacing w:after="0" w:line="119"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dated May 27, 2025, between the Company</w:t>
              </w:r>
            </w:hyperlink>
          </w:p>
        </w:tc>
        <w:tc>
          <w:tcPr>
            <w:tcW w:w="20" w:type="dxa"/>
            <w:vAlign w:val="bottom"/>
          </w:tcPr>
          <w:p>
            <w:pPr>
              <w:spacing w:after="0"/>
              <w:rPr>
                <w:sz w:val="10"/>
                <w:szCs w:val="10"/>
                <w:color w:val="auto"/>
              </w:rPr>
            </w:pPr>
          </w:p>
        </w:tc>
        <w:tc>
          <w:tcPr>
            <w:tcW w:w="400" w:type="dxa"/>
            <w:vAlign w:val="bottom"/>
            <w:gridSpan w:val="13"/>
          </w:tcPr>
          <w:p>
            <w:pPr>
              <w:ind w:left="40"/>
              <w:spacing w:after="0" w:line="119" w:lineRule="exact"/>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and</w:t>
              </w:r>
            </w:hyperlink>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May 28,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7"/>
          </w:tcPr>
          <w:p>
            <w:pPr>
              <w:spacing w:after="0" w:line="126"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Bank of America, N.A., in its capacity as a</w:t>
              </w:r>
            </w:hyperlink>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3"/>
          </w:tcPr>
          <w:p>
            <w:pPr>
              <w:spacing w:after="0" w:line="126" w:lineRule="exact"/>
              <w:rPr>
                <w:rFonts w:ascii="Times New Roman" w:cs="Times New Roman" w:eastAsia="Times New Roman" w:hAnsi="Times New Roman"/>
                <w:sz w:val="14"/>
                <w:szCs w:val="14"/>
                <w:color w:val="0000FF"/>
                <w:w w:val="99"/>
              </w:rPr>
            </w:pPr>
            <w:hyperlink r:id="rId111">
              <w:r>
                <w:rPr>
                  <w:rFonts w:ascii="Times New Roman" w:cs="Times New Roman" w:eastAsia="Times New Roman" w:hAnsi="Times New Roman"/>
                  <w:sz w:val="14"/>
                  <w:szCs w:val="14"/>
                  <w:color w:val="0000FF"/>
                  <w:w w:val="99"/>
                </w:rPr>
                <w:t>forward purchaser</w:t>
              </w:r>
            </w:hyperlink>
          </w:p>
        </w:tc>
        <w:tc>
          <w:tcPr>
            <w:tcW w:w="138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16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Confirmation of Forward Sale Transaction,</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7"/>
          </w:tcPr>
          <w:p>
            <w:pPr>
              <w:spacing w:after="0" w:line="119"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dated May 27, 2025, between the Company</w:t>
              </w:r>
            </w:hyperlink>
          </w:p>
        </w:tc>
        <w:tc>
          <w:tcPr>
            <w:tcW w:w="20" w:type="dxa"/>
            <w:vAlign w:val="bottom"/>
          </w:tcPr>
          <w:p>
            <w:pPr>
              <w:spacing w:after="0"/>
              <w:rPr>
                <w:sz w:val="10"/>
                <w:szCs w:val="10"/>
                <w:color w:val="auto"/>
              </w:rPr>
            </w:pPr>
          </w:p>
        </w:tc>
        <w:tc>
          <w:tcPr>
            <w:tcW w:w="400" w:type="dxa"/>
            <w:vAlign w:val="bottom"/>
            <w:gridSpan w:val="13"/>
          </w:tcPr>
          <w:p>
            <w:pPr>
              <w:ind w:left="40"/>
              <w:spacing w:after="0" w:line="119"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and</w:t>
              </w:r>
            </w:hyperlink>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May 28,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7"/>
          </w:tcPr>
          <w:p>
            <w:pPr>
              <w:spacing w:after="0" w:line="126"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Mizuho Markets Americas LLC (with Mizuho</w:t>
              </w:r>
            </w:hyperlink>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3"/>
          </w:tcPr>
          <w:p>
            <w:pPr>
              <w:spacing w:after="0" w:line="126"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Securities USA LLC acting as agent), in its</w:t>
              </w:r>
            </w:hyperlink>
          </w:p>
        </w:tc>
        <w:tc>
          <w:tcPr>
            <w:tcW w:w="8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Borders>
              <w:top w:val="single" w:sz="8" w:color="0000FF"/>
              <w:bottom w:val="single" w:sz="8" w:color="0000FF"/>
            </w:tcBorders>
            <w:gridSpan w:val="6"/>
          </w:tcPr>
          <w:p>
            <w:pPr>
              <w:spacing w:after="0" w:line="113" w:lineRule="exact"/>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capacity as a forward purchaser</w:t>
              </w:r>
            </w:hyperlink>
          </w:p>
        </w:tc>
        <w:tc>
          <w:tcPr>
            <w:tcW w:w="660" w:type="dxa"/>
            <w:vAlign w:val="bottom"/>
            <w:tcBorders>
              <w:top w:val="single" w:sz="8" w:color="0000FF"/>
            </w:tcBorders>
            <w:gridSpan w:val="12"/>
          </w:tcPr>
          <w:p>
            <w:pPr>
              <w:spacing w:after="0"/>
              <w:rPr>
                <w:sz w:val="9"/>
                <w:szCs w:val="9"/>
                <w:color w:val="auto"/>
              </w:rPr>
            </w:pPr>
          </w:p>
        </w:tc>
        <w:tc>
          <w:tcPr>
            <w:tcW w:w="240" w:type="dxa"/>
            <w:vAlign w:val="bottom"/>
            <w:gridSpan w:val="8"/>
          </w:tcPr>
          <w:p>
            <w:pPr>
              <w:spacing w:after="0"/>
              <w:rPr>
                <w:sz w:val="9"/>
                <w:szCs w:val="9"/>
                <w:color w:val="auto"/>
              </w:rPr>
            </w:pPr>
          </w:p>
        </w:tc>
        <w:tc>
          <w:tcPr>
            <w:tcW w:w="60" w:type="dxa"/>
            <w:vAlign w:val="bottom"/>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Confirmation of Forward Sale Transaction,</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17"/>
          </w:tcPr>
          <w:p>
            <w:pPr>
              <w:spacing w:after="0" w:line="119"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dated May 27, 2025, between the Company</w:t>
              </w:r>
            </w:hyperlink>
          </w:p>
        </w:tc>
        <w:tc>
          <w:tcPr>
            <w:tcW w:w="280" w:type="dxa"/>
            <w:vAlign w:val="bottom"/>
            <w:tcBorders>
              <w:bottom w:val="single" w:sz="8" w:color="0000FF"/>
            </w:tcBorders>
            <w:gridSpan w:val="10"/>
          </w:tcPr>
          <w:p>
            <w:pPr>
              <w:ind w:left="60"/>
              <w:spacing w:after="0" w:line="119"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and</w:t>
              </w:r>
            </w:hyperlink>
          </w:p>
        </w:tc>
        <w:tc>
          <w:tcPr>
            <w:tcW w:w="140" w:type="dxa"/>
            <w:vAlign w:val="bottom"/>
            <w:gridSpan w:val="4"/>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May 28,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1"/>
          </w:tcPr>
          <w:p>
            <w:pPr>
              <w:spacing w:after="0" w:line="126"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JPMorgan Chase Bank, National Association, in</w:t>
              </w:r>
            </w:hyperlink>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tcBorders>
              <w:top w:val="single" w:sz="8" w:color="0000FF"/>
              <w:bottom w:val="single" w:sz="8" w:color="0000FF"/>
            </w:tcBorders>
            <w:gridSpan w:val="8"/>
          </w:tcPr>
          <w:p>
            <w:pPr>
              <w:spacing w:after="0" w:line="126" w:lineRule="exact"/>
              <w:rPr>
                <w:rFonts w:ascii="Times New Roman" w:cs="Times New Roman" w:eastAsia="Times New Roman" w:hAnsi="Times New Roman"/>
                <w:sz w:val="14"/>
                <w:szCs w:val="14"/>
                <w:color w:val="0000FF"/>
                <w:w w:val="99"/>
              </w:rPr>
            </w:pPr>
            <w:hyperlink r:id="rId113">
              <w:r>
                <w:rPr>
                  <w:rFonts w:ascii="Times New Roman" w:cs="Times New Roman" w:eastAsia="Times New Roman" w:hAnsi="Times New Roman"/>
                  <w:sz w:val="14"/>
                  <w:szCs w:val="14"/>
                  <w:color w:val="0000FF"/>
                  <w:w w:val="99"/>
                </w:rPr>
                <w:t>its capacity as a forward purchaser</w:t>
              </w:r>
            </w:hyperlink>
          </w:p>
        </w:tc>
        <w:tc>
          <w:tcPr>
            <w:tcW w:w="800" w:type="dxa"/>
            <w:vAlign w:val="bottom"/>
            <w:tcBorders>
              <w:top w:val="single" w:sz="8" w:color="0000FF"/>
            </w:tcBorders>
            <w:gridSpan w:val="21"/>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Confirmation of Forward Sale Transaction,</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7"/>
          </w:tcPr>
          <w:p>
            <w:pPr>
              <w:spacing w:after="0" w:line="119"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dated May 28, 2025, between the Company</w:t>
              </w:r>
            </w:hyperlink>
          </w:p>
        </w:tc>
        <w:tc>
          <w:tcPr>
            <w:tcW w:w="420" w:type="dxa"/>
            <w:vAlign w:val="bottom"/>
            <w:gridSpan w:val="14"/>
          </w:tcPr>
          <w:p>
            <w:pPr>
              <w:ind w:left="60"/>
              <w:spacing w:after="0" w:line="119"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and</w:t>
              </w:r>
            </w:hyperlink>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May 29,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7"/>
          </w:tcPr>
          <w:p>
            <w:pPr>
              <w:spacing w:after="0" w:line="126"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Bank of America, N.A., in its capacity as a</w:t>
              </w:r>
            </w:hyperlink>
          </w:p>
        </w:tc>
        <w:tc>
          <w:tcPr>
            <w:tcW w:w="140" w:type="dxa"/>
            <w:vAlign w:val="bottom"/>
            <w:gridSpan w:val="4"/>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3"/>
          </w:tcPr>
          <w:p>
            <w:pPr>
              <w:spacing w:after="0" w:line="126" w:lineRule="exact"/>
              <w:rPr>
                <w:rFonts w:ascii="Times New Roman" w:cs="Times New Roman" w:eastAsia="Times New Roman" w:hAnsi="Times New Roman"/>
                <w:sz w:val="14"/>
                <w:szCs w:val="14"/>
                <w:color w:val="0000FF"/>
                <w:w w:val="99"/>
              </w:rPr>
            </w:pPr>
            <w:hyperlink r:id="rId114">
              <w:r>
                <w:rPr>
                  <w:rFonts w:ascii="Times New Roman" w:cs="Times New Roman" w:eastAsia="Times New Roman" w:hAnsi="Times New Roman"/>
                  <w:sz w:val="14"/>
                  <w:szCs w:val="14"/>
                  <w:color w:val="0000FF"/>
                  <w:w w:val="99"/>
                </w:rPr>
                <w:t>forward purchaser</w:t>
              </w:r>
            </w:hyperlink>
          </w:p>
        </w:tc>
        <w:tc>
          <w:tcPr>
            <w:tcW w:w="1380" w:type="dxa"/>
            <w:vAlign w:val="bottom"/>
            <w:tcBorders>
              <w:top w:val="single" w:sz="8" w:color="0000FF"/>
            </w:tcBorders>
            <w:gridSpan w:val="13"/>
          </w:tcPr>
          <w:p>
            <w:pPr>
              <w:spacing w:after="0"/>
              <w:rPr>
                <w:sz w:val="10"/>
                <w:szCs w:val="10"/>
                <w:color w:val="auto"/>
              </w:rPr>
            </w:pPr>
          </w:p>
        </w:tc>
        <w:tc>
          <w:tcPr>
            <w:tcW w:w="280" w:type="dxa"/>
            <w:vAlign w:val="bottom"/>
            <w:gridSpan w:val="10"/>
          </w:tcPr>
          <w:p>
            <w:pPr>
              <w:spacing w:after="0"/>
              <w:rPr>
                <w:sz w:val="10"/>
                <w:szCs w:val="10"/>
                <w:color w:val="auto"/>
              </w:rPr>
            </w:pPr>
          </w:p>
        </w:tc>
        <w:tc>
          <w:tcPr>
            <w:tcW w:w="160" w:type="dxa"/>
            <w:vAlign w:val="bottom"/>
            <w:gridSpan w:val="5"/>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Confirmation of Forward Sale Transaction,</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7"/>
          </w:tcPr>
          <w:p>
            <w:pPr>
              <w:spacing w:after="0" w:line="119"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dated May 28, 2025, between the Company</w:t>
              </w:r>
            </w:hyperlink>
          </w:p>
        </w:tc>
        <w:tc>
          <w:tcPr>
            <w:tcW w:w="420" w:type="dxa"/>
            <w:vAlign w:val="bottom"/>
            <w:gridSpan w:val="14"/>
          </w:tcPr>
          <w:p>
            <w:pPr>
              <w:ind w:left="60"/>
              <w:spacing w:after="0" w:line="119"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and</w:t>
              </w:r>
            </w:hyperlink>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May 29,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7"/>
          </w:tcPr>
          <w:p>
            <w:pPr>
              <w:spacing w:after="0" w:line="126"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Mizuho Markets Americas LLC (with Mizuho</w:t>
              </w:r>
            </w:hyperlink>
          </w:p>
        </w:tc>
        <w:tc>
          <w:tcPr>
            <w:tcW w:w="140" w:type="dxa"/>
            <w:vAlign w:val="bottom"/>
            <w:gridSpan w:val="4"/>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3"/>
          </w:tcPr>
          <w:p>
            <w:pPr>
              <w:spacing w:after="0" w:line="126"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Securities USA LLC acting as agent), in its</w:t>
              </w:r>
            </w:hyperlink>
          </w:p>
        </w:tc>
        <w:tc>
          <w:tcPr>
            <w:tcW w:w="80" w:type="dxa"/>
            <w:vAlign w:val="bottom"/>
            <w:gridSpan w:val="3"/>
          </w:tcPr>
          <w:p>
            <w:pPr>
              <w:spacing w:after="0"/>
              <w:rPr>
                <w:sz w:val="10"/>
                <w:szCs w:val="10"/>
                <w:color w:val="auto"/>
              </w:rPr>
            </w:pPr>
          </w:p>
        </w:tc>
        <w:tc>
          <w:tcPr>
            <w:tcW w:w="160" w:type="dxa"/>
            <w:vAlign w:val="bottom"/>
            <w:gridSpan w:val="5"/>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Borders>
              <w:top w:val="single" w:sz="8" w:color="0000FF"/>
              <w:bottom w:val="single" w:sz="8" w:color="0000FF"/>
            </w:tcBorders>
            <w:gridSpan w:val="6"/>
          </w:tcPr>
          <w:p>
            <w:pPr>
              <w:spacing w:after="0" w:line="113"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capacity as a forward purchaser</w:t>
              </w:r>
            </w:hyperlink>
          </w:p>
        </w:tc>
        <w:tc>
          <w:tcPr>
            <w:tcW w:w="660" w:type="dxa"/>
            <w:vAlign w:val="bottom"/>
            <w:tcBorders>
              <w:top w:val="single" w:sz="8" w:color="0000FF"/>
            </w:tcBorders>
            <w:gridSpan w:val="12"/>
          </w:tcPr>
          <w:p>
            <w:pPr>
              <w:spacing w:after="0"/>
              <w:rPr>
                <w:sz w:val="9"/>
                <w:szCs w:val="9"/>
                <w:color w:val="auto"/>
              </w:rPr>
            </w:pPr>
          </w:p>
        </w:tc>
        <w:tc>
          <w:tcPr>
            <w:tcW w:w="240" w:type="dxa"/>
            <w:vAlign w:val="bottom"/>
            <w:gridSpan w:val="8"/>
          </w:tcPr>
          <w:p>
            <w:pPr>
              <w:spacing w:after="0"/>
              <w:rPr>
                <w:sz w:val="9"/>
                <w:szCs w:val="9"/>
                <w:color w:val="auto"/>
              </w:rPr>
            </w:pPr>
          </w:p>
        </w:tc>
        <w:tc>
          <w:tcPr>
            <w:tcW w:w="160" w:type="dxa"/>
            <w:vAlign w:val="bottom"/>
            <w:gridSpan w:val="5"/>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1"/>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Confirmation of Forward Sale Transaction,</w:t>
              </w:r>
            </w:hyperlink>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1-31447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17"/>
          </w:tcPr>
          <w:p>
            <w:pPr>
              <w:spacing w:after="0" w:line="119"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dated May 28, 2025, between the Company</w:t>
              </w:r>
            </w:hyperlink>
          </w:p>
        </w:tc>
        <w:tc>
          <w:tcPr>
            <w:tcW w:w="280" w:type="dxa"/>
            <w:vAlign w:val="bottom"/>
            <w:tcBorders>
              <w:bottom w:val="single" w:sz="8" w:color="0000FF"/>
            </w:tcBorders>
            <w:gridSpan w:val="10"/>
          </w:tcPr>
          <w:p>
            <w:pPr>
              <w:ind w:left="60"/>
              <w:spacing w:after="0" w:line="119"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and</w:t>
              </w:r>
            </w:hyperlink>
          </w:p>
        </w:tc>
        <w:tc>
          <w:tcPr>
            <w:tcW w:w="140" w:type="dxa"/>
            <w:vAlign w:val="bottom"/>
            <w:gridSpan w:val="4"/>
          </w:tcPr>
          <w:p>
            <w:pPr>
              <w:spacing w:after="0"/>
              <w:rPr>
                <w:sz w:val="10"/>
                <w:szCs w:val="10"/>
                <w:color w:val="auto"/>
              </w:rPr>
            </w:pPr>
          </w:p>
        </w:tc>
        <w:tc>
          <w:tcPr>
            <w:tcW w:w="17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8-K dated May 29,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1"/>
          </w:tcPr>
          <w:p>
            <w:pPr>
              <w:spacing w:after="0" w:line="126"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JPMorgan Chase Bank, National Association, in</w:t>
              </w:r>
            </w:hyperlink>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tcBorders>
              <w:top w:val="single" w:sz="8" w:color="0000FF"/>
              <w:bottom w:val="single" w:sz="8" w:color="0000FF"/>
            </w:tcBorders>
            <w:gridSpan w:val="8"/>
          </w:tcPr>
          <w:p>
            <w:pPr>
              <w:spacing w:after="0" w:line="126" w:lineRule="exact"/>
              <w:rPr>
                <w:rFonts w:ascii="Times New Roman" w:cs="Times New Roman" w:eastAsia="Times New Roman" w:hAnsi="Times New Roman"/>
                <w:sz w:val="14"/>
                <w:szCs w:val="14"/>
                <w:color w:val="0000FF"/>
                <w:w w:val="99"/>
              </w:rPr>
            </w:pPr>
            <w:hyperlink r:id="rId116">
              <w:r>
                <w:rPr>
                  <w:rFonts w:ascii="Times New Roman" w:cs="Times New Roman" w:eastAsia="Times New Roman" w:hAnsi="Times New Roman"/>
                  <w:sz w:val="14"/>
                  <w:szCs w:val="14"/>
                  <w:color w:val="0000FF"/>
                  <w:w w:val="99"/>
                </w:rPr>
                <w:t>its capacity as a forward purchaser</w:t>
              </w:r>
            </w:hyperlink>
          </w:p>
        </w:tc>
        <w:tc>
          <w:tcPr>
            <w:tcW w:w="800" w:type="dxa"/>
            <w:vAlign w:val="bottom"/>
            <w:tcBorders>
              <w:top w:val="single" w:sz="8" w:color="0000FF"/>
            </w:tcBorders>
            <w:gridSpan w:val="21"/>
          </w:tcPr>
          <w:p>
            <w:pPr>
              <w:spacing w:after="0"/>
              <w:rPr>
                <w:sz w:val="10"/>
                <w:szCs w:val="10"/>
                <w:color w:val="auto"/>
              </w:rPr>
            </w:pPr>
          </w:p>
        </w:tc>
        <w:tc>
          <w:tcPr>
            <w:tcW w:w="10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†31.1.1</w:t>
            </w:r>
          </w:p>
        </w:tc>
        <w:tc>
          <w:tcPr>
            <w:tcW w:w="20" w:type="dxa"/>
            <w:vAlign w:val="bottom"/>
          </w:tcPr>
          <w:p>
            <w:pPr>
              <w:spacing w:after="0"/>
              <w:rPr>
                <w:sz w:val="15"/>
                <w:szCs w:val="15"/>
                <w:color w:val="auto"/>
              </w:rPr>
            </w:pPr>
          </w:p>
        </w:tc>
        <w:tc>
          <w:tcPr>
            <w:tcW w:w="286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Rule 13a-14(a)/15d-14(a) Certification of Jason</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2"/>
          </w:tcPr>
          <w:p>
            <w:pPr>
              <w:spacing w:after="0" w:line="113" w:lineRule="exact"/>
              <w:rPr>
                <w:sz w:val="20"/>
                <w:szCs w:val="20"/>
                <w:color w:val="auto"/>
              </w:rPr>
            </w:pPr>
            <w:r>
              <w:rPr>
                <w:rFonts w:ascii="Times New Roman" w:cs="Times New Roman" w:eastAsia="Times New Roman" w:hAnsi="Times New Roman"/>
                <w:sz w:val="13"/>
                <w:szCs w:val="13"/>
                <w:color w:val="0000FF"/>
                <w:w w:val="99"/>
              </w:rPr>
              <w:t>P. Wells</w:t>
            </w:r>
          </w:p>
        </w:tc>
        <w:tc>
          <w:tcPr>
            <w:tcW w:w="2240" w:type="dxa"/>
            <w:vAlign w:val="bottom"/>
            <w:tcBorders>
              <w:top w:val="single" w:sz="8" w:color="0000FF"/>
            </w:tcBorders>
            <w:gridSpan w:val="24"/>
          </w:tcPr>
          <w:p>
            <w:pPr>
              <w:spacing w:after="0"/>
              <w:rPr>
                <w:sz w:val="9"/>
                <w:szCs w:val="9"/>
                <w:color w:val="auto"/>
              </w:rPr>
            </w:pPr>
          </w:p>
        </w:tc>
        <w:tc>
          <w:tcPr>
            <w:tcW w:w="160" w:type="dxa"/>
            <w:vAlign w:val="bottom"/>
            <w:gridSpan w:val="5"/>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 or Registration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0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2"/>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9"/>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Statement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8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†31.1.2</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FF"/>
              </w:rPr>
              <w:t>Rule 13a-14(a)/15d-14(a) Certification of Darin</w:t>
            </w:r>
          </w:p>
        </w:tc>
        <w:tc>
          <w:tcPr>
            <w:tcW w:w="12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FF"/>
              <w:bottom w:val="single" w:sz="8" w:color="0000FF"/>
            </w:tcBorders>
            <w:gridSpan w:val="2"/>
          </w:tcPr>
          <w:p>
            <w:pPr>
              <w:spacing w:after="0" w:line="113" w:lineRule="exact"/>
              <w:rPr>
                <w:sz w:val="20"/>
                <w:szCs w:val="20"/>
                <w:color w:val="auto"/>
              </w:rPr>
            </w:pPr>
            <w:r>
              <w:rPr>
                <w:rFonts w:ascii="Times New Roman" w:cs="Times New Roman" w:eastAsia="Times New Roman" w:hAnsi="Times New Roman"/>
                <w:sz w:val="13"/>
                <w:szCs w:val="13"/>
                <w:color w:val="0000FF"/>
              </w:rPr>
              <w:t>M. Carroll</w:t>
            </w:r>
          </w:p>
        </w:tc>
        <w:tc>
          <w:tcPr>
            <w:tcW w:w="2100" w:type="dxa"/>
            <w:vAlign w:val="bottom"/>
            <w:tcBorders>
              <w:top w:val="single" w:sz="8" w:color="0000FF"/>
            </w:tcBorders>
            <w:gridSpan w:val="8"/>
          </w:tcPr>
          <w:p>
            <w:pPr>
              <w:spacing w:after="0"/>
              <w:rPr>
                <w:sz w:val="9"/>
                <w:szCs w:val="9"/>
                <w:color w:val="auto"/>
              </w:rPr>
            </w:pPr>
          </w:p>
        </w:tc>
        <w:tc>
          <w:tcPr>
            <w:tcW w:w="16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†31.1.3</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top w:val="single" w:sz="8" w:color="0000FF"/>
              <w:bottom w:val="single" w:sz="8" w:color="0000FF"/>
            </w:tcBorders>
            <w:gridSpan w:val="3"/>
          </w:tcPr>
          <w:p>
            <w:pPr>
              <w:spacing w:after="0" w:line="113" w:lineRule="exact"/>
              <w:rPr>
                <w:sz w:val="20"/>
                <w:szCs w:val="20"/>
                <w:color w:val="auto"/>
              </w:rPr>
            </w:pPr>
            <w:r>
              <w:rPr>
                <w:rFonts w:ascii="Times New Roman" w:cs="Times New Roman" w:eastAsia="Times New Roman" w:hAnsi="Times New Roman"/>
                <w:sz w:val="13"/>
                <w:szCs w:val="13"/>
                <w:color w:val="0000FF"/>
              </w:rPr>
              <w:t>Richard C. Leger</w:t>
            </w:r>
          </w:p>
        </w:tc>
        <w:tc>
          <w:tcPr>
            <w:tcW w:w="1360" w:type="dxa"/>
            <w:vAlign w:val="bottom"/>
            <w:tcBorders>
              <w:top w:val="single" w:sz="8" w:color="0000FF"/>
            </w:tcBorders>
            <w:gridSpan w:val="2"/>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†31.2.1</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5"/>
          </w:tcPr>
          <w:p>
            <w:pPr>
              <w:spacing w:after="0" w:line="113" w:lineRule="exact"/>
              <w:rPr>
                <w:sz w:val="20"/>
                <w:szCs w:val="20"/>
                <w:color w:val="auto"/>
              </w:rPr>
            </w:pPr>
            <w:r>
              <w:rPr>
                <w:rFonts w:ascii="Times New Roman" w:cs="Times New Roman" w:eastAsia="Times New Roman" w:hAnsi="Times New Roman"/>
                <w:sz w:val="13"/>
                <w:szCs w:val="13"/>
                <w:color w:val="0000FF"/>
              </w:rPr>
              <w:t>Christopher A. Foster</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†31.2.2</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5"/>
          </w:tcPr>
          <w:p>
            <w:pPr>
              <w:spacing w:after="0" w:line="113" w:lineRule="exact"/>
              <w:rPr>
                <w:sz w:val="20"/>
                <w:szCs w:val="20"/>
                <w:color w:val="auto"/>
              </w:rPr>
            </w:pPr>
            <w:r>
              <w:rPr>
                <w:rFonts w:ascii="Times New Roman" w:cs="Times New Roman" w:eastAsia="Times New Roman" w:hAnsi="Times New Roman"/>
                <w:sz w:val="13"/>
                <w:szCs w:val="13"/>
                <w:color w:val="0000FF"/>
              </w:rPr>
              <w:t>Christopher A. Foster</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†31.2.3</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5"/>
          </w:tcPr>
          <w:p>
            <w:pPr>
              <w:spacing w:after="0" w:line="113" w:lineRule="exact"/>
              <w:rPr>
                <w:sz w:val="20"/>
                <w:szCs w:val="20"/>
                <w:color w:val="auto"/>
              </w:rPr>
            </w:pPr>
            <w:r>
              <w:rPr>
                <w:rFonts w:ascii="Times New Roman" w:cs="Times New Roman" w:eastAsia="Times New Roman" w:hAnsi="Times New Roman"/>
                <w:sz w:val="13"/>
                <w:szCs w:val="13"/>
                <w:color w:val="0000FF"/>
              </w:rPr>
              <w:t>Christopher A. Foster</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†32.1.1</w:t>
            </w:r>
          </w:p>
        </w:tc>
        <w:tc>
          <w:tcPr>
            <w:tcW w:w="20" w:type="dxa"/>
            <w:vAlign w:val="bottom"/>
          </w:tcPr>
          <w:p>
            <w:pPr>
              <w:spacing w:after="0"/>
              <w:rPr>
                <w:sz w:val="15"/>
                <w:szCs w:val="15"/>
                <w:color w:val="auto"/>
              </w:rPr>
            </w:pPr>
          </w:p>
        </w:tc>
        <w:tc>
          <w:tcPr>
            <w:tcW w:w="2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Section 1350 Certification of Jason P. Wells</w:t>
            </w:r>
          </w:p>
        </w:tc>
        <w:tc>
          <w:tcPr>
            <w:tcW w:w="380" w:type="dxa"/>
            <w:vAlign w:val="bottom"/>
            <w:gridSpan w:val="6"/>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†32.1.2</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Section 1350 Certification of Darin M. Carroll</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†32.1.3</w:t>
            </w:r>
          </w:p>
        </w:tc>
        <w:tc>
          <w:tcPr>
            <w:tcW w:w="20" w:type="dxa"/>
            <w:vAlign w:val="bottom"/>
          </w:tcPr>
          <w:p>
            <w:pPr>
              <w:spacing w:after="0"/>
              <w:rPr>
                <w:sz w:val="15"/>
                <w:szCs w:val="15"/>
                <w:color w:val="auto"/>
              </w:rPr>
            </w:pPr>
          </w:p>
        </w:tc>
        <w:tc>
          <w:tcPr>
            <w:tcW w:w="2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Section 1350 Certification of Richard C. Leger</w:t>
            </w:r>
          </w:p>
        </w:tc>
        <w:tc>
          <w:tcPr>
            <w:tcW w:w="200" w:type="dxa"/>
            <w:vAlign w:val="bottom"/>
            <w:gridSpan w:val="3"/>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†32.2.1</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Section 1350 Certification of Christopher A.</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7"/>
          </w:tcPr>
          <w:p>
            <w:pPr>
              <w:spacing w:after="0" w:line="113" w:lineRule="exact"/>
              <w:rPr>
                <w:sz w:val="20"/>
                <w:szCs w:val="20"/>
                <w:color w:val="auto"/>
              </w:rPr>
            </w:pPr>
            <w:r>
              <w:rPr>
                <w:rFonts w:ascii="Times New Roman" w:cs="Times New Roman" w:eastAsia="Times New Roman" w:hAnsi="Times New Roman"/>
                <w:sz w:val="13"/>
                <w:szCs w:val="13"/>
                <w:color w:val="0000FF"/>
              </w:rPr>
              <w:t>Foster</w:t>
            </w:r>
          </w:p>
        </w:tc>
        <w:tc>
          <w:tcPr>
            <w:tcW w:w="340" w:type="dxa"/>
            <w:vAlign w:val="bottom"/>
            <w:gridSpan w:val="5"/>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20" w:type="dxa"/>
            <w:vAlign w:val="bottom"/>
            <w:gridSpan w:val="1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†32.2.2</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Section 1350 Certification of Christopher A.</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7"/>
          </w:tcPr>
          <w:p>
            <w:pPr>
              <w:spacing w:after="0" w:line="113" w:lineRule="exact"/>
              <w:rPr>
                <w:sz w:val="20"/>
                <w:szCs w:val="20"/>
                <w:color w:val="auto"/>
              </w:rPr>
            </w:pPr>
            <w:r>
              <w:rPr>
                <w:rFonts w:ascii="Times New Roman" w:cs="Times New Roman" w:eastAsia="Times New Roman" w:hAnsi="Times New Roman"/>
                <w:sz w:val="13"/>
                <w:szCs w:val="13"/>
                <w:color w:val="0000FF"/>
              </w:rPr>
              <w:t>Foster</w:t>
            </w:r>
          </w:p>
        </w:tc>
        <w:tc>
          <w:tcPr>
            <w:tcW w:w="340" w:type="dxa"/>
            <w:vAlign w:val="bottom"/>
            <w:gridSpan w:val="5"/>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20" w:type="dxa"/>
            <w:vAlign w:val="bottom"/>
            <w:gridSpan w:val="1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†32.2.3</w:t>
            </w: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Section 1350 Certification of Christopher A.</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7"/>
          </w:tcPr>
          <w:p>
            <w:pPr>
              <w:spacing w:after="0" w:line="113" w:lineRule="exact"/>
              <w:rPr>
                <w:sz w:val="20"/>
                <w:szCs w:val="20"/>
                <w:color w:val="auto"/>
              </w:rPr>
            </w:pPr>
            <w:r>
              <w:rPr>
                <w:rFonts w:ascii="Times New Roman" w:cs="Times New Roman" w:eastAsia="Times New Roman" w:hAnsi="Times New Roman"/>
                <w:sz w:val="13"/>
                <w:szCs w:val="13"/>
                <w:color w:val="0000FF"/>
              </w:rPr>
              <w:t>Foster</w:t>
            </w:r>
          </w:p>
        </w:tc>
        <w:tc>
          <w:tcPr>
            <w:tcW w:w="340" w:type="dxa"/>
            <w:vAlign w:val="bottom"/>
            <w:gridSpan w:val="5"/>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20" w:type="dxa"/>
            <w:vAlign w:val="bottom"/>
            <w:gridSpan w:val="11"/>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†101.INS</w:t>
            </w:r>
          </w:p>
        </w:tc>
        <w:tc>
          <w:tcPr>
            <w:tcW w:w="20" w:type="dxa"/>
            <w:vAlign w:val="bottom"/>
          </w:tcPr>
          <w:p>
            <w:pPr>
              <w:spacing w:after="0"/>
              <w:rPr>
                <w:sz w:val="14"/>
                <w:szCs w:val="14"/>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36"/>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gridSpan w:val="12"/>
          </w:tcPr>
          <w:p>
            <w:pPr>
              <w:spacing w:after="0" w:line="137" w:lineRule="exact"/>
              <w:rPr>
                <w:sz w:val="20"/>
                <w:szCs w:val="20"/>
                <w:color w:val="auto"/>
              </w:rPr>
            </w:pPr>
            <w:r>
              <w:rPr>
                <w:rFonts w:ascii="Times New Roman" w:cs="Times New Roman" w:eastAsia="Times New Roman" w:hAnsi="Times New Roman"/>
                <w:sz w:val="14"/>
                <w:szCs w:val="14"/>
                <w:color w:val="auto"/>
              </w:rPr>
              <w:t>document does not appear in the Interactive</w:t>
            </w: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gridSpan w:val="12"/>
          </w:tcPr>
          <w:p>
            <w:pPr>
              <w:spacing w:after="0" w:line="146" w:lineRule="exact"/>
              <w:rPr>
                <w:sz w:val="20"/>
                <w:szCs w:val="20"/>
                <w:color w:val="auto"/>
              </w:rPr>
            </w:pPr>
            <w:r>
              <w:rPr>
                <w:rFonts w:ascii="Times New Roman" w:cs="Times New Roman" w:eastAsia="Times New Roman" w:hAnsi="Times New Roman"/>
                <w:sz w:val="14"/>
                <w:szCs w:val="14"/>
                <w:color w:val="auto"/>
              </w:rPr>
              <w:t>Data File because its XBRL tags are embedded</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8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98"/>
              </w:rPr>
              <w:t>†101.SCH</w:t>
            </w:r>
          </w:p>
        </w:tc>
        <w:tc>
          <w:tcPr>
            <w:tcW w:w="20" w:type="dxa"/>
            <w:vAlign w:val="bottom"/>
          </w:tcPr>
          <w:p>
            <w:pPr>
              <w:spacing w:after="0"/>
              <w:rPr>
                <w:sz w:val="13"/>
                <w:szCs w:val="13"/>
                <w:color w:val="auto"/>
              </w:rPr>
            </w:pPr>
          </w:p>
        </w:tc>
        <w:tc>
          <w:tcPr>
            <w:tcW w:w="2860" w:type="dxa"/>
            <w:vAlign w:val="bottom"/>
            <w:gridSpan w:val="12"/>
          </w:tcPr>
          <w:p>
            <w:pPr>
              <w:spacing w:after="0" w:line="157" w:lineRule="exact"/>
              <w:rPr>
                <w:sz w:val="20"/>
                <w:szCs w:val="20"/>
                <w:color w:val="auto"/>
              </w:rPr>
            </w:pPr>
            <w:r>
              <w:rPr>
                <w:rFonts w:ascii="Times New Roman" w:cs="Times New Roman" w:eastAsia="Times New Roman" w:hAnsi="Times New Roman"/>
                <w:sz w:val="14"/>
                <w:szCs w:val="14"/>
                <w:color w:val="auto"/>
              </w:rPr>
              <w:t>Inline XBRL Taxonomy Extension Schema</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2"/>
                <w:szCs w:val="12"/>
                <w:color w:val="auto"/>
              </w:rPr>
            </w:pPr>
          </w:p>
        </w:tc>
        <w:tc>
          <w:tcPr>
            <w:tcW w:w="28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auto"/>
              </w:rPr>
              <w:t>Inline XBRL Taxonomy Extension Calculation</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2"/>
                <w:szCs w:val="12"/>
                <w:color w:val="auto"/>
              </w:rPr>
            </w:pPr>
          </w:p>
        </w:tc>
        <w:tc>
          <w:tcPr>
            <w:tcW w:w="28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auto"/>
              </w:rPr>
              <w:t>Inline XBRL Taxonomy Extension Definition</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2"/>
                <w:szCs w:val="12"/>
                <w:color w:val="auto"/>
              </w:rPr>
            </w:pPr>
          </w:p>
        </w:tc>
        <w:tc>
          <w:tcPr>
            <w:tcW w:w="28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auto"/>
              </w:rPr>
              <w:t>Inline XBRL Taxonomy Extension Labels</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2"/>
                <w:szCs w:val="12"/>
                <w:color w:val="auto"/>
              </w:rPr>
            </w:pPr>
          </w:p>
        </w:tc>
        <w:tc>
          <w:tcPr>
            <w:tcW w:w="28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auto"/>
              </w:rPr>
              <w:t>Inline XBRL Taxonomy Extension Presentation</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0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2"/>
                <w:szCs w:val="12"/>
                <w:color w:val="auto"/>
              </w:rPr>
            </w:pPr>
          </w:p>
        </w:tc>
        <w:tc>
          <w:tcPr>
            <w:tcW w:w="286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auto"/>
              </w:rPr>
              <w:t>Cover Page Interactive Data File (formatted as</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85"/>
              </w:rPr>
              <w:t>x</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and contained in Exhibit 101)</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740" w:right="620" w:hanging="220"/>
        <w:spacing w:after="0" w:line="227" w:lineRule="auto"/>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28"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CENTERPOINT ENERGY, INC.</w:t>
      </w:r>
    </w:p>
    <w:p>
      <w:pPr>
        <w:spacing w:after="0" w:line="2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CENTERPOINT ENERGY HOUSTON ELECTRIC, LLC</w:t>
      </w:r>
    </w:p>
    <w:p>
      <w:pPr>
        <w:spacing w:after="0" w:line="18"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CENTERPOINT ENERGY RESOURCES CORP.</w:t>
      </w:r>
    </w:p>
    <w:p>
      <w:pPr>
        <w:spacing w:after="0" w:line="200" w:lineRule="exact"/>
        <w:rPr>
          <w:sz w:val="20"/>
          <w:szCs w:val="20"/>
          <w:color w:val="auto"/>
        </w:rPr>
      </w:pPr>
    </w:p>
    <w:p>
      <w:pPr>
        <w:spacing w:after="0" w:line="236" w:lineRule="exact"/>
        <w:rPr>
          <w:sz w:val="20"/>
          <w:szCs w:val="20"/>
          <w:color w:val="auto"/>
        </w:rPr>
      </w:pPr>
    </w:p>
    <w:tbl>
      <w:tblPr>
        <w:tblLayout w:type="fixed"/>
        <w:tblInd w:w="484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Kristie L. Colvin</w:t>
            </w:r>
          </w:p>
        </w:tc>
      </w:tr>
      <w:tr>
        <w:trPr>
          <w:trHeight w:val="213"/>
        </w:trPr>
        <w:tc>
          <w:tcPr>
            <w:tcW w:w="26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Kristie L. Colvin</w:t>
            </w:r>
          </w:p>
        </w:tc>
      </w:tr>
      <w:tr>
        <w:trPr>
          <w:trHeight w:val="225"/>
        </w:trPr>
        <w:tc>
          <w:tcPr>
            <w:tcW w:w="26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Senior Vice President and Chief Accounting Officer</w:t>
            </w:r>
          </w:p>
        </w:tc>
      </w:tr>
      <w:tr>
        <w:trPr>
          <w:trHeight w:val="231"/>
        </w:trPr>
        <w:tc>
          <w:tcPr>
            <w:tcW w:w="260" w:type="dxa"/>
            <w:vAlign w:val="bottom"/>
          </w:tcPr>
          <w:p>
            <w:pPr>
              <w:spacing w:after="0"/>
              <w:rPr>
                <w:sz w:val="20"/>
                <w:szCs w:val="20"/>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(Duly Authorized Officer and Principal Accounting Officer)</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31.1.1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Wells, certify that:</w:t>
      </w:r>
    </w:p>
    <w:p>
      <w:pPr>
        <w:spacing w:after="0" w:line="217" w:lineRule="exact"/>
        <w:rPr>
          <w:sz w:val="20"/>
          <w:szCs w:val="20"/>
          <w:color w:val="auto"/>
        </w:rPr>
      </w:pPr>
    </w:p>
    <w:p>
      <w:pPr>
        <w:ind w:left="1280" w:hanging="638"/>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Inc.;</w:t>
      </w:r>
    </w:p>
    <w:p>
      <w:pPr>
        <w:spacing w:after="0" w:line="243"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right="20" w:firstLine="642"/>
        <w:spacing w:after="0" w:line="274" w:lineRule="auto"/>
        <w:tabs>
          <w:tab w:leader="none" w:pos="12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left="1280" w:hanging="638"/>
        <w:spacing w:after="0" w:line="259" w:lineRule="auto"/>
        <w:tabs>
          <w:tab w:leader="none" w:pos="12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hanging="638"/>
        <w:spacing w:after="0" w:line="274" w:lineRule="auto"/>
        <w:tabs>
          <w:tab w:leader="none" w:pos="12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sz w:val="20"/>
          <w:szCs w:val="20"/>
          <w:color w:val="auto"/>
        </w:rPr>
      </w:pPr>
    </w:p>
    <w:p>
      <w:pPr>
        <w:ind w:firstLine="642"/>
        <w:spacing w:after="0" w:line="274" w:lineRule="auto"/>
        <w:tabs>
          <w:tab w:leader="none" w:pos="12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280" w:hanging="638"/>
        <w:spacing w:after="0" w:line="274" w:lineRule="auto"/>
        <w:tabs>
          <w:tab w:leader="none" w:pos="12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280" w:hanging="638"/>
        <w:spacing w:after="0" w:line="274" w:lineRule="auto"/>
        <w:tabs>
          <w:tab w:leader="none" w:pos="1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91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P. Wells</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31.1.2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Darin M. Carroll, certify that:</w:t>
      </w:r>
    </w:p>
    <w:p>
      <w:pPr>
        <w:spacing w:after="0" w:line="217" w:lineRule="exact"/>
        <w:rPr>
          <w:sz w:val="20"/>
          <w:szCs w:val="20"/>
          <w:color w:val="auto"/>
        </w:rPr>
      </w:pPr>
    </w:p>
    <w:p>
      <w:pPr>
        <w:ind w:left="1280" w:hanging="638"/>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Houston Electric, LLC;</w:t>
      </w:r>
    </w:p>
    <w:p>
      <w:pPr>
        <w:spacing w:after="0" w:line="243"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right="20" w:firstLine="642"/>
        <w:spacing w:after="0" w:line="274" w:lineRule="auto"/>
        <w:tabs>
          <w:tab w:leader="none" w:pos="12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1280" w:hanging="638"/>
        <w:spacing w:after="0" w:line="259" w:lineRule="auto"/>
        <w:tabs>
          <w:tab w:leader="none" w:pos="12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hanging="638"/>
        <w:spacing w:after="0" w:line="274" w:lineRule="auto"/>
        <w:tabs>
          <w:tab w:leader="none" w:pos="12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sz w:val="20"/>
          <w:szCs w:val="20"/>
          <w:color w:val="auto"/>
        </w:rPr>
      </w:pPr>
    </w:p>
    <w:p>
      <w:pPr>
        <w:ind w:firstLine="642"/>
        <w:spacing w:after="0" w:line="274" w:lineRule="auto"/>
        <w:tabs>
          <w:tab w:leader="none" w:pos="12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280" w:hanging="638"/>
        <w:spacing w:after="0" w:line="274" w:lineRule="auto"/>
        <w:tabs>
          <w:tab w:leader="none" w:pos="12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280" w:hanging="638"/>
        <w:spacing w:after="0" w:line="274" w:lineRule="auto"/>
        <w:tabs>
          <w:tab w:leader="none" w:pos="12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91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Darin M. Carroll</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31.1.3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Leger, certify that:</w:t>
      </w:r>
    </w:p>
    <w:p>
      <w:pPr>
        <w:spacing w:after="0" w:line="217" w:lineRule="exact"/>
        <w:rPr>
          <w:sz w:val="20"/>
          <w:szCs w:val="20"/>
          <w:color w:val="auto"/>
        </w:rPr>
      </w:pPr>
    </w:p>
    <w:p>
      <w:pPr>
        <w:ind w:left="1260" w:hanging="618"/>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Resources Corp.;</w:t>
      </w:r>
    </w:p>
    <w:p>
      <w:pPr>
        <w:spacing w:after="0" w:line="217" w:lineRule="exact"/>
        <w:rPr>
          <w:rFonts w:ascii="Times New Roman" w:cs="Times New Roman" w:eastAsia="Times New Roman" w:hAnsi="Times New Roman"/>
          <w:sz w:val="18"/>
          <w:szCs w:val="18"/>
          <w:color w:val="auto"/>
        </w:rPr>
      </w:pPr>
    </w:p>
    <w:p>
      <w:pPr>
        <w:ind w:right="300" w:firstLine="642"/>
        <w:spacing w:after="0" w:line="259" w:lineRule="auto"/>
        <w:tabs>
          <w:tab w:leader="none" w:pos="1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right="540" w:firstLine="642"/>
        <w:spacing w:after="0" w:line="274" w:lineRule="auto"/>
        <w:tabs>
          <w:tab w:leader="none" w:pos="1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200" w:firstLine="642"/>
        <w:spacing w:after="0" w:line="259" w:lineRule="auto"/>
        <w:tabs>
          <w:tab w:leader="none" w:pos="12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ind w:left="1280" w:right="120" w:hanging="638"/>
        <w:spacing w:after="0" w:line="259" w:lineRule="auto"/>
        <w:tabs>
          <w:tab w:leader="none" w:pos="127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40" w:hanging="638"/>
        <w:spacing w:after="0" w:line="259" w:lineRule="auto"/>
        <w:tabs>
          <w:tab w:leader="none" w:pos="12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right="600" w:firstLine="642"/>
        <w:spacing w:after="0" w:line="304" w:lineRule="auto"/>
        <w:tabs>
          <w:tab w:leader="none" w:pos="1251"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sz w:val="20"/>
          <w:szCs w:val="20"/>
          <w:color w:val="auto"/>
        </w:rPr>
      </w:pPr>
    </w:p>
    <w:p>
      <w:pPr>
        <w:ind w:left="1280" w:right="660" w:hanging="638"/>
        <w:spacing w:after="0" w:line="304" w:lineRule="auto"/>
        <w:tabs>
          <w:tab w:leader="none" w:pos="127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80" w:hanging="638"/>
        <w:spacing w:after="0" w:line="274" w:lineRule="auto"/>
        <w:tabs>
          <w:tab w:leader="none" w:pos="12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7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14605</wp:posOffset>
            </wp:positionV>
            <wp:extent cx="28016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Richard C. Leger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31.2.1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Foster, certify that:</w:t>
      </w:r>
    </w:p>
    <w:p>
      <w:pPr>
        <w:spacing w:after="0" w:line="217" w:lineRule="exact"/>
        <w:rPr>
          <w:sz w:val="20"/>
          <w:szCs w:val="20"/>
          <w:color w:val="auto"/>
        </w:rPr>
      </w:pPr>
    </w:p>
    <w:p>
      <w:pPr>
        <w:ind w:left="1280" w:hanging="638"/>
        <w:spacing w:after="0"/>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Inc.;</w:t>
      </w:r>
    </w:p>
    <w:p>
      <w:pPr>
        <w:spacing w:after="0" w:line="243"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right="20" w:firstLine="642"/>
        <w:spacing w:after="0" w:line="274" w:lineRule="auto"/>
        <w:tabs>
          <w:tab w:leader="none" w:pos="12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left="1280" w:hanging="638"/>
        <w:spacing w:after="0" w:line="259" w:lineRule="auto"/>
        <w:tabs>
          <w:tab w:leader="none" w:pos="12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hanging="638"/>
        <w:spacing w:after="0" w:line="274" w:lineRule="auto"/>
        <w:tabs>
          <w:tab w:leader="none" w:pos="12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sz w:val="20"/>
          <w:szCs w:val="20"/>
          <w:color w:val="auto"/>
        </w:rPr>
      </w:pPr>
    </w:p>
    <w:p>
      <w:pPr>
        <w:ind w:firstLine="642"/>
        <w:spacing w:after="0" w:line="274" w:lineRule="auto"/>
        <w:tabs>
          <w:tab w:leader="none" w:pos="127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280" w:hanging="638"/>
        <w:spacing w:after="0" w:line="274" w:lineRule="auto"/>
        <w:tabs>
          <w:tab w:leader="none" w:pos="12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280" w:hanging="638"/>
        <w:spacing w:after="0" w:line="274" w:lineRule="auto"/>
        <w:tabs>
          <w:tab w:leader="none" w:pos="1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9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31.2.2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Foster, certify that:</w:t>
      </w:r>
    </w:p>
    <w:p>
      <w:pPr>
        <w:spacing w:after="0" w:line="217" w:lineRule="exact"/>
        <w:rPr>
          <w:sz w:val="20"/>
          <w:szCs w:val="20"/>
          <w:color w:val="auto"/>
        </w:rPr>
      </w:pPr>
    </w:p>
    <w:p>
      <w:pPr>
        <w:ind w:left="1280" w:hanging="638"/>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Houston Electric, LLC;</w:t>
      </w:r>
    </w:p>
    <w:p>
      <w:pPr>
        <w:spacing w:after="0" w:line="243"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right="20" w:firstLine="642"/>
        <w:spacing w:after="0" w:line="274" w:lineRule="auto"/>
        <w:tabs>
          <w:tab w:leader="none" w:pos="12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42"/>
        <w:spacing w:after="0" w:line="259" w:lineRule="auto"/>
        <w:tabs>
          <w:tab w:leader="none" w:pos="12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jc w:val="both"/>
        <w:ind w:left="1280" w:hanging="638"/>
        <w:spacing w:after="0" w:line="259" w:lineRule="auto"/>
        <w:tabs>
          <w:tab w:leader="none" w:pos="12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280" w:hanging="638"/>
        <w:spacing w:after="0" w:line="274" w:lineRule="auto"/>
        <w:tabs>
          <w:tab w:leader="none" w:pos="12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280" w:hanging="638"/>
        <w:spacing w:after="0" w:line="259" w:lineRule="auto"/>
        <w:tabs>
          <w:tab w:leader="none" w:pos="1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sz w:val="20"/>
          <w:szCs w:val="20"/>
          <w:color w:val="auto"/>
        </w:rPr>
      </w:pPr>
    </w:p>
    <w:p>
      <w:pPr>
        <w:ind w:firstLine="642"/>
        <w:spacing w:after="0" w:line="274" w:lineRule="auto"/>
        <w:tabs>
          <w:tab w:leader="none" w:pos="12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280" w:hanging="638"/>
        <w:spacing w:after="0" w:line="274" w:lineRule="auto"/>
        <w:tabs>
          <w:tab w:leader="none" w:pos="12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280" w:hanging="638"/>
        <w:spacing w:after="0" w:line="274" w:lineRule="auto"/>
        <w:tabs>
          <w:tab w:leader="none" w:pos="12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91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31.2.3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Foster, certify that:</w:t>
      </w:r>
    </w:p>
    <w:p>
      <w:pPr>
        <w:spacing w:after="0" w:line="217" w:lineRule="exact"/>
        <w:rPr>
          <w:sz w:val="20"/>
          <w:szCs w:val="20"/>
          <w:color w:val="auto"/>
        </w:rPr>
      </w:pPr>
    </w:p>
    <w:p>
      <w:pPr>
        <w:ind w:left="1260" w:hanging="618"/>
        <w:spacing w:after="0"/>
        <w:tabs>
          <w:tab w:leader="none" w:pos="1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Resources Corp.;</w:t>
      </w:r>
    </w:p>
    <w:p>
      <w:pPr>
        <w:spacing w:after="0" w:line="217" w:lineRule="exact"/>
        <w:rPr>
          <w:rFonts w:ascii="Times New Roman" w:cs="Times New Roman" w:eastAsia="Times New Roman" w:hAnsi="Times New Roman"/>
          <w:sz w:val="18"/>
          <w:szCs w:val="18"/>
          <w:color w:val="auto"/>
        </w:rPr>
      </w:pPr>
    </w:p>
    <w:p>
      <w:pPr>
        <w:ind w:right="300" w:firstLine="642"/>
        <w:spacing w:after="0" w:line="259" w:lineRule="auto"/>
        <w:tabs>
          <w:tab w:leader="none" w:pos="12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right="540" w:firstLine="642"/>
        <w:spacing w:after="0" w:line="274" w:lineRule="auto"/>
        <w:tabs>
          <w:tab w:leader="none" w:pos="12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200" w:firstLine="642"/>
        <w:spacing w:after="0" w:line="259" w:lineRule="auto"/>
        <w:tabs>
          <w:tab w:leader="none" w:pos="12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sz w:val="20"/>
          <w:szCs w:val="20"/>
          <w:color w:val="auto"/>
        </w:rPr>
      </w:pPr>
    </w:p>
    <w:p>
      <w:pPr>
        <w:ind w:left="1280" w:right="120" w:hanging="638"/>
        <w:spacing w:after="0" w:line="259" w:lineRule="auto"/>
        <w:tabs>
          <w:tab w:leader="none" w:pos="12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40" w:hanging="638"/>
        <w:spacing w:after="0" w:line="259" w:lineRule="auto"/>
        <w:tabs>
          <w:tab w:leader="none" w:pos="12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right="600" w:firstLine="642"/>
        <w:spacing w:after="0" w:line="304" w:lineRule="auto"/>
        <w:tabs>
          <w:tab w:leader="none" w:pos="125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sz w:val="20"/>
          <w:szCs w:val="20"/>
          <w:color w:val="auto"/>
        </w:rPr>
      </w:pPr>
    </w:p>
    <w:p>
      <w:pPr>
        <w:ind w:left="1280" w:right="660" w:hanging="638"/>
        <w:spacing w:after="0" w:line="304" w:lineRule="auto"/>
        <w:tabs>
          <w:tab w:leader="none" w:pos="127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80" w:hanging="638"/>
        <w:spacing w:after="0" w:line="274" w:lineRule="auto"/>
        <w:tabs>
          <w:tab w:leader="none" w:pos="12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2025</w:t>
      </w:r>
    </w:p>
    <w:p>
      <w:pPr>
        <w:spacing w:after="0" w:line="37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14605</wp:posOffset>
            </wp:positionV>
            <wp:extent cx="28771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5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32.1.1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Inc. (the “Company”) on Form 10-Q for the quarter ended June 30, 2025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204" w:lineRule="exact"/>
        <w:rPr>
          <w:sz w:val="20"/>
          <w:szCs w:val="20"/>
          <w:color w:val="auto"/>
        </w:rPr>
      </w:pPr>
    </w:p>
    <w:p>
      <w:pPr>
        <w:ind w:left="640" w:hanging="634"/>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502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P. Wells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24, 2025</w:t>
      </w:r>
    </w:p>
    <w:p>
      <w:pPr>
        <w:sectPr>
          <w:pgSz w:w="11900" w:h="16838" w:orient="portrait"/>
          <w:cols w:equalWidth="0" w:num="1">
            <w:col w:w="11240"/>
          </w:cols>
          <w:pgMar w:left="320" w:top="876"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32.1.2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Houston Electric, LLC (the “Company”) on Form 10-Q for the quarter ended June 30, 2025 (the “Report”), as filed with the Securities and Exchange Commission on the date hereof, I, Darin M. Carroll, Chief Executive Officer, certify, pursuant to 18 U.S.C. Section 1350, as adopted pursuant to Section 906 of the Sarbanes-Oxley Act of 2002, to the best of my knowledge, that:</w:t>
      </w:r>
    </w:p>
    <w:p>
      <w:pPr>
        <w:spacing w:after="0" w:line="204" w:lineRule="exact"/>
        <w:rPr>
          <w:sz w:val="20"/>
          <w:szCs w:val="20"/>
          <w:color w:val="auto"/>
        </w:rPr>
      </w:pPr>
    </w:p>
    <w:p>
      <w:pPr>
        <w:ind w:left="640" w:hanging="634"/>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502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Darin M. Carroll</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24, 2025</w:t>
      </w:r>
    </w:p>
    <w:p>
      <w:pPr>
        <w:sectPr>
          <w:pgSz w:w="11900" w:h="16838" w:orient="portrait"/>
          <w:cols w:equalWidth="0" w:num="1">
            <w:col w:w="11240"/>
          </w:cols>
          <w:pgMar w:left="320" w:top="87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32.1.3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24" w:lineRule="exact"/>
        <w:rPr>
          <w:sz w:val="20"/>
          <w:szCs w:val="20"/>
          <w:color w:val="auto"/>
        </w:rPr>
      </w:pPr>
    </w:p>
    <w:p>
      <w:pPr>
        <w:jc w:val="both"/>
        <w:ind w:right="38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Resources Corp. (the “Company”) on Form 10-Q for the quarter ended June 30, 2025 (the “Report”), as filed with the Securities and Exchange Commission on the date hereof, I, Richard C. Leger, Chief Executive Officer, certify, pursuant to 18 U.S.C. Section 1350, as adopted pursuant to Section 906 of the Sarbanes-Oxley Act of 2002, to the best of my knowledge, that:</w:t>
      </w:r>
    </w:p>
    <w:p>
      <w:pPr>
        <w:spacing w:after="0" w:line="204" w:lineRule="exact"/>
        <w:rPr>
          <w:sz w:val="20"/>
          <w:szCs w:val="20"/>
          <w:color w:val="auto"/>
        </w:rPr>
      </w:pPr>
    </w:p>
    <w:p>
      <w:pPr>
        <w:ind w:left="620" w:hanging="614"/>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1216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C. Leger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24, 2025</w:t>
      </w:r>
    </w:p>
    <w:p>
      <w:pPr>
        <w:sectPr>
          <w:pgSz w:w="11900" w:h="16838" w:orient="portrait"/>
          <w:cols w:equalWidth="0" w:num="1">
            <w:col w:w="11240"/>
          </w:cols>
          <w:pgMar w:left="320" w:top="87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32.2.1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Inc. (the “Company”) on Form 10-Q for the quarter ended June 30,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204" w:lineRule="exact"/>
        <w:rPr>
          <w:sz w:val="20"/>
          <w:szCs w:val="20"/>
          <w:color w:val="auto"/>
        </w:rPr>
      </w:pPr>
    </w:p>
    <w:p>
      <w:pPr>
        <w:ind w:left="640" w:hanging="634"/>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502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24, 2025</w:t>
      </w:r>
    </w:p>
    <w:p>
      <w:pPr>
        <w:sectPr>
          <w:pgSz w:w="11900" w:h="16838" w:orient="portrait"/>
          <w:cols w:equalWidth="0" w:num="1">
            <w:col w:w="11240"/>
          </w:cols>
          <w:pgMar w:left="320" w:top="876"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32.2.2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Houston Electric, LLC (the “Company”) on Form 10-Q for the quarter ended June 30,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204" w:lineRule="exact"/>
        <w:rPr>
          <w:sz w:val="20"/>
          <w:szCs w:val="20"/>
          <w:color w:val="auto"/>
        </w:rPr>
      </w:pPr>
    </w:p>
    <w:p>
      <w:pPr>
        <w:ind w:left="640" w:hanging="634"/>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50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24, 2025</w:t>
      </w:r>
    </w:p>
    <w:p>
      <w:pPr>
        <w:sectPr>
          <w:pgSz w:w="11900" w:h="16838" w:orient="portrait"/>
          <w:cols w:equalWidth="0" w:num="1">
            <w:col w:w="11240"/>
          </w:cols>
          <w:pgMar w:left="320" w:top="876"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32.2.3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2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Resources Corp. (the “Company”) on Form 10-Q for the quarter ended June 30,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204" w:lineRule="exact"/>
        <w:rPr>
          <w:sz w:val="20"/>
          <w:szCs w:val="20"/>
          <w:color w:val="auto"/>
        </w:rPr>
      </w:pPr>
    </w:p>
    <w:p>
      <w:pPr>
        <w:ind w:left="620" w:hanging="614"/>
        <w:spacing w:after="0"/>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502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24, 2025</w:t>
      </w:r>
    </w:p>
    <w:sectPr>
      <w:pgSz w:w="11900" w:h="16838" w:orient="portrait"/>
      <w:cols w:equalWidth="0" w:num="1">
        <w:col w:w="11240"/>
      </w:cols>
      <w:pgMar w:left="320" w:top="10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8"/>
    </w:lvl>
    <w:lvl w:ilvl="1">
      <w:lvlJc w:val="left"/>
      <w:lvlText w:val="(%2)"/>
      <w:numFmt w:val="lowerLetter"/>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11"/>
    </w:lvl>
    <w:lvl w:ilvl="1">
      <w:lvlJc w:val="left"/>
      <w:lvlText w:val="(%2)"/>
      <w:numFmt w:val="lowerLetter"/>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lowerLetter"/>
      <w:start w:val="4"/>
    </w:lvl>
  </w:abstractNum>
  <w:abstractNum w:abstractNumId="20">
    <w:nsid w:val="38437FDB"/>
    <w:multiLevelType w:val="hybridMultilevel"/>
    <w:lvl w:ilvl="0">
      <w:lvlJc w:val="left"/>
      <w:lvlText w:val="(%1)"/>
      <w:numFmt w:val="lowerRoman"/>
      <w:start w:val="1"/>
    </w:lvl>
  </w:abstractNum>
  <w:abstractNum w:abstractNumId="21">
    <w:nsid w:val="7644A45C"/>
    <w:multiLevelType w:val="hybridMultilevel"/>
    <w:lvl w:ilvl="0">
      <w:lvlJc w:val="left"/>
      <w:lvlText w:val="(%1)"/>
      <w:numFmt w:val="lowerRoman"/>
      <w:start w:val="2"/>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1"/>
    </w:lvl>
    <w:lvl w:ilvl="1">
      <w:lvlJc w:val="left"/>
      <w:lvlText w:val="(%2)"/>
      <w:numFmt w:val="decimal"/>
      <w:start w:val="1"/>
    </w:lvl>
  </w:abstractNum>
  <w:abstractNum w:abstractNumId="31">
    <w:nsid w:val="70C6A529"/>
    <w:multiLevelType w:val="hybridMultilevel"/>
    <w:lvl w:ilvl="0">
      <w:lvlJc w:val="left"/>
      <w:lvlText w:val="(%1)"/>
      <w:numFmt w:val="decimal"/>
      <w:start w:val="16"/>
    </w:lvl>
    <w:lvl w:ilvl="1">
      <w:lvlJc w:val="left"/>
      <w:lvlText w:val="%2"/>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emdash "/>
      <w:numFmt w:val="bullet"/>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lowerLetter"/>
      <w:start w:val="1"/>
    </w:lvl>
  </w:abstractNum>
  <w:abstractNum w:abstractNumId="46">
    <w:nsid w:val="D34B6A8"/>
    <w:multiLevelType w:val="hybridMultilevel"/>
    <w:lvl w:ilvl="0">
      <w:lvlJc w:val="left"/>
      <w:lvlText w:val="%1."/>
      <w:numFmt w:val="decimal"/>
      <w:start w:val="5"/>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decimal"/>
      <w:start w:val="5"/>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decimal"/>
      <w:start w:val="5"/>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lowerLetter"/>
      <w:start w:val="1"/>
    </w:lvl>
  </w:abstractNum>
  <w:abstractNum w:abstractNumId="58">
    <w:nsid w:val="4AD084E9"/>
    <w:multiLevelType w:val="hybridMultilevel"/>
    <w:lvl w:ilvl="0">
      <w:lvlJc w:val="left"/>
      <w:lvlText w:val="%1."/>
      <w:numFmt w:val="decimal"/>
      <w:start w:val="5"/>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decimal"/>
      <w:start w:val="5"/>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1."/>
      <w:numFmt w:val="decimal"/>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99" Type="http://schemas.openxmlformats.org/officeDocument/2006/relationships/hyperlink" Target="https://www.sec.gov/ix?doc=/Archives/edgar/data/0001130310/000113031025000040/cnp-20241231.htm" TargetMode="External"/><Relationship Id="rId102" Type="http://schemas.openxmlformats.org/officeDocument/2006/relationships/hyperlink" Target="https://www.sec.gov/ix?doc=/Archives/edgar/data/0001130310/000119312524039277/d794478d8k.htm" TargetMode="External"/><Relationship Id="rId103" Type="http://schemas.openxmlformats.org/officeDocument/2006/relationships/hyperlink" Target="https://www.sec.gov/Archives/edgar/data/1130310/000113031008000004/ex3-2.htm" TargetMode="External"/><Relationship Id="rId104" Type="http://schemas.openxmlformats.org/officeDocument/2006/relationships/hyperlink" Target="https://www.sec.gov/Archives/edgar/data/48732/000113031011000048/ex3-1.htm" TargetMode="External"/><Relationship Id="rId105" Type="http://schemas.openxmlformats.org/officeDocument/2006/relationships/hyperlink" Target="https://www.sec.gov/Archives/edgar/data/1042773/0000950129-98-001585.txt" TargetMode="External"/><Relationship Id="rId106" Type="http://schemas.openxmlformats.org/officeDocument/2006/relationships/hyperlink" Target="https://www.sec.gov/Archives/edgar/data/48732/0000950129-99-001059.txt" TargetMode="External"/><Relationship Id="rId107" Type="http://schemas.openxmlformats.org/officeDocument/2006/relationships/hyperlink" Target="https://www.sec.gov/Archives/edgar/data/1042773/000095012903004183/h07971exv3wa4.txt" TargetMode="External"/><Relationship Id="rId108" Type="http://schemas.openxmlformats.org/officeDocument/2006/relationships/hyperlink" Target="https://www.sec.gov/Archives/edgar/data/1130310/000113031024000010/exhibit3hfourthamendedan.htm" TargetMode="External"/><Relationship Id="rId109" Type="http://schemas.openxmlformats.org/officeDocument/2006/relationships/hyperlink" Target="https://www.sec.gov/Archives/edgar/data/48732/000113031011000048/ex3-2.htm" TargetMode="External"/><Relationship Id="rId110" Type="http://schemas.openxmlformats.org/officeDocument/2006/relationships/hyperlink" Target="https://www.sec.gov/Archives/edgar/data/1130310/000113031012000011/exhibit3c.htm" TargetMode="External"/><Relationship Id="rId111" Type="http://schemas.openxmlformats.org/officeDocument/2006/relationships/hyperlink" Target="https://www.sec.gov/Archives/edgar/data/1130310/000119312525129594/d32980dex101.htm" TargetMode="External"/><Relationship Id="rId112" Type="http://schemas.openxmlformats.org/officeDocument/2006/relationships/hyperlink" Target="https://www.sec.gov/Archives/edgar/data/1130310/000119312525129594/d32980dex102.htm" TargetMode="External"/><Relationship Id="rId113" Type="http://schemas.openxmlformats.org/officeDocument/2006/relationships/hyperlink" Target="https://www.sec.gov/Archives/edgar/data/1130310/000119312525129594/d32980dex103.htm" TargetMode="External"/><Relationship Id="rId114" Type="http://schemas.openxmlformats.org/officeDocument/2006/relationships/hyperlink" Target="https://www.sec.gov/Archives/edgar/data/1130310/000119312525130167/d830303dex101.htm" TargetMode="External"/><Relationship Id="rId115" Type="http://schemas.openxmlformats.org/officeDocument/2006/relationships/hyperlink" Target="https://www.sec.gov/Archives/edgar/data/1130310/000119312525130167/d830303dex102.htm" TargetMode="External"/><Relationship Id="rId116" Type="http://schemas.openxmlformats.org/officeDocument/2006/relationships/hyperlink" Target="https://www.sec.gov/Archives/edgar/data/1130310/000119312525130167/d83030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2025-07-24T05:23:59Z</dcterms:created>
  <dcterms:modified xsi:type="dcterms:W3CDTF">2025-07-24T05:23:59Z</dcterms:modified>
</cp:coreProperties>
</file>