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729615</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 SECURITIES AND EXCHANGE COMMISSION</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6"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4"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(Mark One)</w:t>
      </w:r>
    </w:p>
    <w:p>
      <w:pPr>
        <w:spacing w:after="0" w:line="64" w:lineRule="exact"/>
        <w:rPr>
          <w:sz w:val="24"/>
          <w:szCs w:val="24"/>
          <w:color w:val="auto"/>
        </w:rPr>
      </w:pPr>
    </w:p>
    <w:p>
      <w:pPr>
        <w:ind w:left="560" w:hanging="368"/>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1" w:lineRule="exact"/>
        <w:rPr>
          <w:sz w:val="24"/>
          <w:szCs w:val="24"/>
          <w:color w:val="auto"/>
        </w:rPr>
      </w:pPr>
    </w:p>
    <w:p>
      <w:pPr>
        <w:ind w:left="480"/>
        <w:spacing w:after="0"/>
        <w:rPr>
          <w:sz w:val="20"/>
          <w:szCs w:val="20"/>
          <w:color w:val="auto"/>
        </w:rPr>
      </w:pPr>
      <w:r>
        <w:rPr>
          <w:rFonts w:ascii="Arial" w:cs="Arial" w:eastAsia="Arial" w:hAnsi="Arial"/>
          <w:sz w:val="14"/>
          <w:szCs w:val="14"/>
          <w:b w:val="1"/>
          <w:bCs w:val="1"/>
          <w:color w:val="auto"/>
        </w:rPr>
        <w:t>For the quarterly period ended June 30, 2023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0" w:lineRule="exact"/>
        <w:rPr>
          <w:sz w:val="24"/>
          <w:szCs w:val="24"/>
          <w:color w:val="auto"/>
        </w:rPr>
      </w:pPr>
    </w:p>
    <w:p>
      <w:pPr>
        <w:ind w:left="560" w:right="3520" w:hanging="368"/>
        <w:spacing w:after="0" w:line="296" w:lineRule="auto"/>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1-31447</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CenterPoint Energy, Inc.</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61" w:lineRule="exact"/>
        <w:rPr>
          <w:sz w:val="24"/>
          <w:szCs w:val="24"/>
          <w:color w:val="auto"/>
        </w:rPr>
      </w:pPr>
    </w:p>
    <w:tbl>
      <w:tblPr>
        <w:tblLayout w:type="fixed"/>
        <w:tblInd w:w="460" w:type="dxa"/>
        <w:tblCellMar>
          <w:top w:w="0" w:type="dxa"/>
          <w:left w:w="0" w:type="dxa"/>
          <w:bottom w:w="0" w:type="dxa"/>
          <w:right w:w="0" w:type="dxa"/>
        </w:tblCellMar>
      </w:tblPr>
      <w:tr>
        <w:trPr>
          <w:trHeight w:val="208"/>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60" w:type="dxa"/>
            <w:vAlign w:val="bottom"/>
          </w:tcPr>
          <w:p>
            <w:pPr>
              <w:jc w:val="center"/>
              <w:ind w:left="125"/>
              <w:spacing w:after="0"/>
              <w:rPr>
                <w:sz w:val="20"/>
                <w:szCs w:val="20"/>
                <w:color w:val="auto"/>
              </w:rPr>
            </w:pPr>
            <w:r>
              <w:rPr>
                <w:rFonts w:ascii="Arial" w:cs="Arial" w:eastAsia="Arial" w:hAnsi="Arial"/>
                <w:sz w:val="16"/>
                <w:szCs w:val="16"/>
                <w:b w:val="1"/>
                <w:bCs w:val="1"/>
                <w:color w:val="auto"/>
                <w:w w:val="91"/>
              </w:rPr>
              <w:t>74-0694415</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98"/>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80"/>
              <w:spacing w:after="0"/>
              <w:rPr>
                <w:sz w:val="20"/>
                <w:szCs w:val="20"/>
                <w:color w:val="auto"/>
              </w:rPr>
            </w:pPr>
            <w:r>
              <w:rPr>
                <w:rFonts w:ascii="Arial" w:cs="Arial" w:eastAsia="Arial" w:hAnsi="Arial"/>
                <w:sz w:val="16"/>
                <w:szCs w:val="16"/>
                <w:b w:val="1"/>
                <w:bCs w:val="1"/>
                <w:color w:val="auto"/>
                <w:w w:val="86"/>
              </w:rPr>
              <w:t>Houston</w:t>
            </w:r>
          </w:p>
        </w:tc>
        <w:tc>
          <w:tcPr>
            <w:tcW w:w="2480" w:type="dxa"/>
            <w:vAlign w:val="bottom"/>
          </w:tcPr>
          <w:p>
            <w:pPr>
              <w:ind w:left="58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05"/>
              <w:spacing w:after="0"/>
              <w:rPr>
                <w:sz w:val="20"/>
                <w:szCs w:val="20"/>
                <w:color w:val="auto"/>
              </w:rPr>
            </w:pPr>
            <w:r>
              <w:rPr>
                <w:rFonts w:ascii="Arial" w:cs="Arial" w:eastAsia="Arial" w:hAnsi="Arial"/>
                <w:sz w:val="16"/>
                <w:szCs w:val="16"/>
                <w:b w:val="1"/>
                <w:bCs w:val="1"/>
                <w:color w:val="auto"/>
                <w:w w:val="89"/>
              </w:rPr>
              <w:t>77002</w:t>
            </w:r>
          </w:p>
        </w:tc>
      </w:tr>
      <w:tr>
        <w:trPr>
          <w:trHeight w:val="206"/>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25"/>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80" w:type="dxa"/>
            <w:vAlign w:val="bottom"/>
          </w:tcPr>
          <w:p>
            <w:pPr>
              <w:jc w:val="center"/>
              <w:ind w:right="140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5"/>
                <w:szCs w:val="15"/>
                <w:color w:val="auto"/>
              </w:rPr>
            </w:pPr>
          </w:p>
        </w:tc>
      </w:tr>
      <w:tr>
        <w:trPr>
          <w:trHeight w:val="444"/>
        </w:trPr>
        <w:tc>
          <w:tcPr>
            <w:tcW w:w="340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Commission file number 1-3187</w:t>
            </w:r>
          </w:p>
        </w:tc>
        <w:tc>
          <w:tcPr>
            <w:tcW w:w="2260" w:type="dxa"/>
            <w:vAlign w:val="bottom"/>
          </w:tcPr>
          <w:p>
            <w:pPr>
              <w:spacing w:after="0"/>
              <w:rPr>
                <w:sz w:val="24"/>
                <w:szCs w:val="24"/>
                <w:color w:val="auto"/>
              </w:rPr>
            </w:pPr>
          </w:p>
        </w:tc>
      </w:tr>
      <w:tr>
        <w:trPr>
          <w:trHeight w:val="395"/>
        </w:trPr>
        <w:tc>
          <w:tcPr>
            <w:tcW w:w="9400" w:type="dxa"/>
            <w:vAlign w:val="bottom"/>
            <w:gridSpan w:val="4"/>
          </w:tcPr>
          <w:p>
            <w:pPr>
              <w:jc w:val="center"/>
              <w:ind w:left="855"/>
              <w:spacing w:after="0"/>
              <w:rPr>
                <w:sz w:val="20"/>
                <w:szCs w:val="20"/>
                <w:color w:val="auto"/>
              </w:rPr>
            </w:pPr>
            <w:r>
              <w:rPr>
                <w:rFonts w:ascii="Arial" w:cs="Arial" w:eastAsia="Arial" w:hAnsi="Arial"/>
                <w:sz w:val="28"/>
                <w:szCs w:val="28"/>
                <w:b w:val="1"/>
                <w:bCs w:val="1"/>
                <w:color w:val="auto"/>
                <w:w w:val="93"/>
              </w:rPr>
              <w:t>CenterPoint Energy Houston Electric, LLC</w:t>
            </w:r>
          </w:p>
        </w:tc>
      </w:tr>
      <w:tr>
        <w:trPr>
          <w:trHeight w:val="243"/>
        </w:trPr>
        <w:tc>
          <w:tcPr>
            <w:tcW w:w="3400" w:type="dxa"/>
            <w:vAlign w:val="bottom"/>
          </w:tcPr>
          <w:p>
            <w:pPr>
              <w:spacing w:after="0"/>
              <w:rPr>
                <w:sz w:val="21"/>
                <w:szCs w:val="21"/>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2260" w:type="dxa"/>
            <w:vAlign w:val="bottom"/>
          </w:tcPr>
          <w:p>
            <w:pPr>
              <w:spacing w:after="0"/>
              <w:rPr>
                <w:sz w:val="21"/>
                <w:szCs w:val="21"/>
                <w:color w:val="auto"/>
              </w:rPr>
            </w:pPr>
          </w:p>
        </w:tc>
      </w:tr>
      <w:tr>
        <w:trPr>
          <w:trHeight w:val="345"/>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tcPr>
          <w:p>
            <w:pPr>
              <w:jc w:val="center"/>
              <w:ind w:left="125"/>
              <w:spacing w:after="0"/>
              <w:rPr>
                <w:sz w:val="20"/>
                <w:szCs w:val="20"/>
                <w:color w:val="auto"/>
              </w:rPr>
            </w:pPr>
            <w:r>
              <w:rPr>
                <w:rFonts w:ascii="Arial" w:cs="Arial" w:eastAsia="Arial" w:hAnsi="Arial"/>
                <w:sz w:val="16"/>
                <w:szCs w:val="16"/>
                <w:b w:val="1"/>
                <w:bCs w:val="1"/>
                <w:color w:val="auto"/>
                <w:w w:val="91"/>
              </w:rPr>
              <w:t>22-3865106</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98"/>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80"/>
              <w:spacing w:after="0"/>
              <w:rPr>
                <w:sz w:val="20"/>
                <w:szCs w:val="20"/>
                <w:color w:val="auto"/>
              </w:rPr>
            </w:pPr>
            <w:r>
              <w:rPr>
                <w:rFonts w:ascii="Arial" w:cs="Arial" w:eastAsia="Arial" w:hAnsi="Arial"/>
                <w:sz w:val="16"/>
                <w:szCs w:val="16"/>
                <w:b w:val="1"/>
                <w:bCs w:val="1"/>
                <w:color w:val="auto"/>
                <w:w w:val="86"/>
              </w:rPr>
              <w:t>Houston</w:t>
            </w:r>
          </w:p>
        </w:tc>
        <w:tc>
          <w:tcPr>
            <w:tcW w:w="2480" w:type="dxa"/>
            <w:vAlign w:val="bottom"/>
          </w:tcPr>
          <w:p>
            <w:pPr>
              <w:ind w:left="58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05"/>
              <w:spacing w:after="0"/>
              <w:rPr>
                <w:sz w:val="20"/>
                <w:szCs w:val="20"/>
                <w:color w:val="auto"/>
              </w:rPr>
            </w:pPr>
            <w:r>
              <w:rPr>
                <w:rFonts w:ascii="Arial" w:cs="Arial" w:eastAsia="Arial" w:hAnsi="Arial"/>
                <w:sz w:val="16"/>
                <w:szCs w:val="16"/>
                <w:b w:val="1"/>
                <w:bCs w:val="1"/>
                <w:color w:val="auto"/>
                <w:w w:val="89"/>
              </w:rPr>
              <w:t>77002</w:t>
            </w:r>
          </w:p>
        </w:tc>
      </w:tr>
      <w:tr>
        <w:trPr>
          <w:trHeight w:val="206"/>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25"/>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80" w:type="dxa"/>
            <w:vAlign w:val="bottom"/>
          </w:tcPr>
          <w:p>
            <w:pPr>
              <w:jc w:val="center"/>
              <w:ind w:right="140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93"/>
        </w:trPr>
        <w:tc>
          <w:tcPr>
            <w:tcW w:w="3400" w:type="dxa"/>
            <w:vAlign w:val="bottom"/>
          </w:tcPr>
          <w:p>
            <w:pPr>
              <w:spacing w:after="0"/>
              <w:rPr>
                <w:sz w:val="16"/>
                <w:szCs w:val="16"/>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6"/>
                <w:szCs w:val="16"/>
                <w:color w:val="auto"/>
              </w:rPr>
            </w:pPr>
          </w:p>
        </w:tc>
      </w:tr>
      <w:tr>
        <w:trPr>
          <w:trHeight w:val="431"/>
        </w:trPr>
        <w:tc>
          <w:tcPr>
            <w:tcW w:w="340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Commission file number 1-13265</w:t>
            </w:r>
          </w:p>
        </w:tc>
        <w:tc>
          <w:tcPr>
            <w:tcW w:w="2260" w:type="dxa"/>
            <w:vAlign w:val="bottom"/>
          </w:tcPr>
          <w:p>
            <w:pPr>
              <w:spacing w:after="0"/>
              <w:rPr>
                <w:sz w:val="24"/>
                <w:szCs w:val="24"/>
                <w:color w:val="auto"/>
              </w:rPr>
            </w:pPr>
          </w:p>
        </w:tc>
      </w:tr>
      <w:tr>
        <w:trPr>
          <w:trHeight w:val="408"/>
        </w:trPr>
        <w:tc>
          <w:tcPr>
            <w:tcW w:w="9400" w:type="dxa"/>
            <w:vAlign w:val="bottom"/>
            <w:gridSpan w:val="4"/>
          </w:tcPr>
          <w:p>
            <w:pPr>
              <w:jc w:val="center"/>
              <w:ind w:left="855"/>
              <w:spacing w:after="0"/>
              <w:rPr>
                <w:sz w:val="20"/>
                <w:szCs w:val="20"/>
                <w:color w:val="auto"/>
              </w:rPr>
            </w:pPr>
            <w:r>
              <w:rPr>
                <w:rFonts w:ascii="Arial" w:cs="Arial" w:eastAsia="Arial" w:hAnsi="Arial"/>
                <w:sz w:val="28"/>
                <w:szCs w:val="28"/>
                <w:b w:val="1"/>
                <w:bCs w:val="1"/>
                <w:color w:val="auto"/>
                <w:w w:val="91"/>
              </w:rPr>
              <w:t>CenterPoint Energy Resources Corp.</w:t>
            </w:r>
          </w:p>
        </w:tc>
      </w:tr>
      <w:tr>
        <w:trPr>
          <w:trHeight w:val="230"/>
        </w:trPr>
        <w:tc>
          <w:tcPr>
            <w:tcW w:w="3400" w:type="dxa"/>
            <w:vAlign w:val="bottom"/>
          </w:tcPr>
          <w:p>
            <w:pPr>
              <w:spacing w:after="0"/>
              <w:rPr>
                <w:sz w:val="19"/>
                <w:szCs w:val="19"/>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2260" w:type="dxa"/>
            <w:vAlign w:val="bottom"/>
          </w:tcPr>
          <w:p>
            <w:pPr>
              <w:spacing w:after="0"/>
              <w:rPr>
                <w:sz w:val="19"/>
                <w:szCs w:val="19"/>
                <w:color w:val="auto"/>
              </w:rPr>
            </w:pPr>
          </w:p>
        </w:tc>
      </w:tr>
      <w:tr>
        <w:trPr>
          <w:trHeight w:val="345"/>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tcPr>
          <w:p>
            <w:pPr>
              <w:jc w:val="center"/>
              <w:ind w:left="105"/>
              <w:spacing w:after="0"/>
              <w:rPr>
                <w:sz w:val="20"/>
                <w:szCs w:val="20"/>
                <w:color w:val="auto"/>
              </w:rPr>
            </w:pPr>
            <w:r>
              <w:rPr>
                <w:rFonts w:ascii="Arial" w:cs="Arial" w:eastAsia="Arial" w:hAnsi="Arial"/>
                <w:sz w:val="16"/>
                <w:szCs w:val="16"/>
                <w:b w:val="1"/>
                <w:bCs w:val="1"/>
                <w:color w:val="auto"/>
                <w:w w:val="88"/>
              </w:rPr>
              <w:t>76-0511406</w:t>
            </w:r>
          </w:p>
        </w:tc>
      </w:tr>
      <w:tr>
        <w:trPr>
          <w:trHeight w:val="206"/>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98"/>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80"/>
              <w:spacing w:after="0"/>
              <w:rPr>
                <w:sz w:val="20"/>
                <w:szCs w:val="20"/>
                <w:color w:val="auto"/>
              </w:rPr>
            </w:pPr>
            <w:r>
              <w:rPr>
                <w:rFonts w:ascii="Arial" w:cs="Arial" w:eastAsia="Arial" w:hAnsi="Arial"/>
                <w:sz w:val="16"/>
                <w:szCs w:val="16"/>
                <w:b w:val="1"/>
                <w:bCs w:val="1"/>
                <w:color w:val="auto"/>
                <w:w w:val="86"/>
              </w:rPr>
              <w:t>Houston</w:t>
            </w:r>
          </w:p>
        </w:tc>
        <w:tc>
          <w:tcPr>
            <w:tcW w:w="2480" w:type="dxa"/>
            <w:vAlign w:val="bottom"/>
          </w:tcPr>
          <w:p>
            <w:pPr>
              <w:ind w:left="58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0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38"/>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80" w:type="dxa"/>
            <w:vAlign w:val="bottom"/>
          </w:tcPr>
          <w:p>
            <w:pPr>
              <w:jc w:val="center"/>
              <w:ind w:right="140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5"/>
                <w:szCs w:val="15"/>
                <w:color w:val="auto"/>
              </w:rPr>
            </w:pP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0"/>
                <w:szCs w:val="10"/>
                <w:color w:val="auto"/>
              </w:rPr>
            </w:pPr>
          </w:p>
        </w:tc>
        <w:tc>
          <w:tcPr>
            <w:tcW w:w="2060" w:type="dxa"/>
            <w:vAlign w:val="bottom"/>
            <w:gridSpan w:val="2"/>
          </w:tcPr>
          <w:p>
            <w:pPr>
              <w:jc w:val="center"/>
              <w:ind w:right="1580"/>
              <w:spacing w:after="0"/>
              <w:rPr>
                <w:sz w:val="20"/>
                <w:szCs w:val="20"/>
                <w:color w:val="auto"/>
              </w:rPr>
            </w:pPr>
            <w:r>
              <w:rPr>
                <w:rFonts w:ascii="Arial" w:cs="Arial" w:eastAsia="Arial" w:hAnsi="Arial"/>
                <w:sz w:val="11"/>
                <w:szCs w:val="11"/>
                <w:b w:val="1"/>
                <w:bCs w:val="1"/>
                <w:color w:val="auto"/>
                <w:w w:val="88"/>
              </w:rPr>
              <w:t>Registrant</w:t>
            </w:r>
          </w:p>
        </w:tc>
        <w:tc>
          <w:tcPr>
            <w:tcW w:w="1380" w:type="dxa"/>
            <w:vAlign w:val="bottom"/>
          </w:tcPr>
          <w:p>
            <w:pPr>
              <w:spacing w:after="0"/>
              <w:rPr>
                <w:sz w:val="10"/>
                <w:szCs w:val="10"/>
                <w:color w:val="auto"/>
              </w:rPr>
            </w:pPr>
          </w:p>
        </w:tc>
        <w:tc>
          <w:tcPr>
            <w:tcW w:w="2600" w:type="dxa"/>
            <w:vAlign w:val="bottom"/>
            <w:gridSpan w:val="2"/>
          </w:tcPr>
          <w:p>
            <w:pPr>
              <w:jc w:val="center"/>
              <w:ind w:right="1800"/>
              <w:spacing w:after="0"/>
              <w:rPr>
                <w:sz w:val="20"/>
                <w:szCs w:val="20"/>
                <w:color w:val="auto"/>
              </w:rPr>
            </w:pPr>
            <w:r>
              <w:rPr>
                <w:rFonts w:ascii="Arial" w:cs="Arial" w:eastAsia="Arial" w:hAnsi="Arial"/>
                <w:sz w:val="11"/>
                <w:szCs w:val="11"/>
                <w:b w:val="1"/>
                <w:bCs w:val="1"/>
                <w:color w:val="auto"/>
                <w:w w:val="84"/>
              </w:rPr>
              <w:t>Title of each class</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6"/>
              </w:rPr>
              <w:t>Trading Symbol(s)</w:t>
            </w:r>
          </w:p>
        </w:tc>
        <w:tc>
          <w:tcPr>
            <w:tcW w:w="2880" w:type="dxa"/>
            <w:vAlign w:val="bottom"/>
            <w:gridSpan w:val="3"/>
          </w:tcPr>
          <w:p>
            <w:pPr>
              <w:jc w:val="center"/>
              <w:ind w:left="267"/>
              <w:spacing w:after="0"/>
              <w:rPr>
                <w:sz w:val="20"/>
                <w:szCs w:val="20"/>
                <w:color w:val="auto"/>
              </w:rPr>
            </w:pPr>
            <w:r>
              <w:rPr>
                <w:rFonts w:ascii="Arial" w:cs="Arial" w:eastAsia="Arial" w:hAnsi="Arial"/>
                <w:sz w:val="11"/>
                <w:szCs w:val="11"/>
                <w:b w:val="1"/>
                <w:bCs w:val="1"/>
                <w:color w:val="auto"/>
                <w:w w:val="84"/>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5"/>
        </w:trPr>
        <w:tc>
          <w:tcPr>
            <w:tcW w:w="3540" w:type="dxa"/>
            <w:vAlign w:val="bottom"/>
            <w:gridSpan w:val="3"/>
          </w:tcPr>
          <w:p>
            <w:pPr>
              <w:jc w:val="center"/>
              <w:ind w:right="80"/>
              <w:spacing w:after="0"/>
              <w:rPr>
                <w:sz w:val="20"/>
                <w:szCs w:val="20"/>
                <w:color w:val="auto"/>
              </w:rPr>
            </w:pPr>
            <w:r>
              <w:rPr>
                <w:rFonts w:ascii="Arial" w:cs="Arial" w:eastAsia="Arial" w:hAnsi="Arial"/>
                <w:sz w:val="14"/>
                <w:szCs w:val="14"/>
                <w:color w:val="auto"/>
                <w:w w:val="90"/>
              </w:rPr>
              <w:t>CenterPoint Energy, Inc.</w:t>
            </w:r>
          </w:p>
        </w:tc>
        <w:tc>
          <w:tcPr>
            <w:tcW w:w="3980" w:type="dxa"/>
            <w:vAlign w:val="bottom"/>
            <w:gridSpan w:val="3"/>
          </w:tcPr>
          <w:p>
            <w:pPr>
              <w:jc w:val="center"/>
              <w:ind w:right="420"/>
              <w:spacing w:after="0"/>
              <w:rPr>
                <w:sz w:val="20"/>
                <w:szCs w:val="20"/>
                <w:color w:val="auto"/>
              </w:rPr>
            </w:pPr>
            <w:r>
              <w:rPr>
                <w:rFonts w:ascii="Arial" w:cs="Arial" w:eastAsia="Arial" w:hAnsi="Arial"/>
                <w:sz w:val="14"/>
                <w:szCs w:val="14"/>
                <w:color w:val="auto"/>
                <w:w w:val="91"/>
              </w:rPr>
              <w:t>Common Stock, $0.01 par value</w:t>
            </w: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CNP</w:t>
            </w:r>
          </w:p>
        </w:tc>
        <w:tc>
          <w:tcPr>
            <w:tcW w:w="620" w:type="dxa"/>
            <w:vAlign w:val="bottom"/>
          </w:tcPr>
          <w:p>
            <w:pPr>
              <w:spacing w:after="0"/>
              <w:rPr>
                <w:sz w:val="16"/>
                <w:szCs w:val="16"/>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The New York Stock Exchange</w:t>
            </w:r>
          </w:p>
        </w:tc>
      </w:tr>
      <w:tr>
        <w:trPr>
          <w:trHeight w:val="199"/>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NYSE Chicago</w:t>
            </w:r>
          </w:p>
        </w:tc>
      </w:tr>
      <w:tr>
        <w:trPr>
          <w:trHeight w:val="199"/>
        </w:trPr>
        <w:tc>
          <w:tcPr>
            <w:tcW w:w="3540" w:type="dxa"/>
            <w:vAlign w:val="bottom"/>
            <w:gridSpan w:val="3"/>
          </w:tcPr>
          <w:p>
            <w:pPr>
              <w:jc w:val="center"/>
              <w:ind w:right="80"/>
              <w:spacing w:after="0"/>
              <w:rPr>
                <w:sz w:val="20"/>
                <w:szCs w:val="20"/>
                <w:color w:val="auto"/>
              </w:rPr>
            </w:pPr>
            <w:r>
              <w:rPr>
                <w:rFonts w:ascii="Arial" w:cs="Arial" w:eastAsia="Arial" w:hAnsi="Arial"/>
                <w:sz w:val="14"/>
                <w:szCs w:val="14"/>
                <w:color w:val="auto"/>
                <w:w w:val="94"/>
              </w:rPr>
              <w:t>CenterPoint Energy Houston Electric, LLC</w:t>
            </w:r>
          </w:p>
        </w:tc>
        <w:tc>
          <w:tcPr>
            <w:tcW w:w="3980" w:type="dxa"/>
            <w:vAlign w:val="bottom"/>
            <w:gridSpan w:val="3"/>
          </w:tcPr>
          <w:p>
            <w:pPr>
              <w:jc w:val="center"/>
              <w:ind w:right="420"/>
              <w:spacing w:after="0"/>
              <w:rPr>
                <w:sz w:val="20"/>
                <w:szCs w:val="20"/>
                <w:color w:val="auto"/>
              </w:rPr>
            </w:pPr>
            <w:r>
              <w:rPr>
                <w:rFonts w:ascii="Arial" w:cs="Arial" w:eastAsia="Arial" w:hAnsi="Arial"/>
                <w:sz w:val="14"/>
                <w:szCs w:val="14"/>
                <w:color w:val="auto"/>
                <w:w w:val="91"/>
              </w:rPr>
              <w:t>6.95% General Mortgage Bonds due 2033</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n/a</w:t>
            </w:r>
          </w:p>
        </w:tc>
        <w:tc>
          <w:tcPr>
            <w:tcW w:w="620" w:type="dxa"/>
            <w:vAlign w:val="bottom"/>
          </w:tcPr>
          <w:p>
            <w:pPr>
              <w:spacing w:after="0"/>
              <w:rPr>
                <w:sz w:val="17"/>
                <w:szCs w:val="17"/>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The New York Stock Exchange</w:t>
            </w:r>
          </w:p>
        </w:tc>
      </w:tr>
      <w:tr>
        <w:trPr>
          <w:trHeight w:val="186"/>
        </w:trPr>
        <w:tc>
          <w:tcPr>
            <w:tcW w:w="3540" w:type="dxa"/>
            <w:vAlign w:val="bottom"/>
            <w:gridSpan w:val="3"/>
          </w:tcPr>
          <w:p>
            <w:pPr>
              <w:jc w:val="center"/>
              <w:ind w:right="80"/>
              <w:spacing w:after="0"/>
              <w:rPr>
                <w:sz w:val="20"/>
                <w:szCs w:val="20"/>
                <w:color w:val="auto"/>
              </w:rPr>
            </w:pPr>
            <w:r>
              <w:rPr>
                <w:rFonts w:ascii="Arial" w:cs="Arial" w:eastAsia="Arial" w:hAnsi="Arial"/>
                <w:sz w:val="14"/>
                <w:szCs w:val="14"/>
                <w:color w:val="auto"/>
                <w:w w:val="90"/>
              </w:rPr>
              <w:t>CenterPoint Energy Resources Corp.</w:t>
            </w:r>
          </w:p>
        </w:tc>
        <w:tc>
          <w:tcPr>
            <w:tcW w:w="3980" w:type="dxa"/>
            <w:vAlign w:val="bottom"/>
            <w:gridSpan w:val="3"/>
          </w:tcPr>
          <w:p>
            <w:pPr>
              <w:jc w:val="center"/>
              <w:ind w:right="420"/>
              <w:spacing w:after="0"/>
              <w:rPr>
                <w:sz w:val="20"/>
                <w:szCs w:val="20"/>
                <w:color w:val="auto"/>
              </w:rPr>
            </w:pPr>
            <w:r>
              <w:rPr>
                <w:rFonts w:ascii="Arial" w:cs="Arial" w:eastAsia="Arial" w:hAnsi="Arial"/>
                <w:sz w:val="14"/>
                <w:szCs w:val="14"/>
                <w:color w:val="auto"/>
                <w:w w:val="90"/>
              </w:rPr>
              <w:t>6.625% Senior Notes due 2037</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n/a</w:t>
            </w:r>
          </w:p>
        </w:tc>
        <w:tc>
          <w:tcPr>
            <w:tcW w:w="620" w:type="dxa"/>
            <w:vAlign w:val="bottom"/>
          </w:tcPr>
          <w:p>
            <w:pPr>
              <w:spacing w:after="0"/>
              <w:rPr>
                <w:sz w:val="16"/>
                <w:szCs w:val="16"/>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The New York Stock Exchange</w:t>
            </w:r>
          </w:p>
        </w:tc>
      </w:tr>
      <w:tr>
        <w:trPr>
          <w:trHeight w:val="1107"/>
        </w:trPr>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1" w:name="page2"/>
    <w:bookmarkEnd w:id="1"/>
    <w:p>
      <w:pPr>
        <w:spacing w:after="0" w:line="34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r>
        <w:trPr>
          <w:trHeight w:val="237"/>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bl>
    <w:p>
      <w:pPr>
        <w:spacing w:after="0" w:line="29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r>
        <w:trPr>
          <w:trHeight w:val="237"/>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bl>
    <w:p>
      <w:pPr>
        <w:spacing w:after="0" w:line="298"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460" w:type="dxa"/>
            <w:vAlign w:val="bottom"/>
          </w:tcPr>
          <w:p>
            <w:pPr>
              <w:jc w:val="center"/>
              <w:ind w:left="1109"/>
              <w:spacing w:after="0"/>
              <w:rPr>
                <w:sz w:val="20"/>
                <w:szCs w:val="20"/>
                <w:color w:val="auto"/>
              </w:rPr>
            </w:pPr>
            <w:r>
              <w:rPr>
                <w:rFonts w:ascii="Arial" w:cs="Arial" w:eastAsia="Arial" w:hAnsi="Arial"/>
                <w:sz w:val="14"/>
                <w:szCs w:val="14"/>
                <w:b w:val="1"/>
                <w:bCs w:val="1"/>
                <w:color w:val="auto"/>
                <w:w w:val="90"/>
              </w:rPr>
              <w:t>Large accelerated</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Accelerated filer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Non-accelerated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Smaller reporting</w:t>
            </w:r>
          </w:p>
        </w:tc>
        <w:tc>
          <w:tcPr>
            <w:tcW w:w="1160" w:type="dxa"/>
            <w:vAlign w:val="bottom"/>
          </w:tcPr>
          <w:p>
            <w:pPr>
              <w:jc w:val="center"/>
              <w:ind w:left="29"/>
              <w:spacing w:after="0"/>
              <w:rPr>
                <w:sz w:val="20"/>
                <w:szCs w:val="20"/>
                <w:color w:val="auto"/>
              </w:rPr>
            </w:pPr>
            <w:r>
              <w:rPr>
                <w:rFonts w:ascii="Arial" w:cs="Arial" w:eastAsia="Arial" w:hAnsi="Arial"/>
                <w:sz w:val="14"/>
                <w:szCs w:val="14"/>
                <w:b w:val="1"/>
                <w:bCs w:val="1"/>
                <w:color w:val="auto"/>
                <w:w w:val="92"/>
              </w:rPr>
              <w:t>Emerging growth</w:t>
            </w: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6"/>
                <w:szCs w:val="16"/>
                <w:color w:val="auto"/>
              </w:rPr>
            </w:pPr>
          </w:p>
        </w:tc>
        <w:tc>
          <w:tcPr>
            <w:tcW w:w="2460" w:type="dxa"/>
            <w:vAlign w:val="bottom"/>
          </w:tcPr>
          <w:p>
            <w:pPr>
              <w:jc w:val="center"/>
              <w:ind w:left="1089"/>
              <w:spacing w:after="0"/>
              <w:rPr>
                <w:sz w:val="20"/>
                <w:szCs w:val="20"/>
                <w:color w:val="auto"/>
              </w:rPr>
            </w:pPr>
            <w:r>
              <w:rPr>
                <w:rFonts w:ascii="Arial" w:cs="Arial" w:eastAsia="Arial" w:hAnsi="Arial"/>
                <w:sz w:val="14"/>
                <w:szCs w:val="14"/>
                <w:b w:val="1"/>
                <w:bCs w:val="1"/>
                <w:color w:val="auto"/>
              </w:rPr>
              <w:t>filer</w:t>
            </w:r>
          </w:p>
        </w:tc>
        <w:tc>
          <w:tcPr>
            <w:tcW w:w="126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filer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1160" w:type="dxa"/>
            <w:vAlign w:val="bottom"/>
          </w:tcPr>
          <w:p>
            <w:pPr>
              <w:jc w:val="center"/>
              <w:ind w:left="29"/>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331"/>
        </w:trPr>
        <w:tc>
          <w:tcPr>
            <w:tcW w:w="37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460" w:type="dxa"/>
            <w:vAlign w:val="bottom"/>
          </w:tcPr>
          <w:p>
            <w:pPr>
              <w:jc w:val="center"/>
              <w:ind w:left="1089"/>
              <w:spacing w:after="0" w:line="141" w:lineRule="exact"/>
              <w:rPr>
                <w:sz w:val="20"/>
                <w:szCs w:val="20"/>
                <w:color w:val="auto"/>
              </w:rPr>
            </w:pPr>
            <w:r>
              <w:rPr>
                <w:rFonts w:ascii="MS PGothic" w:cs="MS PGothic" w:eastAsia="MS PGothic" w:hAnsi="MS PGothic"/>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rPr>
                <w:sz w:val="20"/>
                <w:szCs w:val="20"/>
                <w:color w:val="auto"/>
              </w:rPr>
            </w:pPr>
            <w:r>
              <w:rPr>
                <w:rFonts w:ascii="Arial" w:cs="Arial" w:eastAsia="Arial" w:hAnsi="Arial"/>
                <w:sz w:val="14"/>
                <w:szCs w:val="14"/>
                <w:color w:val="auto"/>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6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05"/>
        </w:trPr>
        <w:tc>
          <w:tcPr>
            <w:tcW w:w="37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460" w:type="dxa"/>
            <w:vAlign w:val="bottom"/>
          </w:tcPr>
          <w:p>
            <w:pPr>
              <w:jc w:val="center"/>
              <w:ind w:left="1109"/>
              <w:spacing w:after="0"/>
              <w:rPr>
                <w:sz w:val="20"/>
                <w:szCs w:val="20"/>
                <w:color w:val="auto"/>
              </w:rPr>
            </w:pPr>
            <w:r>
              <w:rPr>
                <w:rFonts w:ascii="Arial" w:cs="Arial" w:eastAsia="Arial" w:hAnsi="Arial"/>
                <w:sz w:val="14"/>
                <w:szCs w:val="14"/>
                <w:color w:val="auto"/>
              </w:rPr>
              <w:t>o</w:t>
            </w:r>
          </w:p>
        </w:tc>
        <w:tc>
          <w:tcPr>
            <w:tcW w:w="126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6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2"/>
        </w:trPr>
        <w:tc>
          <w:tcPr>
            <w:tcW w:w="37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460" w:type="dxa"/>
            <w:vAlign w:val="bottom"/>
          </w:tcPr>
          <w:p>
            <w:pPr>
              <w:jc w:val="center"/>
              <w:ind w:left="1109"/>
              <w:spacing w:after="0"/>
              <w:rPr>
                <w:sz w:val="20"/>
                <w:szCs w:val="20"/>
                <w:color w:val="auto"/>
              </w:rPr>
            </w:pPr>
            <w:r>
              <w:rPr>
                <w:rFonts w:ascii="Arial" w:cs="Arial" w:eastAsia="Arial" w:hAnsi="Arial"/>
                <w:sz w:val="14"/>
                <w:szCs w:val="14"/>
                <w:color w:val="auto"/>
              </w:rPr>
              <w:t>o</w:t>
            </w:r>
          </w:p>
        </w:tc>
        <w:tc>
          <w:tcPr>
            <w:tcW w:w="126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6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8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40"/>
              <w:spacing w:after="0"/>
              <w:rPr>
                <w:sz w:val="20"/>
                <w:szCs w:val="20"/>
                <w:color w:val="auto"/>
              </w:rPr>
            </w:pPr>
            <w:r>
              <w:rPr>
                <w:rFonts w:ascii="Arial" w:cs="Arial" w:eastAsia="Arial" w:hAnsi="Arial"/>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448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40"/>
              <w:spacing w:after="0"/>
              <w:rPr>
                <w:sz w:val="20"/>
                <w:szCs w:val="20"/>
                <w:color w:val="auto"/>
              </w:rPr>
            </w:pPr>
            <w:r>
              <w:rPr>
                <w:rFonts w:ascii="Arial" w:cs="Arial" w:eastAsia="Arial" w:hAnsi="Arial"/>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3"/>
        </w:trPr>
        <w:tc>
          <w:tcPr>
            <w:tcW w:w="448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40"/>
              <w:spacing w:after="0"/>
              <w:rPr>
                <w:sz w:val="20"/>
                <w:szCs w:val="20"/>
                <w:color w:val="auto"/>
              </w:rPr>
            </w:pPr>
            <w:r>
              <w:rPr>
                <w:rFonts w:ascii="Arial" w:cs="Arial" w:eastAsia="Arial" w:hAnsi="Arial"/>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July 19, 2023:</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Arial" w:cs="Arial" w:eastAsia="Arial" w:hAnsi="Arial"/>
                <w:sz w:val="16"/>
                <w:szCs w:val="16"/>
                <w:color w:val="auto"/>
              </w:rPr>
              <w:t>CenterPoint Energy, Inc.</w:t>
            </w:r>
          </w:p>
        </w:tc>
        <w:tc>
          <w:tcPr>
            <w:tcW w:w="1540" w:type="dxa"/>
            <w:vAlign w:val="bottom"/>
          </w:tcPr>
          <w:p>
            <w:pPr>
              <w:jc w:val="center"/>
              <w:ind w:left="340"/>
              <w:spacing w:after="0"/>
              <w:rPr>
                <w:sz w:val="20"/>
                <w:szCs w:val="20"/>
                <w:color w:val="auto"/>
              </w:rPr>
            </w:pPr>
            <w:r>
              <w:rPr>
                <w:rFonts w:ascii="Arial" w:cs="Arial" w:eastAsia="Arial" w:hAnsi="Arial"/>
                <w:sz w:val="16"/>
                <w:szCs w:val="16"/>
                <w:color w:val="auto"/>
                <w:w w:val="89"/>
              </w:rPr>
              <w:t>631,184,089</w:t>
            </w:r>
          </w:p>
        </w:tc>
        <w:tc>
          <w:tcPr>
            <w:tcW w:w="6080" w:type="dxa"/>
            <w:vAlign w:val="bottom"/>
          </w:tcPr>
          <w:p>
            <w:pPr>
              <w:ind w:left="180"/>
              <w:spacing w:after="0"/>
              <w:rPr>
                <w:sz w:val="20"/>
                <w:szCs w:val="20"/>
                <w:color w:val="auto"/>
              </w:rPr>
            </w:pPr>
            <w:r>
              <w:rPr>
                <w:rFonts w:ascii="Arial" w:cs="Arial" w:eastAsia="Arial" w:hAnsi="Arial"/>
                <w:sz w:val="16"/>
                <w:szCs w:val="16"/>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68"/>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Houston Electric, LLC</w:t>
            </w:r>
          </w:p>
        </w:tc>
        <w:tc>
          <w:tcPr>
            <w:tcW w:w="1540" w:type="dxa"/>
            <w:vAlign w:val="bottom"/>
            <w:vMerge w:val="restart"/>
          </w:tcPr>
          <w:p>
            <w:pPr>
              <w:jc w:val="center"/>
              <w:ind w:left="340"/>
              <w:spacing w:after="0"/>
              <w:rPr>
                <w:sz w:val="20"/>
                <w:szCs w:val="20"/>
                <w:color w:val="auto"/>
              </w:rPr>
            </w:pPr>
            <w:r>
              <w:rPr>
                <w:rFonts w:ascii="Arial" w:cs="Arial" w:eastAsia="Arial" w:hAnsi="Arial"/>
                <w:sz w:val="16"/>
                <w:szCs w:val="16"/>
                <w:color w:val="auto"/>
                <w:w w:val="89"/>
              </w:rPr>
              <w:t>1,000</w:t>
            </w:r>
          </w:p>
        </w:tc>
        <w:tc>
          <w:tcPr>
            <w:tcW w:w="6080" w:type="dxa"/>
            <w:vAlign w:val="bottom"/>
          </w:tcPr>
          <w:p>
            <w:pPr>
              <w:ind w:left="180"/>
              <w:spacing w:after="0" w:line="168" w:lineRule="exact"/>
              <w:rPr>
                <w:sz w:val="20"/>
                <w:szCs w:val="20"/>
                <w:color w:val="auto"/>
              </w:rPr>
            </w:pPr>
            <w:r>
              <w:rPr>
                <w:rFonts w:ascii="Arial" w:cs="Arial" w:eastAsia="Arial" w:hAnsi="Arial"/>
                <w:sz w:val="16"/>
                <w:szCs w:val="16"/>
                <w:color w:val="auto"/>
                <w:w w:val="92"/>
              </w:rPr>
              <w:t>common shares outstanding, all held by Utility Holding, LLC, a wholly-owned subsidiary of</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6080" w:type="dxa"/>
            <w:vAlign w:val="bottom"/>
          </w:tcPr>
          <w:p>
            <w:pPr>
              <w:ind w:left="180"/>
              <w:spacing w:after="0"/>
              <w:rPr>
                <w:sz w:val="20"/>
                <w:szCs w:val="20"/>
                <w:color w:val="auto"/>
              </w:rPr>
            </w:pPr>
            <w:r>
              <w:rPr>
                <w:rFonts w:ascii="Arial" w:cs="Arial" w:eastAsia="Arial" w:hAnsi="Arial"/>
                <w:sz w:val="16"/>
                <w:szCs w:val="16"/>
                <w:color w:val="auto"/>
              </w:rPr>
              <w:t>CenterPoint Energy, Inc.</w:t>
            </w:r>
          </w:p>
        </w:tc>
        <w:tc>
          <w:tcPr>
            <w:tcW w:w="0" w:type="dxa"/>
            <w:vAlign w:val="bottom"/>
          </w:tcPr>
          <w:p>
            <w:pPr>
              <w:spacing w:after="0"/>
              <w:rPr>
                <w:sz w:val="1"/>
                <w:szCs w:val="1"/>
                <w:color w:val="auto"/>
              </w:rPr>
            </w:pPr>
          </w:p>
        </w:tc>
      </w:tr>
      <w:tr>
        <w:trPr>
          <w:trHeight w:val="168"/>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Resources Corp.</w:t>
            </w:r>
          </w:p>
        </w:tc>
        <w:tc>
          <w:tcPr>
            <w:tcW w:w="1540" w:type="dxa"/>
            <w:vAlign w:val="bottom"/>
            <w:vMerge w:val="restart"/>
          </w:tcPr>
          <w:p>
            <w:pPr>
              <w:jc w:val="center"/>
              <w:ind w:left="340"/>
              <w:spacing w:after="0"/>
              <w:rPr>
                <w:sz w:val="20"/>
                <w:szCs w:val="20"/>
                <w:color w:val="auto"/>
              </w:rPr>
            </w:pPr>
            <w:r>
              <w:rPr>
                <w:rFonts w:ascii="Arial" w:cs="Arial" w:eastAsia="Arial" w:hAnsi="Arial"/>
                <w:sz w:val="16"/>
                <w:szCs w:val="16"/>
                <w:color w:val="auto"/>
                <w:w w:val="89"/>
              </w:rPr>
              <w:t>1,000</w:t>
            </w:r>
          </w:p>
        </w:tc>
        <w:tc>
          <w:tcPr>
            <w:tcW w:w="6080" w:type="dxa"/>
            <w:vAlign w:val="bottom"/>
          </w:tcPr>
          <w:p>
            <w:pPr>
              <w:ind w:left="180"/>
              <w:spacing w:after="0" w:line="168" w:lineRule="exact"/>
              <w:rPr>
                <w:sz w:val="20"/>
                <w:szCs w:val="20"/>
                <w:color w:val="auto"/>
              </w:rPr>
            </w:pPr>
            <w:r>
              <w:rPr>
                <w:rFonts w:ascii="Arial" w:cs="Arial" w:eastAsia="Arial" w:hAnsi="Arial"/>
                <w:sz w:val="16"/>
                <w:szCs w:val="16"/>
                <w:color w:val="auto"/>
                <w:w w:val="97"/>
              </w:rPr>
              <w:t>shares of common stock outstanding, all held by Utility Holding, LLC, a wholly-owned</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6080" w:type="dxa"/>
            <w:vAlign w:val="bottom"/>
          </w:tcPr>
          <w:p>
            <w:pPr>
              <w:ind w:left="180"/>
              <w:spacing w:after="0"/>
              <w:rPr>
                <w:sz w:val="20"/>
                <w:szCs w:val="20"/>
                <w:color w:val="auto"/>
              </w:rPr>
            </w:pPr>
            <w:r>
              <w:rPr>
                <w:rFonts w:ascii="Arial" w:cs="Arial" w:eastAsia="Arial" w:hAnsi="Arial"/>
                <w:sz w:val="16"/>
                <w:szCs w:val="16"/>
                <w:color w:val="auto"/>
              </w:rPr>
              <w:t>subsidiary of 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551180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53"/>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6580" w:type="dxa"/>
            <w:vAlign w:val="bottom"/>
            <w:gridSpan w:val="27"/>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3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186"/>
        </w:trPr>
        <w:tc>
          <w:tcPr>
            <w:tcW w:w="1020" w:type="dxa"/>
            <w:vAlign w:val="bottom"/>
            <w:shd w:val="clear" w:color="auto" w:fill="CCEEFF"/>
          </w:tcPr>
          <w:p>
            <w:pPr>
              <w:ind w:left="280"/>
              <w:spacing w:after="0" w:line="187" w:lineRule="exact"/>
              <w:rPr>
                <w:sz w:val="20"/>
                <w:szCs w:val="20"/>
                <w:color w:val="auto"/>
              </w:rPr>
            </w:pPr>
            <w:r>
              <w:rPr>
                <w:rFonts w:ascii="Arial" w:cs="Arial" w:eastAsia="Arial" w:hAnsi="Arial"/>
                <w:sz w:val="18"/>
                <w:szCs w:val="18"/>
                <w:color w:val="auto"/>
              </w:rPr>
              <w:t>Item 1.</w:t>
            </w:r>
          </w:p>
        </w:tc>
        <w:tc>
          <w:tcPr>
            <w:tcW w:w="6580" w:type="dxa"/>
            <w:vAlign w:val="bottom"/>
            <w:gridSpan w:val="27"/>
            <w:shd w:val="clear" w:color="auto" w:fill="CCEEFF"/>
          </w:tcPr>
          <w:p>
            <w:pPr>
              <w:ind w:left="240"/>
              <w:spacing w:after="0" w:line="187" w:lineRule="exact"/>
              <w:rPr>
                <w:sz w:val="20"/>
                <w:szCs w:val="20"/>
                <w:color w:val="auto"/>
              </w:rPr>
            </w:pPr>
            <w:r>
              <w:rPr>
                <w:rFonts w:ascii="Arial" w:cs="Arial" w:eastAsia="Arial" w:hAnsi="Arial"/>
                <w:sz w:val="18"/>
                <w:szCs w:val="18"/>
                <w:color w:val="0000FF"/>
              </w:rPr>
              <w:t>Financial Statements</w:t>
            </w:r>
          </w:p>
        </w:tc>
        <w:tc>
          <w:tcPr>
            <w:tcW w:w="3400" w:type="dxa"/>
            <w:vAlign w:val="bottom"/>
            <w:gridSpan w:val="2"/>
            <w:shd w:val="clear" w:color="auto" w:fill="CCEEFF"/>
          </w:tcPr>
          <w:p>
            <w:pPr>
              <w:jc w:val="center"/>
              <w:ind w:left="3231"/>
              <w:spacing w:after="0" w:line="187" w:lineRule="exact"/>
              <w:rPr>
                <w:sz w:val="20"/>
                <w:szCs w:val="20"/>
                <w:color w:val="auto"/>
              </w:rPr>
            </w:pPr>
            <w:r>
              <w:rPr>
                <w:rFonts w:ascii="Arial" w:cs="Arial" w:eastAsia="Arial" w:hAnsi="Arial"/>
                <w:sz w:val="18"/>
                <w:szCs w:val="18"/>
                <w:color w:val="0000FF"/>
                <w:w w:val="79"/>
              </w:rPr>
              <w:t>1</w:t>
            </w:r>
          </w:p>
        </w:tc>
        <w:tc>
          <w:tcPr>
            <w:tcW w:w="240" w:type="dxa"/>
            <w:vAlign w:val="bottom"/>
            <w:tcBorders>
              <w:left w:val="single" w:sz="8" w:color="CCEEFF"/>
            </w:tcBorders>
            <w:shd w:val="clear" w:color="auto" w:fill="CCEEFF"/>
          </w:tcPr>
          <w:p>
            <w:pPr>
              <w:spacing w:after="0"/>
              <w:rPr>
                <w:sz w:val="16"/>
                <w:szCs w:val="16"/>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right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righ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33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6"/>
        </w:trPr>
        <w:tc>
          <w:tcPr>
            <w:tcW w:w="1020" w:type="dxa"/>
            <w:vAlign w:val="bottom"/>
          </w:tcPr>
          <w:p>
            <w:pPr>
              <w:spacing w:after="0"/>
              <w:rPr>
                <w:sz w:val="16"/>
                <w:szCs w:val="16"/>
                <w:color w:val="auto"/>
              </w:rPr>
            </w:pPr>
          </w:p>
        </w:tc>
        <w:tc>
          <w:tcPr>
            <w:tcW w:w="6580" w:type="dxa"/>
            <w:vAlign w:val="bottom"/>
            <w:gridSpan w:val="27"/>
          </w:tcPr>
          <w:p>
            <w:pPr>
              <w:ind w:left="240"/>
              <w:spacing w:after="0" w:line="186" w:lineRule="exact"/>
              <w:rPr>
                <w:sz w:val="20"/>
                <w:szCs w:val="20"/>
                <w:color w:val="auto"/>
              </w:rPr>
            </w:pPr>
            <w:r>
              <w:rPr>
                <w:rFonts w:ascii="Arial" w:cs="Arial" w:eastAsia="Arial" w:hAnsi="Arial"/>
                <w:sz w:val="18"/>
                <w:szCs w:val="18"/>
                <w:color w:val="0000FF"/>
              </w:rPr>
              <w:t xml:space="preserve">CenterPoint Energy, Inc. Financial Statements </w:t>
            </w:r>
            <w:r>
              <w:rPr>
                <w:rFonts w:ascii="Arial" w:cs="Arial" w:eastAsia="Arial" w:hAnsi="Arial"/>
                <w:sz w:val="18"/>
                <w:szCs w:val="18"/>
                <w:color w:val="000000"/>
              </w:rPr>
              <w:t>(unaudited)</w:t>
            </w:r>
          </w:p>
        </w:tc>
        <w:tc>
          <w:tcPr>
            <w:tcW w:w="3400" w:type="dxa"/>
            <w:vAlign w:val="bottom"/>
            <w:gridSpan w:val="2"/>
          </w:tcPr>
          <w:p>
            <w:pPr>
              <w:jc w:val="center"/>
              <w:ind w:left="3231"/>
              <w:spacing w:after="0" w:line="186" w:lineRule="exact"/>
              <w:rPr>
                <w:sz w:val="20"/>
                <w:szCs w:val="20"/>
                <w:color w:val="auto"/>
              </w:rPr>
            </w:pPr>
            <w:r>
              <w:rPr>
                <w:rFonts w:ascii="Arial" w:cs="Arial" w:eastAsia="Arial" w:hAnsi="Arial"/>
                <w:sz w:val="18"/>
                <w:szCs w:val="18"/>
                <w:color w:val="0000FF"/>
                <w:w w:val="79"/>
              </w:rPr>
              <w:t>1</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r>
      <w:tr>
        <w:trPr>
          <w:trHeight w:val="196"/>
        </w:trPr>
        <w:tc>
          <w:tcPr>
            <w:tcW w:w="1020" w:type="dxa"/>
            <w:vAlign w:val="bottom"/>
            <w:shd w:val="clear" w:color="auto" w:fill="CCEEFF"/>
          </w:tcPr>
          <w:p>
            <w:pPr>
              <w:spacing w:after="0"/>
              <w:rPr>
                <w:sz w:val="17"/>
                <w:szCs w:val="17"/>
                <w:color w:val="auto"/>
              </w:rPr>
            </w:pPr>
          </w:p>
        </w:tc>
        <w:tc>
          <w:tcPr>
            <w:tcW w:w="6580" w:type="dxa"/>
            <w:vAlign w:val="bottom"/>
            <w:gridSpan w:val="27"/>
            <w:shd w:val="clear" w:color="auto" w:fill="CCEEFF"/>
          </w:tcPr>
          <w:p>
            <w:pPr>
              <w:ind w:left="240"/>
              <w:spacing w:after="0" w:line="196" w:lineRule="exact"/>
              <w:rPr>
                <w:sz w:val="20"/>
                <w:szCs w:val="20"/>
                <w:color w:val="auto"/>
              </w:rPr>
            </w:pPr>
            <w:r>
              <w:rPr>
                <w:rFonts w:ascii="Arial" w:cs="Arial" w:eastAsia="Arial" w:hAnsi="Arial"/>
                <w:sz w:val="18"/>
                <w:szCs w:val="18"/>
                <w:color w:val="0000FF"/>
              </w:rPr>
              <w:t xml:space="preserve">CenterPoint Energy Houston Electric, LLC Financial Statements </w:t>
            </w:r>
            <w:r>
              <w:rPr>
                <w:rFonts w:ascii="Arial" w:cs="Arial" w:eastAsia="Arial" w:hAnsi="Arial"/>
                <w:sz w:val="18"/>
                <w:szCs w:val="18"/>
                <w:color w:val="000000"/>
              </w:rPr>
              <w:t>(unaudited)</w:t>
            </w:r>
          </w:p>
        </w:tc>
        <w:tc>
          <w:tcPr>
            <w:tcW w:w="3400" w:type="dxa"/>
            <w:vAlign w:val="bottom"/>
            <w:gridSpan w:val="2"/>
            <w:shd w:val="clear" w:color="auto" w:fill="CCEEFF"/>
          </w:tcPr>
          <w:p>
            <w:pPr>
              <w:jc w:val="center"/>
              <w:ind w:left="3231"/>
              <w:spacing w:after="0" w:line="196" w:lineRule="exact"/>
              <w:rPr>
                <w:sz w:val="20"/>
                <w:szCs w:val="20"/>
                <w:color w:val="auto"/>
              </w:rPr>
            </w:pPr>
            <w:r>
              <w:rPr>
                <w:rFonts w:ascii="Arial" w:cs="Arial" w:eastAsia="Arial" w:hAnsi="Arial"/>
                <w:sz w:val="18"/>
                <w:szCs w:val="18"/>
                <w:color w:val="0000FF"/>
                <w:w w:val="79"/>
              </w:rPr>
              <w:t>7</w:t>
            </w:r>
          </w:p>
        </w:tc>
        <w:tc>
          <w:tcPr>
            <w:tcW w:w="240" w:type="dxa"/>
            <w:vAlign w:val="bottom"/>
            <w:tcBorders>
              <w:left w:val="single" w:sz="8" w:color="CCEEFF"/>
            </w:tcBorders>
            <w:shd w:val="clear" w:color="auto" w:fill="CCEEFF"/>
          </w:tcPr>
          <w:p>
            <w:pPr>
              <w:spacing w:after="0"/>
              <w:rPr>
                <w:sz w:val="17"/>
                <w:szCs w:val="17"/>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6580" w:type="dxa"/>
            <w:vAlign w:val="bottom"/>
            <w:gridSpan w:val="27"/>
          </w:tcPr>
          <w:p>
            <w:pPr>
              <w:ind w:left="240"/>
              <w:spacing w:after="0" w:line="186" w:lineRule="exact"/>
              <w:rPr>
                <w:sz w:val="20"/>
                <w:szCs w:val="20"/>
                <w:color w:val="auto"/>
              </w:rPr>
            </w:pPr>
            <w:r>
              <w:rPr>
                <w:rFonts w:ascii="Arial" w:cs="Arial" w:eastAsia="Arial" w:hAnsi="Arial"/>
                <w:sz w:val="18"/>
                <w:szCs w:val="18"/>
                <w:color w:val="0000FF"/>
              </w:rPr>
              <w:t xml:space="preserve">CenterPoint Energy Resources Corp. Financial Statements </w:t>
            </w:r>
            <w:r>
              <w:rPr>
                <w:rFonts w:ascii="Arial" w:cs="Arial" w:eastAsia="Arial" w:hAnsi="Arial"/>
                <w:sz w:val="18"/>
                <w:szCs w:val="18"/>
                <w:color w:val="000000"/>
              </w:rPr>
              <w:t>(unaudited)</w:t>
            </w: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13</w:t>
            </w:r>
          </w:p>
        </w:tc>
        <w:tc>
          <w:tcPr>
            <w:tcW w:w="240" w:type="dxa"/>
            <w:vAlign w:val="bottom"/>
          </w:tcPr>
          <w:p>
            <w:pPr>
              <w:spacing w:after="0"/>
              <w:rPr>
                <w:sz w:val="16"/>
                <w:szCs w:val="16"/>
                <w:color w:val="auto"/>
              </w:rPr>
            </w:pPr>
          </w:p>
        </w:tc>
      </w:tr>
      <w:tr>
        <w:trPr>
          <w:trHeight w:val="33"/>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6"/>
        </w:trPr>
        <w:tc>
          <w:tcPr>
            <w:tcW w:w="1020" w:type="dxa"/>
            <w:vAlign w:val="bottom"/>
            <w:shd w:val="clear" w:color="auto" w:fill="CCEEFF"/>
          </w:tcPr>
          <w:p>
            <w:pPr>
              <w:spacing w:after="0"/>
              <w:rPr>
                <w:sz w:val="16"/>
                <w:szCs w:val="16"/>
                <w:color w:val="auto"/>
              </w:rPr>
            </w:pPr>
          </w:p>
        </w:tc>
        <w:tc>
          <w:tcPr>
            <w:tcW w:w="6580" w:type="dxa"/>
            <w:vAlign w:val="bottom"/>
            <w:gridSpan w:val="27"/>
            <w:shd w:val="clear" w:color="auto" w:fill="CCEEFF"/>
          </w:tcPr>
          <w:p>
            <w:pPr>
              <w:ind w:left="240"/>
              <w:spacing w:after="0" w:line="186" w:lineRule="exact"/>
              <w:rPr>
                <w:sz w:val="20"/>
                <w:szCs w:val="20"/>
                <w:color w:val="auto"/>
              </w:rPr>
            </w:pPr>
            <w:r>
              <w:rPr>
                <w:rFonts w:ascii="Arial" w:cs="Arial" w:eastAsia="Arial" w:hAnsi="Arial"/>
                <w:sz w:val="18"/>
                <w:szCs w:val="18"/>
                <w:color w:val="0000FF"/>
              </w:rPr>
              <w:t xml:space="preserve">Combined Notes to Interim Condensed Financial Statements </w:t>
            </w:r>
            <w:r>
              <w:rPr>
                <w:rFonts w:ascii="Arial" w:cs="Arial" w:eastAsia="Arial" w:hAnsi="Arial"/>
                <w:sz w:val="18"/>
                <w:szCs w:val="18"/>
                <w:color w:val="000000"/>
              </w:rPr>
              <w:t>(unaudited)</w:t>
            </w:r>
          </w:p>
        </w:tc>
        <w:tc>
          <w:tcPr>
            <w:tcW w:w="3400" w:type="dxa"/>
            <w:vAlign w:val="bottom"/>
            <w:gridSpan w:val="2"/>
            <w:shd w:val="clear" w:color="auto" w:fill="CCEEFF"/>
          </w:tcPr>
          <w:p>
            <w:pPr>
              <w:jc w:val="center"/>
              <w:ind w:left="3131"/>
              <w:spacing w:after="0" w:line="186" w:lineRule="exact"/>
              <w:rPr>
                <w:sz w:val="20"/>
                <w:szCs w:val="20"/>
                <w:color w:val="auto"/>
              </w:rPr>
            </w:pPr>
            <w:r>
              <w:rPr>
                <w:rFonts w:ascii="Arial" w:cs="Arial" w:eastAsia="Arial" w:hAnsi="Arial"/>
                <w:sz w:val="18"/>
                <w:szCs w:val="18"/>
                <w:color w:val="0000FF"/>
                <w:w w:val="89"/>
              </w:rPr>
              <w:t>19</w:t>
            </w:r>
          </w:p>
        </w:tc>
        <w:tc>
          <w:tcPr>
            <w:tcW w:w="240" w:type="dxa"/>
            <w:vAlign w:val="bottom"/>
            <w:tcBorders>
              <w:left w:val="single" w:sz="8" w:color="CCEEFF"/>
            </w:tcBorders>
            <w:shd w:val="clear" w:color="auto" w:fill="CCEEFF"/>
          </w:tcPr>
          <w:p>
            <w:pPr>
              <w:spacing w:after="0"/>
              <w:rPr>
                <w:sz w:val="16"/>
                <w:szCs w:val="16"/>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80" w:type="dxa"/>
            <w:vAlign w:val="bottom"/>
            <w:tcBorders>
              <w:left w:val="single" w:sz="8" w:color="0000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line="186" w:lineRule="exact"/>
              <w:rPr>
                <w:sz w:val="20"/>
                <w:szCs w:val="20"/>
                <w:color w:val="auto"/>
              </w:rPr>
            </w:pPr>
            <w:r>
              <w:rPr>
                <w:rFonts w:ascii="Arial" w:cs="Arial" w:eastAsia="Arial" w:hAnsi="Arial"/>
                <w:sz w:val="18"/>
                <w:szCs w:val="18"/>
                <w:color w:val="0000FF"/>
                <w:w w:val="99"/>
              </w:rPr>
              <w:t>(1)</w:t>
            </w:r>
          </w:p>
        </w:tc>
        <w:tc>
          <w:tcPr>
            <w:tcW w:w="3800" w:type="dxa"/>
            <w:vAlign w:val="bottom"/>
            <w:gridSpan w:val="21"/>
          </w:tcPr>
          <w:p>
            <w:pPr>
              <w:ind w:left="20"/>
              <w:spacing w:after="0" w:line="186" w:lineRule="exact"/>
              <w:rPr>
                <w:sz w:val="20"/>
                <w:szCs w:val="20"/>
                <w:color w:val="auto"/>
              </w:rPr>
            </w:pPr>
            <w:r>
              <w:rPr>
                <w:rFonts w:ascii="Arial" w:cs="Arial" w:eastAsia="Arial" w:hAnsi="Arial"/>
                <w:sz w:val="18"/>
                <w:szCs w:val="18"/>
                <w:color w:val="0000FF"/>
              </w:rPr>
              <w:t>Background and Basis of Presentation</w:t>
            </w:r>
          </w:p>
        </w:tc>
        <w:tc>
          <w:tcPr>
            <w:tcW w:w="2120" w:type="dxa"/>
            <w:vAlign w:val="bottom"/>
            <w:gridSpan w:val="3"/>
          </w:tcPr>
          <w:p>
            <w:pPr>
              <w:spacing w:after="0"/>
              <w:rPr>
                <w:sz w:val="16"/>
                <w:szCs w:val="16"/>
                <w:color w:val="auto"/>
              </w:rPr>
            </w:pP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19</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6"/>
        </w:trPr>
        <w:tc>
          <w:tcPr>
            <w:tcW w:w="10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0000FF"/>
                <w:w w:val="99"/>
              </w:rPr>
              <w:t>(2)</w:t>
            </w:r>
          </w:p>
        </w:tc>
        <w:tc>
          <w:tcPr>
            <w:tcW w:w="2460" w:type="dxa"/>
            <w:vAlign w:val="bottom"/>
            <w:tcBorders>
              <w:right w:val="single" w:sz="8" w:color="CCEEFF"/>
            </w:tcBorders>
            <w:gridSpan w:val="15"/>
            <w:shd w:val="clear" w:color="auto" w:fill="CCEEFF"/>
          </w:tcPr>
          <w:p>
            <w:pPr>
              <w:ind w:left="20"/>
              <w:spacing w:after="0" w:line="196" w:lineRule="exact"/>
              <w:rPr>
                <w:sz w:val="20"/>
                <w:szCs w:val="20"/>
                <w:color w:val="auto"/>
              </w:rPr>
            </w:pPr>
            <w:r>
              <w:rPr>
                <w:rFonts w:ascii="Arial" w:cs="Arial" w:eastAsia="Arial" w:hAnsi="Arial"/>
                <w:sz w:val="18"/>
                <w:szCs w:val="18"/>
                <w:color w:val="0000FF"/>
                <w:w w:val="88"/>
              </w:rPr>
              <w:t>New Accounting Pronouncements</w:t>
            </w:r>
          </w:p>
        </w:tc>
        <w:tc>
          <w:tcPr>
            <w:tcW w:w="260" w:type="dxa"/>
            <w:vAlign w:val="bottom"/>
            <w:shd w:val="clear" w:color="auto" w:fill="CCEEFF"/>
          </w:tcPr>
          <w:p>
            <w:pPr>
              <w:spacing w:after="0"/>
              <w:rPr>
                <w:sz w:val="17"/>
                <w:szCs w:val="17"/>
                <w:color w:val="auto"/>
              </w:rPr>
            </w:pPr>
          </w:p>
        </w:tc>
        <w:tc>
          <w:tcPr>
            <w:tcW w:w="3200" w:type="dxa"/>
            <w:vAlign w:val="bottom"/>
            <w:tcBorders>
              <w:left w:val="single" w:sz="8" w:color="CCEEFF"/>
            </w:tcBorders>
            <w:gridSpan w:val="8"/>
            <w:shd w:val="clear" w:color="auto" w:fill="CCEEFF"/>
          </w:tcPr>
          <w:p>
            <w:pPr>
              <w:spacing w:after="0"/>
              <w:rPr>
                <w:sz w:val="17"/>
                <w:szCs w:val="17"/>
                <w:color w:val="auto"/>
              </w:rPr>
            </w:pPr>
          </w:p>
        </w:tc>
        <w:tc>
          <w:tcPr>
            <w:tcW w:w="3400" w:type="dxa"/>
            <w:vAlign w:val="bottom"/>
            <w:gridSpan w:val="2"/>
            <w:shd w:val="clear" w:color="auto" w:fill="CCEEFF"/>
          </w:tcPr>
          <w:p>
            <w:pPr>
              <w:jc w:val="center"/>
              <w:ind w:left="3131"/>
              <w:spacing w:after="0" w:line="196" w:lineRule="exact"/>
              <w:rPr>
                <w:sz w:val="20"/>
                <w:szCs w:val="20"/>
                <w:color w:val="auto"/>
              </w:rPr>
            </w:pPr>
            <w:r>
              <w:rPr>
                <w:rFonts w:ascii="Arial" w:cs="Arial" w:eastAsia="Arial" w:hAnsi="Arial"/>
                <w:sz w:val="18"/>
                <w:szCs w:val="18"/>
                <w:color w:val="0000FF"/>
                <w:w w:val="89"/>
              </w:rPr>
              <w:t>20</w:t>
            </w:r>
          </w:p>
        </w:tc>
        <w:tc>
          <w:tcPr>
            <w:tcW w:w="240" w:type="dxa"/>
            <w:vAlign w:val="bottom"/>
            <w:tcBorders>
              <w:left w:val="single" w:sz="8" w:color="CCEEFF"/>
            </w:tcBorders>
            <w:shd w:val="clear" w:color="auto" w:fill="CCEEFF"/>
          </w:tcPr>
          <w:p>
            <w:pPr>
              <w:spacing w:after="0"/>
              <w:rPr>
                <w:sz w:val="17"/>
                <w:szCs w:val="17"/>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right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right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lef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33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6"/>
        </w:trPr>
        <w:tc>
          <w:tcPr>
            <w:tcW w:w="102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240" w:type="dxa"/>
            <w:vAlign w:val="bottom"/>
          </w:tcPr>
          <w:p>
            <w:pPr>
              <w:spacing w:after="0" w:line="186" w:lineRule="exact"/>
              <w:rPr>
                <w:sz w:val="20"/>
                <w:szCs w:val="20"/>
                <w:color w:val="auto"/>
              </w:rPr>
            </w:pPr>
            <w:r>
              <w:rPr>
                <w:rFonts w:ascii="Arial" w:cs="Arial" w:eastAsia="Arial" w:hAnsi="Arial"/>
                <w:sz w:val="18"/>
                <w:szCs w:val="18"/>
                <w:color w:val="0000FF"/>
                <w:w w:val="99"/>
              </w:rPr>
              <w:t>(3)</w:t>
            </w:r>
          </w:p>
        </w:tc>
        <w:tc>
          <w:tcPr>
            <w:tcW w:w="880" w:type="dxa"/>
            <w:vAlign w:val="bottom"/>
            <w:gridSpan w:val="4"/>
          </w:tcPr>
          <w:p>
            <w:pPr>
              <w:ind w:left="20"/>
              <w:spacing w:after="0" w:line="186" w:lineRule="exact"/>
              <w:rPr>
                <w:sz w:val="20"/>
                <w:szCs w:val="20"/>
                <w:color w:val="auto"/>
              </w:rPr>
            </w:pPr>
            <w:r>
              <w:rPr>
                <w:rFonts w:ascii="Arial" w:cs="Arial" w:eastAsia="Arial" w:hAnsi="Arial"/>
                <w:sz w:val="18"/>
                <w:szCs w:val="18"/>
                <w:color w:val="0000FF"/>
                <w:w w:val="89"/>
              </w:rPr>
              <w:t>Divestitures</w:t>
            </w:r>
          </w:p>
        </w:tc>
        <w:tc>
          <w:tcPr>
            <w:tcW w:w="1580" w:type="dxa"/>
            <w:vAlign w:val="bottom"/>
            <w:gridSpan w:val="11"/>
          </w:tcPr>
          <w:p>
            <w:pPr>
              <w:spacing w:after="0"/>
              <w:rPr>
                <w:sz w:val="16"/>
                <w:szCs w:val="16"/>
                <w:color w:val="auto"/>
              </w:rPr>
            </w:pPr>
          </w:p>
        </w:tc>
        <w:tc>
          <w:tcPr>
            <w:tcW w:w="3460" w:type="dxa"/>
            <w:vAlign w:val="bottom"/>
            <w:gridSpan w:val="9"/>
          </w:tcPr>
          <w:p>
            <w:pPr>
              <w:spacing w:after="0"/>
              <w:rPr>
                <w:sz w:val="16"/>
                <w:szCs w:val="16"/>
                <w:color w:val="auto"/>
              </w:rPr>
            </w:pP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20</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6"/>
        </w:trPr>
        <w:tc>
          <w:tcPr>
            <w:tcW w:w="10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0000FF"/>
                <w:w w:val="99"/>
              </w:rPr>
              <w:t>(4)</w:t>
            </w:r>
          </w:p>
        </w:tc>
        <w:tc>
          <w:tcPr>
            <w:tcW w:w="3980" w:type="dxa"/>
            <w:vAlign w:val="bottom"/>
            <w:tcBorders>
              <w:right w:val="single" w:sz="8" w:color="CCEEFF"/>
            </w:tcBorders>
            <w:gridSpan w:val="22"/>
            <w:shd w:val="clear" w:color="auto" w:fill="CCEEFF"/>
          </w:tcPr>
          <w:p>
            <w:pPr>
              <w:ind w:left="20"/>
              <w:spacing w:after="0" w:line="196" w:lineRule="exact"/>
              <w:rPr>
                <w:sz w:val="20"/>
                <w:szCs w:val="20"/>
                <w:color w:val="auto"/>
              </w:rPr>
            </w:pPr>
            <w:r>
              <w:rPr>
                <w:rFonts w:ascii="Arial" w:cs="Arial" w:eastAsia="Arial" w:hAnsi="Arial"/>
                <w:sz w:val="18"/>
                <w:szCs w:val="18"/>
                <w:color w:val="0000FF"/>
                <w:w w:val="90"/>
              </w:rPr>
              <w:t>Revenue Recognition and Allowance for Credit Losses</w:t>
            </w:r>
          </w:p>
        </w:tc>
        <w:tc>
          <w:tcPr>
            <w:tcW w:w="1940" w:type="dxa"/>
            <w:vAlign w:val="bottom"/>
            <w:gridSpan w:val="2"/>
            <w:shd w:val="clear" w:color="auto" w:fill="CCEEFF"/>
          </w:tcPr>
          <w:p>
            <w:pPr>
              <w:spacing w:after="0"/>
              <w:rPr>
                <w:sz w:val="17"/>
                <w:szCs w:val="17"/>
                <w:color w:val="auto"/>
              </w:rPr>
            </w:pPr>
          </w:p>
        </w:tc>
        <w:tc>
          <w:tcPr>
            <w:tcW w:w="3400" w:type="dxa"/>
            <w:vAlign w:val="bottom"/>
            <w:gridSpan w:val="2"/>
            <w:shd w:val="clear" w:color="auto" w:fill="CCEEFF"/>
          </w:tcPr>
          <w:p>
            <w:pPr>
              <w:jc w:val="center"/>
              <w:ind w:left="3131"/>
              <w:spacing w:after="0" w:line="196" w:lineRule="exact"/>
              <w:rPr>
                <w:sz w:val="20"/>
                <w:szCs w:val="20"/>
                <w:color w:val="auto"/>
              </w:rPr>
            </w:pPr>
            <w:r>
              <w:rPr>
                <w:rFonts w:ascii="Arial" w:cs="Arial" w:eastAsia="Arial" w:hAnsi="Arial"/>
                <w:sz w:val="18"/>
                <w:szCs w:val="18"/>
                <w:color w:val="0000FF"/>
                <w:w w:val="89"/>
              </w:rPr>
              <w:t>21</w:t>
            </w:r>
          </w:p>
        </w:tc>
        <w:tc>
          <w:tcPr>
            <w:tcW w:w="240" w:type="dxa"/>
            <w:vAlign w:val="bottom"/>
            <w:tcBorders>
              <w:left w:val="single" w:sz="8" w:color="CCEEFF"/>
            </w:tcBorders>
            <w:shd w:val="clear" w:color="auto" w:fill="CCEEFF"/>
          </w:tcPr>
          <w:p>
            <w:pPr>
              <w:spacing w:after="0"/>
              <w:rPr>
                <w:sz w:val="17"/>
                <w:szCs w:val="17"/>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80" w:type="dxa"/>
            <w:vAlign w:val="bottom"/>
            <w:tcBorders>
              <w:left w:val="single" w:sz="8" w:color="0000FF"/>
              <w:right w:val="single" w:sz="8" w:color="CCEE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240" w:type="dxa"/>
            <w:vAlign w:val="bottom"/>
          </w:tcPr>
          <w:p>
            <w:pPr>
              <w:spacing w:after="0" w:line="186" w:lineRule="exact"/>
              <w:rPr>
                <w:sz w:val="20"/>
                <w:szCs w:val="20"/>
                <w:color w:val="auto"/>
              </w:rPr>
            </w:pPr>
            <w:r>
              <w:rPr>
                <w:rFonts w:ascii="Arial" w:cs="Arial" w:eastAsia="Arial" w:hAnsi="Arial"/>
                <w:sz w:val="18"/>
                <w:szCs w:val="18"/>
                <w:color w:val="0000FF"/>
                <w:w w:val="99"/>
              </w:rPr>
              <w:t>(5)</w:t>
            </w:r>
          </w:p>
        </w:tc>
        <w:tc>
          <w:tcPr>
            <w:tcW w:w="3980" w:type="dxa"/>
            <w:vAlign w:val="bottom"/>
            <w:gridSpan w:val="22"/>
          </w:tcPr>
          <w:p>
            <w:pPr>
              <w:ind w:left="20"/>
              <w:spacing w:after="0" w:line="186" w:lineRule="exact"/>
              <w:rPr>
                <w:sz w:val="20"/>
                <w:szCs w:val="20"/>
                <w:color w:val="auto"/>
              </w:rPr>
            </w:pPr>
            <w:r>
              <w:rPr>
                <w:rFonts w:ascii="Arial" w:cs="Arial" w:eastAsia="Arial" w:hAnsi="Arial"/>
                <w:sz w:val="18"/>
                <w:szCs w:val="18"/>
                <w:color w:val="0000FF"/>
              </w:rPr>
              <w:t>Employee Benefit Plans</w:t>
            </w:r>
          </w:p>
        </w:tc>
        <w:tc>
          <w:tcPr>
            <w:tcW w:w="1940" w:type="dxa"/>
            <w:vAlign w:val="bottom"/>
            <w:gridSpan w:val="2"/>
          </w:tcPr>
          <w:p>
            <w:pPr>
              <w:spacing w:after="0"/>
              <w:rPr>
                <w:sz w:val="16"/>
                <w:szCs w:val="16"/>
                <w:color w:val="auto"/>
              </w:rPr>
            </w:pP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25</w:t>
            </w:r>
          </w:p>
        </w:tc>
        <w:tc>
          <w:tcPr>
            <w:tcW w:w="240" w:type="dxa"/>
            <w:vAlign w:val="bottom"/>
          </w:tcPr>
          <w:p>
            <w:pPr>
              <w:spacing w:after="0"/>
              <w:rPr>
                <w:sz w:val="16"/>
                <w:szCs w:val="16"/>
                <w:color w:val="auto"/>
              </w:rPr>
            </w:pPr>
          </w:p>
        </w:tc>
      </w:tr>
      <w:tr>
        <w:trPr>
          <w:trHeight w:val="33"/>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6"/>
        </w:trPr>
        <w:tc>
          <w:tcPr>
            <w:tcW w:w="10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rPr>
                <w:sz w:val="16"/>
                <w:szCs w:val="16"/>
                <w:color w:val="auto"/>
              </w:rPr>
            </w:pPr>
          </w:p>
        </w:tc>
        <w:tc>
          <w:tcPr>
            <w:tcW w:w="240" w:type="dxa"/>
            <w:vAlign w:val="bottom"/>
            <w:shd w:val="clear" w:color="auto" w:fill="CCEEFF"/>
          </w:tcPr>
          <w:p>
            <w:pPr>
              <w:spacing w:after="0" w:line="186" w:lineRule="exact"/>
              <w:rPr>
                <w:sz w:val="20"/>
                <w:szCs w:val="20"/>
                <w:color w:val="auto"/>
              </w:rPr>
            </w:pPr>
            <w:r>
              <w:rPr>
                <w:rFonts w:ascii="Arial" w:cs="Arial" w:eastAsia="Arial" w:hAnsi="Arial"/>
                <w:sz w:val="18"/>
                <w:szCs w:val="18"/>
                <w:color w:val="0000FF"/>
                <w:w w:val="99"/>
              </w:rPr>
              <w:t>(6)</w:t>
            </w:r>
          </w:p>
        </w:tc>
        <w:tc>
          <w:tcPr>
            <w:tcW w:w="1460" w:type="dxa"/>
            <w:vAlign w:val="bottom"/>
            <w:tcBorders>
              <w:right w:val="single" w:sz="8" w:color="CCEEFF"/>
            </w:tcBorders>
            <w:gridSpan w:val="7"/>
            <w:shd w:val="clear" w:color="auto" w:fill="CCEEFF"/>
          </w:tcPr>
          <w:p>
            <w:pPr>
              <w:ind w:left="20"/>
              <w:spacing w:after="0" w:line="186" w:lineRule="exact"/>
              <w:rPr>
                <w:sz w:val="20"/>
                <w:szCs w:val="20"/>
                <w:color w:val="auto"/>
              </w:rPr>
            </w:pPr>
            <w:r>
              <w:rPr>
                <w:rFonts w:ascii="Arial" w:cs="Arial" w:eastAsia="Arial" w:hAnsi="Arial"/>
                <w:sz w:val="18"/>
                <w:szCs w:val="18"/>
                <w:color w:val="0000FF"/>
                <w:w w:val="92"/>
              </w:rPr>
              <w:t>Regulatory Matters</w:t>
            </w:r>
          </w:p>
        </w:tc>
        <w:tc>
          <w:tcPr>
            <w:tcW w:w="4460" w:type="dxa"/>
            <w:vAlign w:val="bottom"/>
            <w:gridSpan w:val="17"/>
            <w:shd w:val="clear" w:color="auto" w:fill="CCEEFF"/>
          </w:tcPr>
          <w:p>
            <w:pPr>
              <w:spacing w:after="0"/>
              <w:rPr>
                <w:sz w:val="16"/>
                <w:szCs w:val="16"/>
                <w:color w:val="auto"/>
              </w:rPr>
            </w:pPr>
          </w:p>
        </w:tc>
        <w:tc>
          <w:tcPr>
            <w:tcW w:w="3400" w:type="dxa"/>
            <w:vAlign w:val="bottom"/>
            <w:gridSpan w:val="2"/>
            <w:shd w:val="clear" w:color="auto" w:fill="CCEEFF"/>
          </w:tcPr>
          <w:p>
            <w:pPr>
              <w:jc w:val="center"/>
              <w:ind w:left="3131"/>
              <w:spacing w:after="0" w:line="186" w:lineRule="exact"/>
              <w:rPr>
                <w:sz w:val="20"/>
                <w:szCs w:val="20"/>
                <w:color w:val="auto"/>
              </w:rPr>
            </w:pPr>
            <w:r>
              <w:rPr>
                <w:rFonts w:ascii="Arial" w:cs="Arial" w:eastAsia="Arial" w:hAnsi="Arial"/>
                <w:sz w:val="18"/>
                <w:szCs w:val="18"/>
                <w:color w:val="0000FF"/>
                <w:w w:val="89"/>
              </w:rPr>
              <w:t>26</w:t>
            </w:r>
          </w:p>
        </w:tc>
        <w:tc>
          <w:tcPr>
            <w:tcW w:w="240" w:type="dxa"/>
            <w:vAlign w:val="bottom"/>
            <w:tcBorders>
              <w:left w:val="single" w:sz="8" w:color="CCEEFF"/>
            </w:tcBorders>
            <w:shd w:val="clear" w:color="auto" w:fill="CCEEFF"/>
          </w:tcPr>
          <w:p>
            <w:pPr>
              <w:spacing w:after="0"/>
              <w:rPr>
                <w:sz w:val="16"/>
                <w:szCs w:val="16"/>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240" w:type="dxa"/>
            <w:vAlign w:val="bottom"/>
          </w:tcPr>
          <w:p>
            <w:pPr>
              <w:spacing w:after="0" w:line="186" w:lineRule="exact"/>
              <w:rPr>
                <w:sz w:val="20"/>
                <w:szCs w:val="20"/>
                <w:color w:val="auto"/>
              </w:rPr>
            </w:pPr>
            <w:r>
              <w:rPr>
                <w:rFonts w:ascii="Arial" w:cs="Arial" w:eastAsia="Arial" w:hAnsi="Arial"/>
                <w:sz w:val="18"/>
                <w:szCs w:val="18"/>
                <w:color w:val="0000FF"/>
                <w:w w:val="99"/>
              </w:rPr>
              <w:t>(7)</w:t>
            </w:r>
          </w:p>
        </w:tc>
        <w:tc>
          <w:tcPr>
            <w:tcW w:w="5920" w:type="dxa"/>
            <w:vAlign w:val="bottom"/>
            <w:gridSpan w:val="24"/>
          </w:tcPr>
          <w:p>
            <w:pPr>
              <w:ind w:left="20"/>
              <w:spacing w:after="0" w:line="186" w:lineRule="exact"/>
              <w:rPr>
                <w:sz w:val="20"/>
                <w:szCs w:val="20"/>
                <w:color w:val="auto"/>
              </w:rPr>
            </w:pPr>
            <w:r>
              <w:rPr>
                <w:rFonts w:ascii="Arial" w:cs="Arial" w:eastAsia="Arial" w:hAnsi="Arial"/>
                <w:sz w:val="18"/>
                <w:szCs w:val="18"/>
                <w:color w:val="0000FF"/>
              </w:rPr>
              <w:t>Derivative Instruments</w:t>
            </w: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6"/>
        </w:trPr>
        <w:tc>
          <w:tcPr>
            <w:tcW w:w="10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0000FF"/>
                <w:w w:val="99"/>
              </w:rPr>
              <w:t>(8)</w:t>
            </w:r>
          </w:p>
        </w:tc>
        <w:tc>
          <w:tcPr>
            <w:tcW w:w="5920" w:type="dxa"/>
            <w:vAlign w:val="bottom"/>
            <w:gridSpan w:val="24"/>
            <w:shd w:val="clear" w:color="auto" w:fill="CCEEFF"/>
          </w:tcPr>
          <w:p>
            <w:pPr>
              <w:ind w:left="20"/>
              <w:spacing w:after="0" w:line="196" w:lineRule="exact"/>
              <w:rPr>
                <w:sz w:val="20"/>
                <w:szCs w:val="20"/>
                <w:color w:val="auto"/>
              </w:rPr>
            </w:pPr>
            <w:r>
              <w:rPr>
                <w:rFonts w:ascii="Arial" w:cs="Arial" w:eastAsia="Arial" w:hAnsi="Arial"/>
                <w:sz w:val="18"/>
                <w:szCs w:val="18"/>
                <w:color w:val="0000FF"/>
              </w:rPr>
              <w:t>Fair Value Measurements</w:t>
            </w:r>
          </w:p>
        </w:tc>
        <w:tc>
          <w:tcPr>
            <w:tcW w:w="3400" w:type="dxa"/>
            <w:vAlign w:val="bottom"/>
            <w:gridSpan w:val="2"/>
            <w:shd w:val="clear" w:color="auto" w:fill="CCEEFF"/>
          </w:tcPr>
          <w:p>
            <w:pPr>
              <w:jc w:val="center"/>
              <w:ind w:left="3131"/>
              <w:spacing w:after="0" w:line="196" w:lineRule="exact"/>
              <w:rPr>
                <w:sz w:val="20"/>
                <w:szCs w:val="20"/>
                <w:color w:val="auto"/>
              </w:rPr>
            </w:pPr>
            <w:r>
              <w:rPr>
                <w:rFonts w:ascii="Arial" w:cs="Arial" w:eastAsia="Arial" w:hAnsi="Arial"/>
                <w:sz w:val="18"/>
                <w:szCs w:val="18"/>
                <w:color w:val="0000FF"/>
                <w:w w:val="89"/>
              </w:rPr>
              <w:t>31</w:t>
            </w:r>
          </w:p>
        </w:tc>
        <w:tc>
          <w:tcPr>
            <w:tcW w:w="240" w:type="dxa"/>
            <w:vAlign w:val="bottom"/>
            <w:tcBorders>
              <w:left w:val="single" w:sz="8" w:color="CCEEFF"/>
            </w:tcBorders>
            <w:shd w:val="clear" w:color="auto" w:fill="CCEEFF"/>
          </w:tcPr>
          <w:p>
            <w:pPr>
              <w:spacing w:after="0"/>
              <w:rPr>
                <w:sz w:val="17"/>
                <w:szCs w:val="17"/>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right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right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lef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33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6"/>
        </w:trPr>
        <w:tc>
          <w:tcPr>
            <w:tcW w:w="102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240" w:type="dxa"/>
            <w:vAlign w:val="bottom"/>
          </w:tcPr>
          <w:p>
            <w:pPr>
              <w:spacing w:after="0" w:line="186" w:lineRule="exact"/>
              <w:rPr>
                <w:sz w:val="20"/>
                <w:szCs w:val="20"/>
                <w:color w:val="auto"/>
              </w:rPr>
            </w:pPr>
            <w:r>
              <w:rPr>
                <w:rFonts w:ascii="Arial" w:cs="Arial" w:eastAsia="Arial" w:hAnsi="Arial"/>
                <w:sz w:val="18"/>
                <w:szCs w:val="18"/>
                <w:color w:val="0000FF"/>
                <w:w w:val="99"/>
              </w:rPr>
              <w:t>(9)</w:t>
            </w:r>
          </w:p>
        </w:tc>
        <w:tc>
          <w:tcPr>
            <w:tcW w:w="5920" w:type="dxa"/>
            <w:vAlign w:val="bottom"/>
            <w:gridSpan w:val="24"/>
          </w:tcPr>
          <w:p>
            <w:pPr>
              <w:ind w:left="20"/>
              <w:spacing w:after="0" w:line="186" w:lineRule="exact"/>
              <w:rPr>
                <w:sz w:val="20"/>
                <w:szCs w:val="20"/>
                <w:color w:val="auto"/>
              </w:rPr>
            </w:pPr>
            <w:r>
              <w:rPr>
                <w:rFonts w:ascii="Arial" w:cs="Arial" w:eastAsia="Arial" w:hAnsi="Arial"/>
                <w:sz w:val="18"/>
                <w:szCs w:val="18"/>
                <w:color w:val="0000FF"/>
              </w:rPr>
              <w:t>Goodwill and Other Intangibles</w:t>
            </w: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33</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6"/>
        </w:trPr>
        <w:tc>
          <w:tcPr>
            <w:tcW w:w="10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(10)</w:t>
            </w:r>
          </w:p>
        </w:tc>
        <w:tc>
          <w:tcPr>
            <w:tcW w:w="3900" w:type="dxa"/>
            <w:vAlign w:val="bottom"/>
            <w:tcBorders>
              <w:right w:val="single" w:sz="8" w:color="CCEEFF"/>
            </w:tcBorders>
            <w:gridSpan w:val="21"/>
            <w:shd w:val="clear" w:color="auto" w:fill="CCEEFF"/>
          </w:tcPr>
          <w:p>
            <w:pPr>
              <w:ind w:left="20"/>
              <w:spacing w:after="0" w:line="196" w:lineRule="exact"/>
              <w:rPr>
                <w:sz w:val="20"/>
                <w:szCs w:val="20"/>
                <w:color w:val="auto"/>
              </w:rPr>
            </w:pPr>
            <w:r>
              <w:rPr>
                <w:rFonts w:ascii="Arial" w:cs="Arial" w:eastAsia="Arial" w:hAnsi="Arial"/>
                <w:sz w:val="18"/>
                <w:szCs w:val="18"/>
                <w:color w:val="0000FF"/>
                <w:w w:val="89"/>
              </w:rPr>
              <w:t>Equity Securities and Indexed Debt Securities (ZENS)</w:t>
            </w:r>
          </w:p>
        </w:tc>
        <w:tc>
          <w:tcPr>
            <w:tcW w:w="1940" w:type="dxa"/>
            <w:vAlign w:val="bottom"/>
            <w:gridSpan w:val="2"/>
            <w:shd w:val="clear" w:color="auto" w:fill="CCEEFF"/>
          </w:tcPr>
          <w:p>
            <w:pPr>
              <w:spacing w:after="0"/>
              <w:rPr>
                <w:sz w:val="17"/>
                <w:szCs w:val="17"/>
                <w:color w:val="auto"/>
              </w:rPr>
            </w:pPr>
          </w:p>
        </w:tc>
        <w:tc>
          <w:tcPr>
            <w:tcW w:w="3400" w:type="dxa"/>
            <w:vAlign w:val="bottom"/>
            <w:gridSpan w:val="2"/>
            <w:shd w:val="clear" w:color="auto" w:fill="CCEEFF"/>
          </w:tcPr>
          <w:p>
            <w:pPr>
              <w:jc w:val="center"/>
              <w:ind w:left="3131"/>
              <w:spacing w:after="0" w:line="196" w:lineRule="exact"/>
              <w:rPr>
                <w:sz w:val="20"/>
                <w:szCs w:val="20"/>
                <w:color w:val="auto"/>
              </w:rPr>
            </w:pPr>
            <w:r>
              <w:rPr>
                <w:rFonts w:ascii="Arial" w:cs="Arial" w:eastAsia="Arial" w:hAnsi="Arial"/>
                <w:sz w:val="18"/>
                <w:szCs w:val="18"/>
                <w:color w:val="0000FF"/>
                <w:w w:val="89"/>
              </w:rPr>
              <w:t>34</w:t>
            </w:r>
          </w:p>
        </w:tc>
        <w:tc>
          <w:tcPr>
            <w:tcW w:w="240" w:type="dxa"/>
            <w:vAlign w:val="bottom"/>
            <w:tcBorders>
              <w:left w:val="single" w:sz="8" w:color="CCEEFF"/>
            </w:tcBorders>
            <w:shd w:val="clear" w:color="auto" w:fill="CCEEFF"/>
          </w:tcPr>
          <w:p>
            <w:pPr>
              <w:spacing w:after="0"/>
              <w:rPr>
                <w:sz w:val="17"/>
                <w:szCs w:val="17"/>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20" w:type="dxa"/>
            <w:vAlign w:val="bottom"/>
            <w:gridSpan w:val="23"/>
          </w:tcPr>
          <w:p>
            <w:pPr>
              <w:spacing w:after="0" w:line="186" w:lineRule="exact"/>
              <w:rPr>
                <w:sz w:val="20"/>
                <w:szCs w:val="20"/>
                <w:color w:val="auto"/>
              </w:rPr>
            </w:pPr>
            <w:r>
              <w:rPr>
                <w:rFonts w:ascii="Arial" w:cs="Arial" w:eastAsia="Arial" w:hAnsi="Arial"/>
                <w:sz w:val="18"/>
                <w:szCs w:val="18"/>
                <w:color w:val="0000FF"/>
              </w:rPr>
              <w:t>(11) Short-term Borrowings and Long-term Debt</w:t>
            </w:r>
          </w:p>
        </w:tc>
        <w:tc>
          <w:tcPr>
            <w:tcW w:w="1940" w:type="dxa"/>
            <w:vAlign w:val="bottom"/>
            <w:gridSpan w:val="2"/>
          </w:tcPr>
          <w:p>
            <w:pPr>
              <w:spacing w:after="0"/>
              <w:rPr>
                <w:sz w:val="16"/>
                <w:szCs w:val="16"/>
                <w:color w:val="auto"/>
              </w:rPr>
            </w:pP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35</w:t>
            </w:r>
          </w:p>
        </w:tc>
        <w:tc>
          <w:tcPr>
            <w:tcW w:w="240" w:type="dxa"/>
            <w:vAlign w:val="bottom"/>
          </w:tcPr>
          <w:p>
            <w:pPr>
              <w:spacing w:after="0"/>
              <w:rPr>
                <w:sz w:val="16"/>
                <w:szCs w:val="16"/>
                <w:color w:val="auto"/>
              </w:rPr>
            </w:pPr>
          </w:p>
        </w:tc>
      </w:tr>
      <w:tr>
        <w:trPr>
          <w:trHeight w:val="33"/>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6"/>
        </w:trPr>
        <w:tc>
          <w:tcPr>
            <w:tcW w:w="10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rPr>
                <w:sz w:val="16"/>
                <w:szCs w:val="16"/>
                <w:color w:val="auto"/>
              </w:rPr>
            </w:pPr>
          </w:p>
        </w:tc>
        <w:tc>
          <w:tcPr>
            <w:tcW w:w="320" w:type="dxa"/>
            <w:vAlign w:val="bottom"/>
            <w:gridSpan w:val="2"/>
            <w:shd w:val="clear" w:color="auto" w:fill="CCEEFF"/>
          </w:tcPr>
          <w:p>
            <w:pPr>
              <w:spacing w:after="0" w:line="186" w:lineRule="exact"/>
              <w:rPr>
                <w:sz w:val="20"/>
                <w:szCs w:val="20"/>
                <w:color w:val="auto"/>
              </w:rPr>
            </w:pPr>
            <w:r>
              <w:rPr>
                <w:rFonts w:ascii="Arial" w:cs="Arial" w:eastAsia="Arial" w:hAnsi="Arial"/>
                <w:sz w:val="18"/>
                <w:szCs w:val="18"/>
                <w:color w:val="0000FF"/>
                <w:w w:val="93"/>
              </w:rPr>
              <w:t>(12)</w:t>
            </w:r>
          </w:p>
        </w:tc>
        <w:tc>
          <w:tcPr>
            <w:tcW w:w="1020" w:type="dxa"/>
            <w:vAlign w:val="bottom"/>
            <w:tcBorders>
              <w:right w:val="single" w:sz="8" w:color="CCEEFF"/>
            </w:tcBorders>
            <w:gridSpan w:val="4"/>
            <w:shd w:val="clear" w:color="auto" w:fill="CCEEFF"/>
          </w:tcPr>
          <w:p>
            <w:pPr>
              <w:ind w:left="20"/>
              <w:spacing w:after="0" w:line="186" w:lineRule="exact"/>
              <w:rPr>
                <w:sz w:val="20"/>
                <w:szCs w:val="20"/>
                <w:color w:val="auto"/>
              </w:rPr>
            </w:pPr>
            <w:r>
              <w:rPr>
                <w:rFonts w:ascii="Arial" w:cs="Arial" w:eastAsia="Arial" w:hAnsi="Arial"/>
                <w:sz w:val="18"/>
                <w:szCs w:val="18"/>
                <w:color w:val="0000FF"/>
                <w:w w:val="84"/>
              </w:rPr>
              <w:t>Income Taxes</w:t>
            </w:r>
          </w:p>
        </w:tc>
        <w:tc>
          <w:tcPr>
            <w:tcW w:w="4820" w:type="dxa"/>
            <w:vAlign w:val="bottom"/>
            <w:gridSpan w:val="19"/>
            <w:shd w:val="clear" w:color="auto" w:fill="CCEEFF"/>
          </w:tcPr>
          <w:p>
            <w:pPr>
              <w:spacing w:after="0"/>
              <w:rPr>
                <w:sz w:val="16"/>
                <w:szCs w:val="16"/>
                <w:color w:val="auto"/>
              </w:rPr>
            </w:pPr>
          </w:p>
        </w:tc>
        <w:tc>
          <w:tcPr>
            <w:tcW w:w="3400" w:type="dxa"/>
            <w:vAlign w:val="bottom"/>
            <w:gridSpan w:val="2"/>
            <w:shd w:val="clear" w:color="auto" w:fill="CCEEFF"/>
          </w:tcPr>
          <w:p>
            <w:pPr>
              <w:jc w:val="center"/>
              <w:ind w:left="3131"/>
              <w:spacing w:after="0" w:line="186" w:lineRule="exact"/>
              <w:rPr>
                <w:sz w:val="20"/>
                <w:szCs w:val="20"/>
                <w:color w:val="auto"/>
              </w:rPr>
            </w:pPr>
            <w:r>
              <w:rPr>
                <w:rFonts w:ascii="Arial" w:cs="Arial" w:eastAsia="Arial" w:hAnsi="Arial"/>
                <w:sz w:val="18"/>
                <w:szCs w:val="18"/>
                <w:color w:val="0000FF"/>
                <w:w w:val="89"/>
              </w:rPr>
              <w:t>38</w:t>
            </w:r>
          </w:p>
        </w:tc>
        <w:tc>
          <w:tcPr>
            <w:tcW w:w="240" w:type="dxa"/>
            <w:vAlign w:val="bottom"/>
            <w:tcBorders>
              <w:left w:val="single" w:sz="8" w:color="CCEEFF"/>
            </w:tcBorders>
            <w:shd w:val="clear" w:color="auto" w:fill="CCEEFF"/>
          </w:tcPr>
          <w:p>
            <w:pPr>
              <w:spacing w:after="0"/>
              <w:rPr>
                <w:sz w:val="16"/>
                <w:szCs w:val="16"/>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320" w:type="dxa"/>
            <w:vAlign w:val="bottom"/>
            <w:gridSpan w:val="2"/>
          </w:tcPr>
          <w:p>
            <w:pPr>
              <w:spacing w:after="0" w:line="186" w:lineRule="exact"/>
              <w:rPr>
                <w:sz w:val="20"/>
                <w:szCs w:val="20"/>
                <w:color w:val="auto"/>
              </w:rPr>
            </w:pPr>
            <w:r>
              <w:rPr>
                <w:rFonts w:ascii="Arial" w:cs="Arial" w:eastAsia="Arial" w:hAnsi="Arial"/>
                <w:sz w:val="18"/>
                <w:szCs w:val="18"/>
                <w:color w:val="0000FF"/>
                <w:w w:val="93"/>
              </w:rPr>
              <w:t>(13)</w:t>
            </w:r>
          </w:p>
        </w:tc>
        <w:tc>
          <w:tcPr>
            <w:tcW w:w="5840" w:type="dxa"/>
            <w:vAlign w:val="bottom"/>
            <w:gridSpan w:val="23"/>
          </w:tcPr>
          <w:p>
            <w:pPr>
              <w:ind w:left="20"/>
              <w:spacing w:after="0" w:line="186" w:lineRule="exact"/>
              <w:rPr>
                <w:sz w:val="20"/>
                <w:szCs w:val="20"/>
                <w:color w:val="auto"/>
              </w:rPr>
            </w:pPr>
            <w:r>
              <w:rPr>
                <w:rFonts w:ascii="Arial" w:cs="Arial" w:eastAsia="Arial" w:hAnsi="Arial"/>
                <w:sz w:val="18"/>
                <w:szCs w:val="18"/>
                <w:color w:val="0000FF"/>
              </w:rPr>
              <w:t>Commitments and Contingencies</w:t>
            </w: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38</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6"/>
        </w:trPr>
        <w:tc>
          <w:tcPr>
            <w:tcW w:w="10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(14)</w:t>
            </w:r>
          </w:p>
        </w:tc>
        <w:tc>
          <w:tcPr>
            <w:tcW w:w="2380" w:type="dxa"/>
            <w:vAlign w:val="bottom"/>
            <w:tcBorders>
              <w:right w:val="single" w:sz="8" w:color="CCEEFF"/>
            </w:tcBorders>
            <w:gridSpan w:val="14"/>
            <w:shd w:val="clear" w:color="auto" w:fill="CCEEFF"/>
          </w:tcPr>
          <w:p>
            <w:pPr>
              <w:ind w:left="20"/>
              <w:spacing w:after="0" w:line="196" w:lineRule="exact"/>
              <w:rPr>
                <w:sz w:val="20"/>
                <w:szCs w:val="20"/>
                <w:color w:val="auto"/>
              </w:rPr>
            </w:pPr>
            <w:r>
              <w:rPr>
                <w:rFonts w:ascii="Arial" w:cs="Arial" w:eastAsia="Arial" w:hAnsi="Arial"/>
                <w:sz w:val="18"/>
                <w:szCs w:val="18"/>
                <w:color w:val="0000FF"/>
              </w:rPr>
              <w:t>Earnings Per Share</w:t>
            </w:r>
          </w:p>
        </w:tc>
        <w:tc>
          <w:tcPr>
            <w:tcW w:w="3460" w:type="dxa"/>
            <w:vAlign w:val="bottom"/>
            <w:gridSpan w:val="9"/>
            <w:shd w:val="clear" w:color="auto" w:fill="CCEEFF"/>
          </w:tcPr>
          <w:p>
            <w:pPr>
              <w:spacing w:after="0"/>
              <w:rPr>
                <w:sz w:val="17"/>
                <w:szCs w:val="17"/>
                <w:color w:val="auto"/>
              </w:rPr>
            </w:pPr>
          </w:p>
        </w:tc>
        <w:tc>
          <w:tcPr>
            <w:tcW w:w="3400" w:type="dxa"/>
            <w:vAlign w:val="bottom"/>
            <w:gridSpan w:val="2"/>
            <w:shd w:val="clear" w:color="auto" w:fill="CCEEFF"/>
          </w:tcPr>
          <w:p>
            <w:pPr>
              <w:jc w:val="center"/>
              <w:ind w:left="3131"/>
              <w:spacing w:after="0" w:line="196" w:lineRule="exact"/>
              <w:rPr>
                <w:sz w:val="20"/>
                <w:szCs w:val="20"/>
                <w:color w:val="auto"/>
              </w:rPr>
            </w:pPr>
            <w:r>
              <w:rPr>
                <w:rFonts w:ascii="Arial" w:cs="Arial" w:eastAsia="Arial" w:hAnsi="Arial"/>
                <w:sz w:val="18"/>
                <w:szCs w:val="18"/>
                <w:color w:val="0000FF"/>
                <w:w w:val="89"/>
              </w:rPr>
              <w:t>43</w:t>
            </w:r>
          </w:p>
        </w:tc>
        <w:tc>
          <w:tcPr>
            <w:tcW w:w="240" w:type="dxa"/>
            <w:vAlign w:val="bottom"/>
            <w:tcBorders>
              <w:left w:val="single" w:sz="8" w:color="CCEEFF"/>
            </w:tcBorders>
            <w:shd w:val="clear" w:color="auto" w:fill="CCEEFF"/>
          </w:tcPr>
          <w:p>
            <w:pPr>
              <w:spacing w:after="0"/>
              <w:rPr>
                <w:sz w:val="17"/>
                <w:szCs w:val="17"/>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right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right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33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6"/>
        </w:trPr>
        <w:tc>
          <w:tcPr>
            <w:tcW w:w="102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320" w:type="dxa"/>
            <w:vAlign w:val="bottom"/>
            <w:gridSpan w:val="2"/>
          </w:tcPr>
          <w:p>
            <w:pPr>
              <w:spacing w:after="0" w:line="186" w:lineRule="exact"/>
              <w:rPr>
                <w:sz w:val="20"/>
                <w:szCs w:val="20"/>
                <w:color w:val="auto"/>
              </w:rPr>
            </w:pPr>
            <w:r>
              <w:rPr>
                <w:rFonts w:ascii="Arial" w:cs="Arial" w:eastAsia="Arial" w:hAnsi="Arial"/>
                <w:sz w:val="18"/>
                <w:szCs w:val="18"/>
                <w:color w:val="0000FF"/>
                <w:w w:val="93"/>
              </w:rPr>
              <w:t>(15)</w:t>
            </w:r>
          </w:p>
        </w:tc>
        <w:tc>
          <w:tcPr>
            <w:tcW w:w="1540" w:type="dxa"/>
            <w:vAlign w:val="bottom"/>
            <w:gridSpan w:val="7"/>
          </w:tcPr>
          <w:p>
            <w:pPr>
              <w:ind w:left="20"/>
              <w:spacing w:after="0" w:line="186" w:lineRule="exact"/>
              <w:rPr>
                <w:sz w:val="20"/>
                <w:szCs w:val="20"/>
                <w:color w:val="auto"/>
              </w:rPr>
            </w:pPr>
            <w:r>
              <w:rPr>
                <w:rFonts w:ascii="Arial" w:cs="Arial" w:eastAsia="Arial" w:hAnsi="Arial"/>
                <w:sz w:val="18"/>
                <w:szCs w:val="18"/>
                <w:color w:val="0000FF"/>
                <w:w w:val="84"/>
              </w:rPr>
              <w:t>Reportable Segments</w:t>
            </w:r>
          </w:p>
        </w:tc>
        <w:tc>
          <w:tcPr>
            <w:tcW w:w="4300" w:type="dxa"/>
            <w:vAlign w:val="bottom"/>
            <w:gridSpan w:val="16"/>
          </w:tcPr>
          <w:p>
            <w:pPr>
              <w:spacing w:after="0"/>
              <w:rPr>
                <w:sz w:val="16"/>
                <w:szCs w:val="16"/>
                <w:color w:val="auto"/>
              </w:rPr>
            </w:pP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44</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6"/>
        </w:trPr>
        <w:tc>
          <w:tcPr>
            <w:tcW w:w="10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(16)</w:t>
            </w:r>
          </w:p>
        </w:tc>
        <w:tc>
          <w:tcPr>
            <w:tcW w:w="3720" w:type="dxa"/>
            <w:vAlign w:val="bottom"/>
            <w:tcBorders>
              <w:right w:val="single" w:sz="8" w:color="CCEEFF"/>
            </w:tcBorders>
            <w:gridSpan w:val="20"/>
            <w:shd w:val="clear" w:color="auto" w:fill="CCEEFF"/>
          </w:tcPr>
          <w:p>
            <w:pPr>
              <w:ind w:left="20"/>
              <w:spacing w:after="0" w:line="196" w:lineRule="exact"/>
              <w:rPr>
                <w:sz w:val="20"/>
                <w:szCs w:val="20"/>
                <w:color w:val="auto"/>
              </w:rPr>
            </w:pPr>
            <w:r>
              <w:rPr>
                <w:rFonts w:ascii="Arial" w:cs="Arial" w:eastAsia="Arial" w:hAnsi="Arial"/>
                <w:sz w:val="18"/>
                <w:szCs w:val="18"/>
                <w:color w:val="0000FF"/>
                <w:w w:val="90"/>
              </w:rPr>
              <w:t>Supplemental Disclosure of Cash Flow Information</w:t>
            </w:r>
          </w:p>
        </w:tc>
        <w:tc>
          <w:tcPr>
            <w:tcW w:w="2120" w:type="dxa"/>
            <w:vAlign w:val="bottom"/>
            <w:tcBorders>
              <w:left w:val="single" w:sz="8" w:color="CCEEFF"/>
            </w:tcBorders>
            <w:gridSpan w:val="3"/>
            <w:shd w:val="clear" w:color="auto" w:fill="CCEEFF"/>
          </w:tcPr>
          <w:p>
            <w:pPr>
              <w:spacing w:after="0"/>
              <w:rPr>
                <w:sz w:val="17"/>
                <w:szCs w:val="17"/>
                <w:color w:val="auto"/>
              </w:rPr>
            </w:pPr>
          </w:p>
        </w:tc>
        <w:tc>
          <w:tcPr>
            <w:tcW w:w="3400" w:type="dxa"/>
            <w:vAlign w:val="bottom"/>
            <w:gridSpan w:val="2"/>
            <w:shd w:val="clear" w:color="auto" w:fill="CCEEFF"/>
          </w:tcPr>
          <w:p>
            <w:pPr>
              <w:jc w:val="center"/>
              <w:ind w:left="3131"/>
              <w:spacing w:after="0" w:line="196" w:lineRule="exact"/>
              <w:rPr>
                <w:sz w:val="20"/>
                <w:szCs w:val="20"/>
                <w:color w:val="auto"/>
              </w:rPr>
            </w:pPr>
            <w:r>
              <w:rPr>
                <w:rFonts w:ascii="Arial" w:cs="Arial" w:eastAsia="Arial" w:hAnsi="Arial"/>
                <w:sz w:val="18"/>
                <w:szCs w:val="18"/>
                <w:color w:val="0000FF"/>
                <w:w w:val="89"/>
              </w:rPr>
              <w:t>46</w:t>
            </w:r>
          </w:p>
        </w:tc>
        <w:tc>
          <w:tcPr>
            <w:tcW w:w="240" w:type="dxa"/>
            <w:vAlign w:val="bottom"/>
            <w:tcBorders>
              <w:left w:val="single" w:sz="8" w:color="CCEEFF"/>
            </w:tcBorders>
            <w:shd w:val="clear" w:color="auto" w:fill="CCEEFF"/>
          </w:tcPr>
          <w:p>
            <w:pPr>
              <w:spacing w:after="0"/>
              <w:rPr>
                <w:sz w:val="17"/>
                <w:szCs w:val="17"/>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0000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320" w:type="dxa"/>
            <w:vAlign w:val="bottom"/>
            <w:gridSpan w:val="2"/>
          </w:tcPr>
          <w:p>
            <w:pPr>
              <w:spacing w:after="0" w:line="186" w:lineRule="exact"/>
              <w:rPr>
                <w:sz w:val="20"/>
                <w:szCs w:val="20"/>
                <w:color w:val="auto"/>
              </w:rPr>
            </w:pPr>
            <w:r>
              <w:rPr>
                <w:rFonts w:ascii="Arial" w:cs="Arial" w:eastAsia="Arial" w:hAnsi="Arial"/>
                <w:sz w:val="18"/>
                <w:szCs w:val="18"/>
                <w:color w:val="0000FF"/>
                <w:w w:val="93"/>
              </w:rPr>
              <w:t>(17)</w:t>
            </w:r>
          </w:p>
        </w:tc>
        <w:tc>
          <w:tcPr>
            <w:tcW w:w="3720" w:type="dxa"/>
            <w:vAlign w:val="bottom"/>
            <w:gridSpan w:val="20"/>
          </w:tcPr>
          <w:p>
            <w:pPr>
              <w:ind w:left="20"/>
              <w:spacing w:after="0" w:line="186" w:lineRule="exact"/>
              <w:rPr>
                <w:sz w:val="20"/>
                <w:szCs w:val="20"/>
                <w:color w:val="auto"/>
              </w:rPr>
            </w:pPr>
            <w:r>
              <w:rPr>
                <w:rFonts w:ascii="Arial" w:cs="Arial" w:eastAsia="Arial" w:hAnsi="Arial"/>
                <w:sz w:val="18"/>
                <w:szCs w:val="18"/>
                <w:color w:val="0000FF"/>
              </w:rPr>
              <w:t>Related Party Transactions</w:t>
            </w:r>
          </w:p>
        </w:tc>
        <w:tc>
          <w:tcPr>
            <w:tcW w:w="2120" w:type="dxa"/>
            <w:vAlign w:val="bottom"/>
            <w:gridSpan w:val="3"/>
          </w:tcPr>
          <w:p>
            <w:pPr>
              <w:spacing w:after="0"/>
              <w:rPr>
                <w:sz w:val="16"/>
                <w:szCs w:val="16"/>
                <w:color w:val="auto"/>
              </w:rPr>
            </w:pP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46</w:t>
            </w:r>
          </w:p>
        </w:tc>
        <w:tc>
          <w:tcPr>
            <w:tcW w:w="240" w:type="dxa"/>
            <w:vAlign w:val="bottom"/>
          </w:tcPr>
          <w:p>
            <w:pPr>
              <w:spacing w:after="0"/>
              <w:rPr>
                <w:sz w:val="16"/>
                <w:szCs w:val="16"/>
                <w:color w:val="auto"/>
              </w:rPr>
            </w:pPr>
          </w:p>
        </w:tc>
      </w:tr>
      <w:tr>
        <w:trPr>
          <w:trHeight w:val="33"/>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6"/>
        </w:trPr>
        <w:tc>
          <w:tcPr>
            <w:tcW w:w="10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rPr>
                <w:sz w:val="16"/>
                <w:szCs w:val="16"/>
                <w:color w:val="auto"/>
              </w:rPr>
            </w:pPr>
          </w:p>
        </w:tc>
        <w:tc>
          <w:tcPr>
            <w:tcW w:w="320" w:type="dxa"/>
            <w:vAlign w:val="bottom"/>
            <w:gridSpan w:val="2"/>
            <w:shd w:val="clear" w:color="auto" w:fill="CCEEFF"/>
          </w:tcPr>
          <w:p>
            <w:pPr>
              <w:spacing w:after="0" w:line="186" w:lineRule="exact"/>
              <w:rPr>
                <w:sz w:val="20"/>
                <w:szCs w:val="20"/>
                <w:color w:val="auto"/>
              </w:rPr>
            </w:pPr>
            <w:r>
              <w:rPr>
                <w:rFonts w:ascii="Arial" w:cs="Arial" w:eastAsia="Arial" w:hAnsi="Arial"/>
                <w:sz w:val="18"/>
                <w:szCs w:val="18"/>
                <w:color w:val="0000FF"/>
                <w:w w:val="93"/>
              </w:rPr>
              <w:t>(18)</w:t>
            </w:r>
          </w:p>
        </w:tc>
        <w:tc>
          <w:tcPr>
            <w:tcW w:w="5840" w:type="dxa"/>
            <w:vAlign w:val="bottom"/>
            <w:gridSpan w:val="23"/>
            <w:shd w:val="clear" w:color="auto" w:fill="CCEEFF"/>
          </w:tcPr>
          <w:p>
            <w:pPr>
              <w:ind w:left="20"/>
              <w:spacing w:after="0" w:line="186" w:lineRule="exact"/>
              <w:rPr>
                <w:sz w:val="20"/>
                <w:szCs w:val="20"/>
                <w:color w:val="auto"/>
              </w:rPr>
            </w:pPr>
            <w:r>
              <w:rPr>
                <w:rFonts w:ascii="Arial" w:cs="Arial" w:eastAsia="Arial" w:hAnsi="Arial"/>
                <w:sz w:val="18"/>
                <w:szCs w:val="18"/>
                <w:color w:val="0000FF"/>
              </w:rPr>
              <w:t>Equity</w:t>
            </w:r>
          </w:p>
        </w:tc>
        <w:tc>
          <w:tcPr>
            <w:tcW w:w="3400" w:type="dxa"/>
            <w:vAlign w:val="bottom"/>
            <w:gridSpan w:val="2"/>
            <w:shd w:val="clear" w:color="auto" w:fill="CCEEFF"/>
          </w:tcPr>
          <w:p>
            <w:pPr>
              <w:jc w:val="center"/>
              <w:ind w:left="3131"/>
              <w:spacing w:after="0" w:line="186" w:lineRule="exact"/>
              <w:rPr>
                <w:sz w:val="20"/>
                <w:szCs w:val="20"/>
                <w:color w:val="auto"/>
              </w:rPr>
            </w:pPr>
            <w:r>
              <w:rPr>
                <w:rFonts w:ascii="Arial" w:cs="Arial" w:eastAsia="Arial" w:hAnsi="Arial"/>
                <w:sz w:val="18"/>
                <w:szCs w:val="18"/>
                <w:color w:val="0000FF"/>
                <w:w w:val="89"/>
              </w:rPr>
              <w:t>47</w:t>
            </w:r>
          </w:p>
        </w:tc>
        <w:tc>
          <w:tcPr>
            <w:tcW w:w="240" w:type="dxa"/>
            <w:vAlign w:val="bottom"/>
            <w:tcBorders>
              <w:left w:val="single" w:sz="8" w:color="CCEEFF"/>
            </w:tcBorders>
            <w:shd w:val="clear" w:color="auto" w:fill="CCEEFF"/>
          </w:tcPr>
          <w:p>
            <w:pPr>
              <w:spacing w:after="0"/>
              <w:rPr>
                <w:sz w:val="16"/>
                <w:szCs w:val="16"/>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CCEE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320" w:type="dxa"/>
            <w:vAlign w:val="bottom"/>
            <w:gridSpan w:val="2"/>
          </w:tcPr>
          <w:p>
            <w:pPr>
              <w:spacing w:after="0" w:line="186" w:lineRule="exact"/>
              <w:rPr>
                <w:sz w:val="20"/>
                <w:szCs w:val="20"/>
                <w:color w:val="auto"/>
              </w:rPr>
            </w:pPr>
            <w:r>
              <w:rPr>
                <w:rFonts w:ascii="Arial" w:cs="Arial" w:eastAsia="Arial" w:hAnsi="Arial"/>
                <w:sz w:val="18"/>
                <w:szCs w:val="18"/>
                <w:color w:val="0000FF"/>
                <w:w w:val="93"/>
              </w:rPr>
              <w:t>(19)</w:t>
            </w:r>
          </w:p>
        </w:tc>
        <w:tc>
          <w:tcPr>
            <w:tcW w:w="520" w:type="dxa"/>
            <w:vAlign w:val="bottom"/>
          </w:tcPr>
          <w:p>
            <w:pPr>
              <w:ind w:left="20"/>
              <w:spacing w:after="0" w:line="186" w:lineRule="exact"/>
              <w:rPr>
                <w:sz w:val="20"/>
                <w:szCs w:val="20"/>
                <w:color w:val="auto"/>
              </w:rPr>
            </w:pPr>
            <w:r>
              <w:rPr>
                <w:rFonts w:ascii="Arial" w:cs="Arial" w:eastAsia="Arial" w:hAnsi="Arial"/>
                <w:sz w:val="18"/>
                <w:szCs w:val="18"/>
                <w:color w:val="0000FF"/>
                <w:w w:val="79"/>
              </w:rPr>
              <w:t>Leases</w:t>
            </w:r>
          </w:p>
        </w:tc>
        <w:tc>
          <w:tcPr>
            <w:tcW w:w="5320" w:type="dxa"/>
            <w:vAlign w:val="bottom"/>
            <w:gridSpan w:val="22"/>
          </w:tcPr>
          <w:p>
            <w:pPr>
              <w:spacing w:after="0"/>
              <w:rPr>
                <w:sz w:val="16"/>
                <w:szCs w:val="16"/>
                <w:color w:val="auto"/>
              </w:rPr>
            </w:pP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49</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6"/>
        </w:trPr>
        <w:tc>
          <w:tcPr>
            <w:tcW w:w="10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(20)</w:t>
            </w:r>
          </w:p>
        </w:tc>
        <w:tc>
          <w:tcPr>
            <w:tcW w:w="1380" w:type="dxa"/>
            <w:vAlign w:val="bottom"/>
            <w:tcBorders>
              <w:right w:val="single" w:sz="8" w:color="CCEEFF"/>
            </w:tcBorders>
            <w:gridSpan w:val="6"/>
            <w:shd w:val="clear" w:color="auto" w:fill="CCEEFF"/>
          </w:tcPr>
          <w:p>
            <w:pPr>
              <w:ind w:left="20"/>
              <w:spacing w:after="0" w:line="196" w:lineRule="exact"/>
              <w:rPr>
                <w:sz w:val="20"/>
                <w:szCs w:val="20"/>
                <w:color w:val="auto"/>
              </w:rPr>
            </w:pPr>
            <w:r>
              <w:rPr>
                <w:rFonts w:ascii="Arial" w:cs="Arial" w:eastAsia="Arial" w:hAnsi="Arial"/>
                <w:sz w:val="18"/>
                <w:szCs w:val="18"/>
                <w:color w:val="0000FF"/>
                <w:w w:val="84"/>
              </w:rPr>
              <w:t>Subsequent Events</w:t>
            </w:r>
          </w:p>
        </w:tc>
        <w:tc>
          <w:tcPr>
            <w:tcW w:w="4460" w:type="dxa"/>
            <w:vAlign w:val="bottom"/>
            <w:gridSpan w:val="17"/>
            <w:shd w:val="clear" w:color="auto" w:fill="CCEEFF"/>
          </w:tcPr>
          <w:p>
            <w:pPr>
              <w:spacing w:after="0"/>
              <w:rPr>
                <w:sz w:val="17"/>
                <w:szCs w:val="17"/>
                <w:color w:val="auto"/>
              </w:rPr>
            </w:pPr>
          </w:p>
        </w:tc>
        <w:tc>
          <w:tcPr>
            <w:tcW w:w="3400" w:type="dxa"/>
            <w:vAlign w:val="bottom"/>
            <w:gridSpan w:val="2"/>
            <w:shd w:val="clear" w:color="auto" w:fill="CCEEFF"/>
          </w:tcPr>
          <w:p>
            <w:pPr>
              <w:jc w:val="center"/>
              <w:ind w:left="3131"/>
              <w:spacing w:after="0" w:line="196" w:lineRule="exact"/>
              <w:rPr>
                <w:sz w:val="20"/>
                <w:szCs w:val="20"/>
                <w:color w:val="auto"/>
              </w:rPr>
            </w:pPr>
            <w:r>
              <w:rPr>
                <w:rFonts w:ascii="Arial" w:cs="Arial" w:eastAsia="Arial" w:hAnsi="Arial"/>
                <w:sz w:val="18"/>
                <w:szCs w:val="18"/>
                <w:color w:val="0000FF"/>
                <w:w w:val="89"/>
              </w:rPr>
              <w:t>53</w:t>
            </w:r>
          </w:p>
        </w:tc>
        <w:tc>
          <w:tcPr>
            <w:tcW w:w="240" w:type="dxa"/>
            <w:vAlign w:val="bottom"/>
            <w:tcBorders>
              <w:left w:val="single" w:sz="8" w:color="CCEEFF"/>
            </w:tcBorders>
            <w:shd w:val="clear" w:color="auto" w:fill="CCEEFF"/>
          </w:tcPr>
          <w:p>
            <w:pPr>
              <w:spacing w:after="0"/>
              <w:rPr>
                <w:sz w:val="17"/>
                <w:szCs w:val="17"/>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right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right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33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6"/>
        </w:trPr>
        <w:tc>
          <w:tcPr>
            <w:tcW w:w="1020" w:type="dxa"/>
            <w:vAlign w:val="bottom"/>
          </w:tcPr>
          <w:p>
            <w:pPr>
              <w:ind w:left="280"/>
              <w:spacing w:after="0" w:line="186" w:lineRule="exact"/>
              <w:rPr>
                <w:sz w:val="20"/>
                <w:szCs w:val="20"/>
                <w:color w:val="auto"/>
              </w:rPr>
            </w:pPr>
            <w:r>
              <w:rPr>
                <w:rFonts w:ascii="Arial" w:cs="Arial" w:eastAsia="Arial" w:hAnsi="Arial"/>
                <w:sz w:val="18"/>
                <w:szCs w:val="18"/>
                <w:color w:val="auto"/>
              </w:rPr>
              <w:t>Item 2.</w:t>
            </w:r>
          </w:p>
        </w:tc>
        <w:tc>
          <w:tcPr>
            <w:tcW w:w="6580" w:type="dxa"/>
            <w:vAlign w:val="bottom"/>
            <w:gridSpan w:val="27"/>
          </w:tcPr>
          <w:p>
            <w:pPr>
              <w:ind w:left="240"/>
              <w:spacing w:after="0" w:line="186" w:lineRule="exact"/>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54</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3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6"/>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160" w:type="dxa"/>
            <w:vAlign w:val="bottom"/>
            <w:gridSpan w:val="25"/>
            <w:shd w:val="clear" w:color="auto" w:fill="CCEEFF"/>
          </w:tcPr>
          <w:p>
            <w:pPr>
              <w:spacing w:after="0" w:line="196" w:lineRule="exact"/>
              <w:rPr>
                <w:sz w:val="20"/>
                <w:szCs w:val="20"/>
                <w:color w:val="auto"/>
              </w:rPr>
            </w:pPr>
            <w:r>
              <w:rPr>
                <w:rFonts w:ascii="Arial" w:cs="Arial" w:eastAsia="Arial" w:hAnsi="Arial"/>
                <w:sz w:val="18"/>
                <w:szCs w:val="18"/>
                <w:color w:val="0000FF"/>
              </w:rPr>
              <w:t>Recent Events</w:t>
            </w:r>
          </w:p>
        </w:tc>
        <w:tc>
          <w:tcPr>
            <w:tcW w:w="3400" w:type="dxa"/>
            <w:vAlign w:val="bottom"/>
            <w:gridSpan w:val="2"/>
            <w:shd w:val="clear" w:color="auto" w:fill="CCEEFF"/>
          </w:tcPr>
          <w:p>
            <w:pPr>
              <w:jc w:val="center"/>
              <w:ind w:left="3131"/>
              <w:spacing w:after="0" w:line="196" w:lineRule="exact"/>
              <w:rPr>
                <w:sz w:val="20"/>
                <w:szCs w:val="20"/>
                <w:color w:val="auto"/>
              </w:rPr>
            </w:pPr>
            <w:r>
              <w:rPr>
                <w:rFonts w:ascii="Arial" w:cs="Arial" w:eastAsia="Arial" w:hAnsi="Arial"/>
                <w:sz w:val="18"/>
                <w:szCs w:val="18"/>
                <w:color w:val="0000FF"/>
                <w:w w:val="89"/>
              </w:rPr>
              <w:t>54</w:t>
            </w:r>
          </w:p>
        </w:tc>
        <w:tc>
          <w:tcPr>
            <w:tcW w:w="240" w:type="dxa"/>
            <w:vAlign w:val="bottom"/>
            <w:tcBorders>
              <w:left w:val="single" w:sz="8" w:color="CCEEFF"/>
            </w:tcBorders>
            <w:shd w:val="clear" w:color="auto" w:fill="CCEEFF"/>
          </w:tcPr>
          <w:p>
            <w:pPr>
              <w:spacing w:after="0"/>
              <w:rPr>
                <w:sz w:val="17"/>
                <w:szCs w:val="17"/>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60" w:type="dxa"/>
            <w:vAlign w:val="bottom"/>
            <w:gridSpan w:val="25"/>
          </w:tcPr>
          <w:p>
            <w:pPr>
              <w:spacing w:after="0" w:line="186" w:lineRule="exact"/>
              <w:rPr>
                <w:sz w:val="20"/>
                <w:szCs w:val="20"/>
                <w:color w:val="auto"/>
              </w:rPr>
            </w:pPr>
            <w:r>
              <w:rPr>
                <w:rFonts w:ascii="Arial" w:cs="Arial" w:eastAsia="Arial" w:hAnsi="Arial"/>
                <w:sz w:val="18"/>
                <w:szCs w:val="18"/>
                <w:color w:val="0000FF"/>
              </w:rPr>
              <w:t>Consolidated Results of Operations</w:t>
            </w: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55</w:t>
            </w:r>
          </w:p>
        </w:tc>
        <w:tc>
          <w:tcPr>
            <w:tcW w:w="240" w:type="dxa"/>
            <w:vAlign w:val="bottom"/>
          </w:tcPr>
          <w:p>
            <w:pPr>
              <w:spacing w:after="0"/>
              <w:rPr>
                <w:sz w:val="16"/>
                <w:szCs w:val="16"/>
                <w:color w:val="auto"/>
              </w:rPr>
            </w:pPr>
          </w:p>
        </w:tc>
      </w:tr>
      <w:tr>
        <w:trPr>
          <w:trHeight w:val="33"/>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6"/>
        </w:trPr>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160" w:type="dxa"/>
            <w:vAlign w:val="bottom"/>
            <w:gridSpan w:val="25"/>
            <w:shd w:val="clear" w:color="auto" w:fill="CCEEFF"/>
          </w:tcPr>
          <w:p>
            <w:pPr>
              <w:spacing w:after="0" w:line="186" w:lineRule="exact"/>
              <w:rPr>
                <w:sz w:val="20"/>
                <w:szCs w:val="20"/>
                <w:color w:val="auto"/>
              </w:rPr>
            </w:pPr>
            <w:r>
              <w:rPr>
                <w:rFonts w:ascii="Arial" w:cs="Arial" w:eastAsia="Arial" w:hAnsi="Arial"/>
                <w:sz w:val="18"/>
                <w:szCs w:val="18"/>
                <w:color w:val="0000FF"/>
              </w:rPr>
              <w:t>Results of Operations by Reportable Segment</w:t>
            </w:r>
          </w:p>
        </w:tc>
        <w:tc>
          <w:tcPr>
            <w:tcW w:w="3400" w:type="dxa"/>
            <w:vAlign w:val="bottom"/>
            <w:gridSpan w:val="2"/>
            <w:shd w:val="clear" w:color="auto" w:fill="CCEEFF"/>
          </w:tcPr>
          <w:p>
            <w:pPr>
              <w:jc w:val="center"/>
              <w:ind w:left="3131"/>
              <w:spacing w:after="0" w:line="186" w:lineRule="exact"/>
              <w:rPr>
                <w:sz w:val="20"/>
                <w:szCs w:val="20"/>
                <w:color w:val="auto"/>
              </w:rPr>
            </w:pPr>
            <w:r>
              <w:rPr>
                <w:rFonts w:ascii="Arial" w:cs="Arial" w:eastAsia="Arial" w:hAnsi="Arial"/>
                <w:sz w:val="18"/>
                <w:szCs w:val="18"/>
                <w:color w:val="0000FF"/>
                <w:w w:val="89"/>
              </w:rPr>
              <w:t>56</w:t>
            </w:r>
          </w:p>
        </w:tc>
        <w:tc>
          <w:tcPr>
            <w:tcW w:w="240" w:type="dxa"/>
            <w:vAlign w:val="bottom"/>
            <w:tcBorders>
              <w:left w:val="single" w:sz="8" w:color="CCEEFF"/>
            </w:tcBorders>
            <w:shd w:val="clear" w:color="auto" w:fill="CCEEFF"/>
          </w:tcPr>
          <w:p>
            <w:pPr>
              <w:spacing w:after="0"/>
              <w:rPr>
                <w:sz w:val="16"/>
                <w:szCs w:val="16"/>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19"/>
          </w:tcPr>
          <w:p>
            <w:pPr>
              <w:spacing w:after="0" w:line="186" w:lineRule="exact"/>
              <w:rPr>
                <w:sz w:val="20"/>
                <w:szCs w:val="20"/>
                <w:color w:val="auto"/>
              </w:rPr>
            </w:pPr>
            <w:r>
              <w:rPr>
                <w:rFonts w:ascii="Arial" w:cs="Arial" w:eastAsia="Arial" w:hAnsi="Arial"/>
                <w:sz w:val="18"/>
                <w:szCs w:val="18"/>
                <w:color w:val="0000FF"/>
                <w:w w:val="97"/>
              </w:rPr>
              <w:t>Certain Factors Affecting Future Earnings</w:t>
            </w:r>
          </w:p>
        </w:tc>
        <w:tc>
          <w:tcPr>
            <w:tcW w:w="2920" w:type="dxa"/>
            <w:vAlign w:val="bottom"/>
            <w:gridSpan w:val="6"/>
          </w:tcPr>
          <w:p>
            <w:pPr>
              <w:spacing w:after="0"/>
              <w:rPr>
                <w:sz w:val="16"/>
                <w:szCs w:val="16"/>
                <w:color w:val="auto"/>
              </w:rPr>
            </w:pP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64</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6"/>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00" w:type="dxa"/>
            <w:vAlign w:val="bottom"/>
            <w:gridSpan w:val="13"/>
            <w:shd w:val="clear" w:color="auto" w:fill="CCEEFF"/>
          </w:tcPr>
          <w:p>
            <w:pPr>
              <w:spacing w:after="0" w:line="196" w:lineRule="exact"/>
              <w:rPr>
                <w:sz w:val="20"/>
                <w:szCs w:val="20"/>
                <w:color w:val="auto"/>
              </w:rPr>
            </w:pPr>
            <w:r>
              <w:rPr>
                <w:rFonts w:ascii="Arial" w:cs="Arial" w:eastAsia="Arial" w:hAnsi="Arial"/>
                <w:sz w:val="18"/>
                <w:szCs w:val="18"/>
                <w:color w:val="0000FF"/>
                <w:w w:val="90"/>
              </w:rPr>
              <w:t>Liquidity and Capital Resources</w:t>
            </w:r>
          </w:p>
        </w:tc>
        <w:tc>
          <w:tcPr>
            <w:tcW w:w="660" w:type="dxa"/>
            <w:vAlign w:val="bottom"/>
            <w:gridSpan w:val="4"/>
            <w:shd w:val="clear" w:color="auto" w:fill="CCEEFF"/>
          </w:tcPr>
          <w:p>
            <w:pPr>
              <w:spacing w:after="0"/>
              <w:rPr>
                <w:sz w:val="17"/>
                <w:szCs w:val="17"/>
                <w:color w:val="auto"/>
              </w:rPr>
            </w:pPr>
          </w:p>
        </w:tc>
        <w:tc>
          <w:tcPr>
            <w:tcW w:w="3200" w:type="dxa"/>
            <w:vAlign w:val="bottom"/>
            <w:tcBorders>
              <w:left w:val="single" w:sz="8" w:color="CCEEFF"/>
            </w:tcBorders>
            <w:gridSpan w:val="8"/>
            <w:shd w:val="clear" w:color="auto" w:fill="CCEEFF"/>
          </w:tcPr>
          <w:p>
            <w:pPr>
              <w:spacing w:after="0"/>
              <w:rPr>
                <w:sz w:val="17"/>
                <w:szCs w:val="17"/>
                <w:color w:val="auto"/>
              </w:rPr>
            </w:pPr>
          </w:p>
        </w:tc>
        <w:tc>
          <w:tcPr>
            <w:tcW w:w="3400" w:type="dxa"/>
            <w:vAlign w:val="bottom"/>
            <w:gridSpan w:val="2"/>
            <w:shd w:val="clear" w:color="auto" w:fill="CCEEFF"/>
          </w:tcPr>
          <w:p>
            <w:pPr>
              <w:jc w:val="center"/>
              <w:ind w:left="3131"/>
              <w:spacing w:after="0" w:line="196" w:lineRule="exact"/>
              <w:rPr>
                <w:sz w:val="20"/>
                <w:szCs w:val="20"/>
                <w:color w:val="auto"/>
              </w:rPr>
            </w:pPr>
            <w:r>
              <w:rPr>
                <w:rFonts w:ascii="Arial" w:cs="Arial" w:eastAsia="Arial" w:hAnsi="Arial"/>
                <w:sz w:val="18"/>
                <w:szCs w:val="18"/>
                <w:color w:val="0000FF"/>
                <w:w w:val="89"/>
              </w:rPr>
              <w:t>64</w:t>
            </w:r>
          </w:p>
        </w:tc>
        <w:tc>
          <w:tcPr>
            <w:tcW w:w="240" w:type="dxa"/>
            <w:vAlign w:val="bottom"/>
            <w:tcBorders>
              <w:left w:val="single" w:sz="8" w:color="CCEEFF"/>
            </w:tcBorders>
            <w:shd w:val="clear" w:color="auto" w:fill="CCEEFF"/>
          </w:tcPr>
          <w:p>
            <w:pPr>
              <w:spacing w:after="0"/>
              <w:rPr>
                <w:sz w:val="17"/>
                <w:szCs w:val="17"/>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right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right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lef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33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6"/>
        </w:trPr>
        <w:tc>
          <w:tcPr>
            <w:tcW w:w="1020" w:type="dxa"/>
            <w:vAlign w:val="bottom"/>
          </w:tcPr>
          <w:p>
            <w:pPr>
              <w:ind w:left="280"/>
              <w:spacing w:after="0" w:line="186" w:lineRule="exact"/>
              <w:rPr>
                <w:sz w:val="20"/>
                <w:szCs w:val="20"/>
                <w:color w:val="auto"/>
              </w:rPr>
            </w:pPr>
            <w:r>
              <w:rPr>
                <w:rFonts w:ascii="Arial" w:cs="Arial" w:eastAsia="Arial" w:hAnsi="Arial"/>
                <w:sz w:val="18"/>
                <w:szCs w:val="18"/>
                <w:color w:val="auto"/>
              </w:rPr>
              <w:t>Item 3.</w:t>
            </w:r>
          </w:p>
        </w:tc>
        <w:tc>
          <w:tcPr>
            <w:tcW w:w="6580" w:type="dxa"/>
            <w:vAlign w:val="bottom"/>
            <w:gridSpan w:val="27"/>
          </w:tcPr>
          <w:p>
            <w:pPr>
              <w:ind w:left="240"/>
              <w:spacing w:after="0" w:line="186" w:lineRule="exact"/>
              <w:rPr>
                <w:sz w:val="20"/>
                <w:szCs w:val="20"/>
                <w:color w:val="auto"/>
              </w:rPr>
            </w:pPr>
            <w:r>
              <w:rPr>
                <w:rFonts w:ascii="Arial" w:cs="Arial" w:eastAsia="Arial" w:hAnsi="Arial"/>
                <w:sz w:val="18"/>
                <w:szCs w:val="18"/>
                <w:color w:val="0000FF"/>
              </w:rPr>
              <w:t>Quantitative and Qualitative Disclosures about Market Risk</w:t>
            </w:r>
          </w:p>
        </w:tc>
        <w:tc>
          <w:tcPr>
            <w:tcW w:w="3400" w:type="dxa"/>
            <w:vAlign w:val="bottom"/>
            <w:gridSpan w:val="2"/>
          </w:tcPr>
          <w:p>
            <w:pPr>
              <w:jc w:val="center"/>
              <w:ind w:left="3131"/>
              <w:spacing w:after="0" w:line="186" w:lineRule="exact"/>
              <w:rPr>
                <w:sz w:val="20"/>
                <w:szCs w:val="20"/>
                <w:color w:val="auto"/>
              </w:rPr>
            </w:pPr>
            <w:r>
              <w:rPr>
                <w:rFonts w:ascii="Arial" w:cs="Arial" w:eastAsia="Arial" w:hAnsi="Arial"/>
                <w:sz w:val="18"/>
                <w:szCs w:val="18"/>
                <w:color w:val="0000FF"/>
                <w:w w:val="89"/>
              </w:rPr>
              <w:t>79</w:t>
            </w:r>
          </w:p>
        </w:tc>
        <w:tc>
          <w:tcPr>
            <w:tcW w:w="240" w:type="dxa"/>
            <w:vAlign w:val="bottom"/>
          </w:tcPr>
          <w:p>
            <w:pPr>
              <w:spacing w:after="0"/>
              <w:rPr>
                <w:sz w:val="16"/>
                <w:szCs w:val="16"/>
                <w:color w:val="auto"/>
              </w:rPr>
            </w:pPr>
          </w:p>
        </w:tc>
      </w:tr>
      <w:tr>
        <w:trPr>
          <w:trHeight w:val="30"/>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6"/>
        </w:trPr>
        <w:tc>
          <w:tcPr>
            <w:tcW w:w="102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Item 4.</w:t>
            </w:r>
          </w:p>
        </w:tc>
        <w:tc>
          <w:tcPr>
            <w:tcW w:w="6580" w:type="dxa"/>
            <w:vAlign w:val="bottom"/>
            <w:gridSpan w:val="27"/>
            <w:shd w:val="clear" w:color="auto" w:fill="CCEEFF"/>
          </w:tcPr>
          <w:p>
            <w:pPr>
              <w:ind w:left="240"/>
              <w:spacing w:after="0" w:line="196" w:lineRule="exact"/>
              <w:rPr>
                <w:sz w:val="20"/>
                <w:szCs w:val="20"/>
                <w:color w:val="auto"/>
              </w:rPr>
            </w:pPr>
            <w:r>
              <w:rPr>
                <w:rFonts w:ascii="Arial" w:cs="Arial" w:eastAsia="Arial" w:hAnsi="Arial"/>
                <w:sz w:val="18"/>
                <w:szCs w:val="18"/>
                <w:color w:val="0000FF"/>
              </w:rPr>
              <w:t>Controls and Procedures</w:t>
            </w:r>
          </w:p>
        </w:tc>
        <w:tc>
          <w:tcPr>
            <w:tcW w:w="3400" w:type="dxa"/>
            <w:vAlign w:val="bottom"/>
            <w:gridSpan w:val="2"/>
            <w:shd w:val="clear" w:color="auto" w:fill="CCEEFF"/>
          </w:tcPr>
          <w:p>
            <w:pPr>
              <w:jc w:val="center"/>
              <w:ind w:left="3131"/>
              <w:spacing w:after="0" w:line="196" w:lineRule="exact"/>
              <w:rPr>
                <w:sz w:val="20"/>
                <w:szCs w:val="20"/>
                <w:color w:val="auto"/>
              </w:rPr>
            </w:pPr>
            <w:r>
              <w:rPr>
                <w:rFonts w:ascii="Arial" w:cs="Arial" w:eastAsia="Arial" w:hAnsi="Arial"/>
                <w:sz w:val="18"/>
                <w:szCs w:val="18"/>
                <w:color w:val="0000FF"/>
                <w:w w:val="89"/>
              </w:rPr>
              <w:t>80</w:t>
            </w:r>
          </w:p>
        </w:tc>
        <w:tc>
          <w:tcPr>
            <w:tcW w:w="240" w:type="dxa"/>
            <w:vAlign w:val="bottom"/>
            <w:tcBorders>
              <w:left w:val="single" w:sz="8" w:color="CCEEFF"/>
            </w:tcBorders>
            <w:shd w:val="clear" w:color="auto" w:fill="CCEEFF"/>
          </w:tcPr>
          <w:p>
            <w:pPr>
              <w:spacing w:after="0"/>
              <w:rPr>
                <w:sz w:val="17"/>
                <w:szCs w:val="17"/>
                <w:color w:val="auto"/>
              </w:rPr>
            </w:pPr>
          </w:p>
        </w:tc>
      </w:tr>
      <w:tr>
        <w:trPr>
          <w:trHeight w:val="40"/>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3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3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186"/>
        </w:trPr>
        <w:tc>
          <w:tcPr>
            <w:tcW w:w="1260" w:type="dxa"/>
            <w:vAlign w:val="bottom"/>
          </w:tcPr>
          <w:p>
            <w:pPr>
              <w:jc w:val="center"/>
              <w:ind w:right="111"/>
              <w:spacing w:after="0" w:line="186" w:lineRule="exact"/>
              <w:rPr>
                <w:sz w:val="20"/>
                <w:szCs w:val="20"/>
                <w:color w:val="auto"/>
              </w:rPr>
            </w:pPr>
            <w:r>
              <w:rPr>
                <w:rFonts w:ascii="Arial" w:cs="Arial" w:eastAsia="Arial" w:hAnsi="Arial"/>
                <w:sz w:val="18"/>
                <w:szCs w:val="18"/>
                <w:color w:val="auto"/>
                <w:w w:val="90"/>
              </w:rPr>
              <w:t>Item 1.</w:t>
            </w:r>
          </w:p>
        </w:tc>
        <w:tc>
          <w:tcPr>
            <w:tcW w:w="5800" w:type="dxa"/>
            <w:vAlign w:val="bottom"/>
            <w:gridSpan w:val="5"/>
          </w:tcPr>
          <w:p>
            <w:pPr>
              <w:spacing w:after="0" w:line="186" w:lineRule="exact"/>
              <w:rPr>
                <w:sz w:val="20"/>
                <w:szCs w:val="20"/>
                <w:color w:val="auto"/>
              </w:rPr>
            </w:pPr>
            <w:r>
              <w:rPr>
                <w:rFonts w:ascii="Arial" w:cs="Arial" w:eastAsia="Arial" w:hAnsi="Arial"/>
                <w:sz w:val="18"/>
                <w:szCs w:val="18"/>
                <w:color w:val="0000FF"/>
              </w:rPr>
              <w:t>Legal Proceedings</w:t>
            </w:r>
          </w:p>
        </w:tc>
        <w:tc>
          <w:tcPr>
            <w:tcW w:w="4000" w:type="dxa"/>
            <w:vAlign w:val="bottom"/>
            <w:gridSpan w:val="2"/>
          </w:tcPr>
          <w:p>
            <w:pPr>
              <w:jc w:val="right"/>
              <w:spacing w:after="0" w:line="186" w:lineRule="exact"/>
              <w:rPr>
                <w:sz w:val="20"/>
                <w:szCs w:val="20"/>
                <w:color w:val="auto"/>
              </w:rPr>
            </w:pPr>
            <w:r>
              <w:rPr>
                <w:rFonts w:ascii="Arial" w:cs="Arial" w:eastAsia="Arial" w:hAnsi="Arial"/>
                <w:sz w:val="18"/>
                <w:szCs w:val="18"/>
                <w:color w:val="0000FF"/>
              </w:rPr>
              <w:t>80</w:t>
            </w:r>
          </w:p>
        </w:tc>
        <w:tc>
          <w:tcPr>
            <w:tcW w:w="180" w:type="dxa"/>
            <w:vAlign w:val="bottom"/>
          </w:tcPr>
          <w:p>
            <w:pPr>
              <w:spacing w:after="0"/>
              <w:rPr>
                <w:sz w:val="16"/>
                <w:szCs w:val="16"/>
                <w:color w:val="auto"/>
              </w:rPr>
            </w:pPr>
          </w:p>
        </w:tc>
      </w:tr>
      <w:tr>
        <w:trPr>
          <w:trHeight w:val="30"/>
        </w:trPr>
        <w:tc>
          <w:tcPr>
            <w:tcW w:w="12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r>
      <w:tr>
        <w:trPr>
          <w:trHeight w:val="196"/>
        </w:trPr>
        <w:tc>
          <w:tcPr>
            <w:tcW w:w="1260" w:type="dxa"/>
            <w:vAlign w:val="bottom"/>
            <w:shd w:val="clear" w:color="auto" w:fill="CCEEFF"/>
          </w:tcPr>
          <w:p>
            <w:pPr>
              <w:jc w:val="center"/>
              <w:ind w:right="91"/>
              <w:spacing w:after="0" w:line="196" w:lineRule="exact"/>
              <w:rPr>
                <w:sz w:val="20"/>
                <w:szCs w:val="20"/>
                <w:color w:val="auto"/>
              </w:rPr>
            </w:pPr>
            <w:r>
              <w:rPr>
                <w:rFonts w:ascii="Arial" w:cs="Arial" w:eastAsia="Arial" w:hAnsi="Arial"/>
                <w:sz w:val="18"/>
                <w:szCs w:val="18"/>
                <w:color w:val="auto"/>
                <w:w w:val="95"/>
              </w:rPr>
              <w:t>Item 1A.</w:t>
            </w:r>
          </w:p>
        </w:tc>
        <w:tc>
          <w:tcPr>
            <w:tcW w:w="1300" w:type="dxa"/>
            <w:vAlign w:val="bottom"/>
            <w:tcBorders>
              <w:right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0000FF"/>
              </w:rPr>
              <w:t>Risk Factors</w:t>
            </w:r>
          </w:p>
        </w:tc>
        <w:tc>
          <w:tcPr>
            <w:tcW w:w="4500" w:type="dxa"/>
            <w:vAlign w:val="bottom"/>
            <w:shd w:val="clear" w:color="auto" w:fill="CCEEFF"/>
          </w:tcPr>
          <w:p>
            <w:pPr>
              <w:spacing w:after="0"/>
              <w:rPr>
                <w:sz w:val="17"/>
                <w:szCs w:val="17"/>
                <w:color w:val="auto"/>
              </w:rPr>
            </w:pPr>
          </w:p>
        </w:tc>
        <w:tc>
          <w:tcPr>
            <w:tcW w:w="4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FF"/>
              </w:rPr>
              <w:t>81</w:t>
            </w:r>
          </w:p>
        </w:tc>
        <w:tc>
          <w:tcPr>
            <w:tcW w:w="180" w:type="dxa"/>
            <w:vAlign w:val="bottom"/>
            <w:shd w:val="clear" w:color="auto" w:fill="CCEEFF"/>
          </w:tcPr>
          <w:p>
            <w:pPr>
              <w:spacing w:after="0"/>
              <w:rPr>
                <w:sz w:val="17"/>
                <w:szCs w:val="17"/>
                <w:color w:val="auto"/>
              </w:rPr>
            </w:pPr>
          </w:p>
        </w:tc>
      </w:tr>
      <w:tr>
        <w:trPr>
          <w:trHeight w:val="40"/>
        </w:trPr>
        <w:tc>
          <w:tcPr>
            <w:tcW w:w="12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500" w:type="dxa"/>
            <w:vAlign w:val="bottom"/>
            <w:shd w:val="clear" w:color="auto" w:fill="CCEEFF"/>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86"/>
        </w:trPr>
        <w:tc>
          <w:tcPr>
            <w:tcW w:w="1260" w:type="dxa"/>
            <w:vAlign w:val="bottom"/>
          </w:tcPr>
          <w:p>
            <w:pPr>
              <w:jc w:val="center"/>
              <w:ind w:right="111"/>
              <w:spacing w:after="0" w:line="186" w:lineRule="exact"/>
              <w:rPr>
                <w:sz w:val="20"/>
                <w:szCs w:val="20"/>
                <w:color w:val="auto"/>
              </w:rPr>
            </w:pPr>
            <w:r>
              <w:rPr>
                <w:rFonts w:ascii="Arial" w:cs="Arial" w:eastAsia="Arial" w:hAnsi="Arial"/>
                <w:sz w:val="18"/>
                <w:szCs w:val="18"/>
                <w:color w:val="auto"/>
                <w:w w:val="90"/>
              </w:rPr>
              <w:t>Item 5.</w:t>
            </w:r>
          </w:p>
        </w:tc>
        <w:tc>
          <w:tcPr>
            <w:tcW w:w="5800" w:type="dxa"/>
            <w:vAlign w:val="bottom"/>
            <w:gridSpan w:val="5"/>
          </w:tcPr>
          <w:p>
            <w:pPr>
              <w:spacing w:after="0" w:line="186" w:lineRule="exact"/>
              <w:rPr>
                <w:sz w:val="20"/>
                <w:szCs w:val="20"/>
                <w:color w:val="auto"/>
              </w:rPr>
            </w:pPr>
            <w:r>
              <w:rPr>
                <w:rFonts w:ascii="Arial" w:cs="Arial" w:eastAsia="Arial" w:hAnsi="Arial"/>
                <w:sz w:val="18"/>
                <w:szCs w:val="18"/>
                <w:color w:val="0000FF"/>
              </w:rPr>
              <w:t>Other Information</w:t>
            </w:r>
          </w:p>
        </w:tc>
        <w:tc>
          <w:tcPr>
            <w:tcW w:w="4000" w:type="dxa"/>
            <w:vAlign w:val="bottom"/>
            <w:gridSpan w:val="2"/>
          </w:tcPr>
          <w:p>
            <w:pPr>
              <w:jc w:val="right"/>
              <w:spacing w:after="0" w:line="186" w:lineRule="exact"/>
              <w:rPr>
                <w:sz w:val="20"/>
                <w:szCs w:val="20"/>
                <w:color w:val="auto"/>
              </w:rPr>
            </w:pPr>
            <w:r>
              <w:rPr>
                <w:rFonts w:ascii="Arial" w:cs="Arial" w:eastAsia="Arial" w:hAnsi="Arial"/>
                <w:sz w:val="18"/>
                <w:szCs w:val="18"/>
                <w:color w:val="0000FF"/>
              </w:rPr>
              <w:t>81</w:t>
            </w:r>
          </w:p>
        </w:tc>
        <w:tc>
          <w:tcPr>
            <w:tcW w:w="180" w:type="dxa"/>
            <w:vAlign w:val="bottom"/>
          </w:tcPr>
          <w:p>
            <w:pPr>
              <w:spacing w:after="0"/>
              <w:rPr>
                <w:sz w:val="16"/>
                <w:szCs w:val="16"/>
                <w:color w:val="auto"/>
              </w:rPr>
            </w:pPr>
          </w:p>
        </w:tc>
      </w:tr>
      <w:tr>
        <w:trPr>
          <w:trHeight w:val="33"/>
        </w:trPr>
        <w:tc>
          <w:tcPr>
            <w:tcW w:w="1260" w:type="dxa"/>
            <w:vAlign w:val="bottom"/>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r>
      <w:tr>
        <w:trPr>
          <w:trHeight w:val="186"/>
        </w:trPr>
        <w:tc>
          <w:tcPr>
            <w:tcW w:w="1260" w:type="dxa"/>
            <w:vAlign w:val="bottom"/>
            <w:shd w:val="clear" w:color="auto" w:fill="CCEEFF"/>
          </w:tcPr>
          <w:p>
            <w:pPr>
              <w:jc w:val="center"/>
              <w:ind w:right="111"/>
              <w:spacing w:after="0" w:line="186" w:lineRule="exact"/>
              <w:rPr>
                <w:sz w:val="20"/>
                <w:szCs w:val="20"/>
                <w:color w:val="auto"/>
              </w:rPr>
            </w:pPr>
            <w:r>
              <w:rPr>
                <w:rFonts w:ascii="Arial" w:cs="Arial" w:eastAsia="Arial" w:hAnsi="Arial"/>
                <w:sz w:val="18"/>
                <w:szCs w:val="18"/>
                <w:color w:val="auto"/>
                <w:w w:val="90"/>
              </w:rPr>
              <w:t>Item 6.</w:t>
            </w:r>
          </w:p>
        </w:tc>
        <w:tc>
          <w:tcPr>
            <w:tcW w:w="5800" w:type="dxa"/>
            <w:vAlign w:val="bottom"/>
            <w:gridSpan w:val="5"/>
            <w:shd w:val="clear" w:color="auto" w:fill="CCEEFF"/>
          </w:tcPr>
          <w:p>
            <w:pPr>
              <w:spacing w:after="0" w:line="186" w:lineRule="exact"/>
              <w:rPr>
                <w:sz w:val="20"/>
                <w:szCs w:val="20"/>
                <w:color w:val="auto"/>
              </w:rPr>
            </w:pPr>
            <w:r>
              <w:rPr>
                <w:rFonts w:ascii="Arial" w:cs="Arial" w:eastAsia="Arial" w:hAnsi="Arial"/>
                <w:sz w:val="18"/>
                <w:szCs w:val="18"/>
                <w:color w:val="0000FF"/>
              </w:rPr>
              <w:t>Exhibits</w:t>
            </w:r>
          </w:p>
        </w:tc>
        <w:tc>
          <w:tcPr>
            <w:tcW w:w="400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8"/>
                <w:szCs w:val="18"/>
                <w:color w:val="0000FF"/>
              </w:rPr>
              <w:t>81</w:t>
            </w:r>
          </w:p>
        </w:tc>
        <w:tc>
          <w:tcPr>
            <w:tcW w:w="180" w:type="dxa"/>
            <w:vAlign w:val="bottom"/>
            <w:shd w:val="clear" w:color="auto" w:fill="CCEEFF"/>
          </w:tcPr>
          <w:p>
            <w:pPr>
              <w:spacing w:after="0"/>
              <w:rPr>
                <w:sz w:val="16"/>
                <w:szCs w:val="16"/>
                <w:color w:val="auto"/>
              </w:rPr>
            </w:pPr>
          </w:p>
        </w:tc>
      </w:tr>
      <w:tr>
        <w:trPr>
          <w:trHeight w:val="40"/>
        </w:trPr>
        <w:tc>
          <w:tcPr>
            <w:tcW w:w="12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500" w:type="dxa"/>
            <w:vAlign w:val="bottom"/>
            <w:shd w:val="clear" w:color="auto" w:fill="CCEEFF"/>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86"/>
        </w:trPr>
        <w:tc>
          <w:tcPr>
            <w:tcW w:w="1260" w:type="dxa"/>
            <w:vAlign w:val="bottom"/>
          </w:tcPr>
          <w:p>
            <w:pPr>
              <w:spacing w:after="0"/>
              <w:rPr>
                <w:sz w:val="16"/>
                <w:szCs w:val="16"/>
                <w:color w:val="auto"/>
              </w:rPr>
            </w:pPr>
          </w:p>
        </w:tc>
        <w:tc>
          <w:tcPr>
            <w:tcW w:w="740" w:type="dxa"/>
            <w:vAlign w:val="bottom"/>
            <w:gridSpan w:val="2"/>
          </w:tcPr>
          <w:p>
            <w:pPr>
              <w:spacing w:after="0" w:line="186" w:lineRule="exact"/>
              <w:rPr>
                <w:sz w:val="20"/>
                <w:szCs w:val="20"/>
                <w:color w:val="auto"/>
              </w:rPr>
            </w:pPr>
            <w:r>
              <w:rPr>
                <w:rFonts w:ascii="Arial" w:cs="Arial" w:eastAsia="Arial" w:hAnsi="Arial"/>
                <w:sz w:val="18"/>
                <w:szCs w:val="18"/>
                <w:color w:val="0000FF"/>
                <w:w w:val="83"/>
              </w:rPr>
              <w:t>Signatures</w:t>
            </w:r>
          </w:p>
        </w:tc>
        <w:tc>
          <w:tcPr>
            <w:tcW w:w="5060" w:type="dxa"/>
            <w:vAlign w:val="bottom"/>
            <w:gridSpan w:val="3"/>
          </w:tcPr>
          <w:p>
            <w:pPr>
              <w:spacing w:after="0"/>
              <w:rPr>
                <w:sz w:val="16"/>
                <w:szCs w:val="16"/>
                <w:color w:val="auto"/>
              </w:rPr>
            </w:pPr>
          </w:p>
        </w:tc>
        <w:tc>
          <w:tcPr>
            <w:tcW w:w="4000" w:type="dxa"/>
            <w:vAlign w:val="bottom"/>
            <w:gridSpan w:val="2"/>
          </w:tcPr>
          <w:p>
            <w:pPr>
              <w:jc w:val="right"/>
              <w:spacing w:after="0" w:line="186" w:lineRule="exact"/>
              <w:rPr>
                <w:sz w:val="20"/>
                <w:szCs w:val="20"/>
                <w:color w:val="auto"/>
              </w:rPr>
            </w:pPr>
            <w:r>
              <w:rPr>
                <w:rFonts w:ascii="Arial" w:cs="Arial" w:eastAsia="Arial" w:hAnsi="Arial"/>
                <w:sz w:val="18"/>
                <w:szCs w:val="18"/>
                <w:color w:val="0000FF"/>
              </w:rPr>
              <w:t>84</w:t>
            </w:r>
          </w:p>
        </w:tc>
        <w:tc>
          <w:tcPr>
            <w:tcW w:w="18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900" w:type="dxa"/>
            <w:vAlign w:val="bottom"/>
            <w:gridSpan w:val="2"/>
          </w:tcPr>
          <w:p>
            <w:pPr>
              <w:ind w:left="1840"/>
              <w:spacing w:after="0"/>
              <w:rPr>
                <w:sz w:val="20"/>
                <w:szCs w:val="20"/>
                <w:color w:val="auto"/>
              </w:rPr>
            </w:pPr>
            <w:r>
              <w:rPr>
                <w:rFonts w:ascii="Arial" w:cs="Arial" w:eastAsia="Arial" w:hAnsi="Arial"/>
                <w:sz w:val="18"/>
                <w:szCs w:val="18"/>
                <w:b w:val="1"/>
                <w:bCs w:val="1"/>
                <w:i w:val="1"/>
                <w:iCs w:val="1"/>
                <w:color w:val="auto"/>
              </w:rPr>
              <w:t>GLOSSARY</w:t>
            </w:r>
          </w:p>
        </w:tc>
      </w:tr>
      <w:tr>
        <w:trPr>
          <w:trHeight w:val="233"/>
        </w:trPr>
        <w:tc>
          <w:tcPr>
            <w:tcW w:w="40" w:type="dxa"/>
            <w:vAlign w:val="bottom"/>
          </w:tcPr>
          <w:p>
            <w:pPr>
              <w:spacing w:after="0"/>
              <w:rPr>
                <w:sz w:val="20"/>
                <w:szCs w:val="20"/>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788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Affordable Clean Energy</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AFSI</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Adjusted financial statement income</w:t>
            </w: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AFUDC</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Allowance for funds used during construction</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Asset Management Agreement</w:t>
            </w:r>
          </w:p>
        </w:tc>
      </w:tr>
      <w:tr>
        <w:trPr>
          <w:trHeight w:val="181"/>
        </w:trPr>
        <w:tc>
          <w:tcPr>
            <w:tcW w:w="40" w:type="dxa"/>
            <w:vAlign w:val="bottom"/>
          </w:tcPr>
          <w:p>
            <w:pPr>
              <w:spacing w:after="0"/>
              <w:rPr>
                <w:sz w:val="15"/>
                <w:szCs w:val="15"/>
                <w:color w:val="auto"/>
              </w:rPr>
            </w:pPr>
          </w:p>
        </w:tc>
        <w:tc>
          <w:tcPr>
            <w:tcW w:w="330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Arevon</w:t>
            </w:r>
          </w:p>
        </w:tc>
        <w:tc>
          <w:tcPr>
            <w:tcW w:w="7880" w:type="dxa"/>
            <w:vAlign w:val="bottom"/>
            <w:shd w:val="clear" w:color="auto" w:fill="CCEEFF"/>
          </w:tcPr>
          <w:p>
            <w:pPr>
              <w:ind w:left="1340"/>
              <w:spacing w:after="0" w:line="181" w:lineRule="exact"/>
              <w:rPr>
                <w:sz w:val="20"/>
                <w:szCs w:val="20"/>
                <w:color w:val="auto"/>
              </w:rPr>
            </w:pPr>
            <w:r>
              <w:rPr>
                <w:rFonts w:ascii="Arial" w:cs="Arial" w:eastAsia="Arial" w:hAnsi="Arial"/>
                <w:sz w:val="18"/>
                <w:szCs w:val="18"/>
                <w:color w:val="auto"/>
                <w:w w:val="95"/>
              </w:rPr>
              <w:t>Arevon Energy, Inc., which was formed through the combination of Capital Dynamics,</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6"/>
              </w:rPr>
              <w:t>Inc.’s U.S. Clean Energy Infrastructure business unit and Arevon Asset Management</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Asset retirement obligation</w:t>
            </w:r>
          </w:p>
        </w:tc>
      </w:tr>
      <w:tr>
        <w:trPr>
          <w:trHeight w:val="233"/>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Alternative revenue program</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Accounting Standards Codification</w:t>
            </w:r>
          </w:p>
        </w:tc>
      </w:tr>
      <w:tr>
        <w:trPr>
          <w:trHeight w:val="187"/>
        </w:trPr>
        <w:tc>
          <w:tcPr>
            <w:tcW w:w="40" w:type="dxa"/>
            <w:vAlign w:val="bottom"/>
          </w:tcPr>
          <w:p>
            <w:pPr>
              <w:spacing w:after="0"/>
              <w:rPr>
                <w:sz w:val="16"/>
                <w:szCs w:val="16"/>
                <w:color w:val="auto"/>
              </w:rPr>
            </w:pPr>
          </w:p>
        </w:tc>
        <w:tc>
          <w:tcPr>
            <w:tcW w:w="3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b w:val="1"/>
                <w:bCs w:val="1"/>
                <w:i w:val="1"/>
                <w:iCs w:val="1"/>
                <w:color w:val="auto"/>
              </w:rPr>
              <w:t>Asset Purchase Agreement</w:t>
            </w:r>
          </w:p>
        </w:tc>
        <w:tc>
          <w:tcPr>
            <w:tcW w:w="7880" w:type="dxa"/>
            <w:vAlign w:val="bottom"/>
            <w:shd w:val="clear" w:color="auto" w:fill="CCEEFF"/>
          </w:tcPr>
          <w:p>
            <w:pPr>
              <w:ind w:left="1340"/>
              <w:spacing w:after="0" w:line="188" w:lineRule="exact"/>
              <w:rPr>
                <w:sz w:val="20"/>
                <w:szCs w:val="20"/>
                <w:color w:val="auto"/>
              </w:rPr>
            </w:pPr>
            <w:r>
              <w:rPr>
                <w:rFonts w:ascii="Arial" w:cs="Arial" w:eastAsia="Arial" w:hAnsi="Arial"/>
                <w:sz w:val="18"/>
                <w:szCs w:val="18"/>
                <w:color w:val="auto"/>
                <w:w w:val="91"/>
              </w:rPr>
              <w:t>Asset Purchase Agreement, dated as of April 29, 2021, by and between CERC Corp. and</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Southern Col Midco</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AT&amp;T</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AT&amp;T Inc.</w:t>
            </w:r>
          </w:p>
        </w:tc>
      </w:tr>
      <w:tr>
        <w:trPr>
          <w:trHeight w:val="240"/>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AT&amp;T common stock</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Billion cubic feet</w:t>
            </w: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Board</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Board of Directors of CenterPoint Energy, Inc.</w:t>
            </w:r>
          </w:p>
        </w:tc>
        <w:tc>
          <w:tcPr>
            <w:tcW w:w="20" w:type="dxa"/>
            <w:vAlign w:val="bottom"/>
          </w:tcPr>
          <w:p>
            <w:pPr>
              <w:spacing w:after="0"/>
              <w:rPr>
                <w:sz w:val="19"/>
                <w:szCs w:val="19"/>
                <w:color w:val="auto"/>
              </w:rPr>
            </w:pPr>
          </w:p>
        </w:tc>
      </w:tr>
      <w:tr>
        <w:trPr>
          <w:trHeight w:val="187"/>
        </w:trPr>
        <w:tc>
          <w:tcPr>
            <w:tcW w:w="40" w:type="dxa"/>
            <w:vAlign w:val="bottom"/>
          </w:tcPr>
          <w:p>
            <w:pPr>
              <w:spacing w:after="0"/>
              <w:rPr>
                <w:sz w:val="16"/>
                <w:szCs w:val="16"/>
                <w:color w:val="auto"/>
              </w:rPr>
            </w:pPr>
          </w:p>
        </w:tc>
        <w:tc>
          <w:tcPr>
            <w:tcW w:w="3300" w:type="dxa"/>
            <w:vAlign w:val="bottom"/>
          </w:tcPr>
          <w:p>
            <w:pPr>
              <w:ind w:left="20"/>
              <w:spacing w:after="0" w:line="187" w:lineRule="exact"/>
              <w:rPr>
                <w:sz w:val="20"/>
                <w:szCs w:val="20"/>
                <w:color w:val="auto"/>
              </w:rPr>
            </w:pPr>
            <w:r>
              <w:rPr>
                <w:rFonts w:ascii="Arial" w:cs="Arial" w:eastAsia="Arial" w:hAnsi="Arial"/>
                <w:sz w:val="18"/>
                <w:szCs w:val="18"/>
                <w:b w:val="1"/>
                <w:bCs w:val="1"/>
                <w:i w:val="1"/>
                <w:iCs w:val="1"/>
                <w:color w:val="auto"/>
              </w:rPr>
              <w:t>Bond Companies</w:t>
            </w:r>
          </w:p>
        </w:tc>
        <w:tc>
          <w:tcPr>
            <w:tcW w:w="7900" w:type="dxa"/>
            <w:vAlign w:val="bottom"/>
            <w:gridSpan w:val="2"/>
          </w:tcPr>
          <w:p>
            <w:pPr>
              <w:ind w:left="1340"/>
              <w:spacing w:after="0" w:line="187" w:lineRule="exact"/>
              <w:rPr>
                <w:sz w:val="20"/>
                <w:szCs w:val="20"/>
                <w:color w:val="auto"/>
              </w:rPr>
            </w:pPr>
            <w:r>
              <w:rPr>
                <w:rFonts w:ascii="Arial" w:cs="Arial" w:eastAsia="Arial" w:hAnsi="Arial"/>
                <w:sz w:val="18"/>
                <w:szCs w:val="18"/>
                <w:color w:val="auto"/>
                <w:w w:val="95"/>
              </w:rPr>
              <w:t>Bond Company IV and Restoration Bond Company, each a wholly-owned, bankruptcy</w:t>
            </w:r>
          </w:p>
        </w:tc>
      </w:tr>
      <w:tr>
        <w:trPr>
          <w:trHeight w:val="173"/>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900" w:type="dxa"/>
            <w:vAlign w:val="bottom"/>
            <w:gridSpan w:val="2"/>
          </w:tcPr>
          <w:p>
            <w:pPr>
              <w:ind w:left="1340"/>
              <w:spacing w:after="0" w:line="173" w:lineRule="exact"/>
              <w:rPr>
                <w:sz w:val="20"/>
                <w:szCs w:val="20"/>
                <w:color w:val="auto"/>
              </w:rPr>
            </w:pPr>
            <w:r>
              <w:rPr>
                <w:rFonts w:ascii="Arial" w:cs="Arial" w:eastAsia="Arial" w:hAnsi="Arial"/>
                <w:sz w:val="18"/>
                <w:szCs w:val="18"/>
                <w:color w:val="auto"/>
                <w:w w:val="91"/>
              </w:rPr>
              <w:t>remote entity formed solely for the purpose of purchasing and owning transition or system</w:t>
            </w:r>
          </w:p>
        </w:tc>
      </w:tr>
      <w:tr>
        <w:trPr>
          <w:trHeight w:val="224"/>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restoration property through the issuance of Securitization Bonds</w:t>
            </w:r>
          </w:p>
        </w:tc>
      </w:tr>
      <w:tr>
        <w:trPr>
          <w:trHeight w:val="187"/>
        </w:trPr>
        <w:tc>
          <w:tcPr>
            <w:tcW w:w="40" w:type="dxa"/>
            <w:vAlign w:val="bottom"/>
          </w:tcPr>
          <w:p>
            <w:pPr>
              <w:spacing w:after="0"/>
              <w:rPr>
                <w:sz w:val="16"/>
                <w:szCs w:val="16"/>
                <w:color w:val="auto"/>
              </w:rPr>
            </w:pPr>
          </w:p>
        </w:tc>
        <w:tc>
          <w:tcPr>
            <w:tcW w:w="3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b w:val="1"/>
                <w:bCs w:val="1"/>
                <w:i w:val="1"/>
                <w:iCs w:val="1"/>
                <w:color w:val="auto"/>
              </w:rPr>
              <w:t>Bond Company IV</w:t>
            </w:r>
          </w:p>
        </w:tc>
        <w:tc>
          <w:tcPr>
            <w:tcW w:w="7880" w:type="dxa"/>
            <w:vAlign w:val="bottom"/>
            <w:shd w:val="clear" w:color="auto" w:fill="CCEEFF"/>
          </w:tcPr>
          <w:p>
            <w:pPr>
              <w:ind w:left="1340"/>
              <w:spacing w:after="0" w:line="188" w:lineRule="exact"/>
              <w:rPr>
                <w:sz w:val="20"/>
                <w:szCs w:val="20"/>
                <w:color w:val="auto"/>
              </w:rPr>
            </w:pPr>
            <w:r>
              <w:rPr>
                <w:rFonts w:ascii="Arial" w:cs="Arial" w:eastAsia="Arial" w:hAnsi="Arial"/>
                <w:sz w:val="18"/>
                <w:szCs w:val="18"/>
                <w:color w:val="auto"/>
                <w:w w:val="96"/>
              </w:rPr>
              <w:t>CenterPoint Energy Transition Bond Company IV, LLC, a wholly-owned subsidiary of</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BTA</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Build Transfer Agreement</w:t>
            </w:r>
          </w:p>
        </w:tc>
      </w:tr>
      <w:tr>
        <w:trPr>
          <w:trHeight w:val="240"/>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CAMT</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Corporate Alternative Minimum Tax</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CARES Act</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Coronavirus Aid, Relief, and Economic Security Act</w:t>
            </w: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Coal Combustion Residuals</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CECA</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Clean Energy Cost Adjustment</w:t>
            </w:r>
          </w:p>
        </w:tc>
      </w:tr>
      <w:tr>
        <w:trPr>
          <w:trHeight w:val="233"/>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CEIP</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2"/>
              </w:rPr>
              <w:t>CenterPoint Energy Intrastate Pipelines, LLC, a wholly-owned subsidiary of CERC Corp.</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CenterPoint Energy, Inc., and its subsidiaries</w:t>
            </w:r>
          </w:p>
        </w:tc>
      </w:tr>
      <w:tr>
        <w:trPr>
          <w:trHeight w:val="240"/>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CERC Corp., together with its subsidiaries</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CenterPoint Energy Resources Corp.</w:t>
            </w:r>
          </w:p>
        </w:tc>
      </w:tr>
      <w:tr>
        <w:trPr>
          <w:trHeight w:val="174"/>
        </w:trPr>
        <w:tc>
          <w:tcPr>
            <w:tcW w:w="40" w:type="dxa"/>
            <w:vAlign w:val="bottom"/>
          </w:tcPr>
          <w:p>
            <w:pPr>
              <w:spacing w:after="0"/>
              <w:rPr>
                <w:sz w:val="15"/>
                <w:szCs w:val="15"/>
                <w:color w:val="auto"/>
              </w:rPr>
            </w:pPr>
          </w:p>
        </w:tc>
        <w:tc>
          <w:tcPr>
            <w:tcW w:w="33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CES</w:t>
            </w:r>
          </w:p>
        </w:tc>
        <w:tc>
          <w:tcPr>
            <w:tcW w:w="7880" w:type="dxa"/>
            <w:vAlign w:val="bottom"/>
            <w:shd w:val="clear" w:color="auto" w:fill="CCEEFF"/>
          </w:tcPr>
          <w:p>
            <w:pPr>
              <w:ind w:left="1340"/>
              <w:spacing w:after="0" w:line="174" w:lineRule="exact"/>
              <w:rPr>
                <w:sz w:val="20"/>
                <w:szCs w:val="20"/>
                <w:color w:val="auto"/>
              </w:rPr>
            </w:pPr>
            <w:r>
              <w:rPr>
                <w:rFonts w:ascii="Arial" w:cs="Arial" w:eastAsia="Arial" w:hAnsi="Arial"/>
                <w:sz w:val="18"/>
                <w:szCs w:val="18"/>
                <w:color w:val="auto"/>
                <w:w w:val="96"/>
              </w:rPr>
              <w:t>CenterPoint Energy Services, Inc. (now known as Symmetry Energy Solutions, LLC),</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previously a wholly-owned subsidiary of CERC Corp.</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Charter Communications, Inc. common stock</w:t>
            </w: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Conservation Improvement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CODM</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w w:val="96"/>
              </w:rPr>
              <w:t>Chief Operating Decision Maker, who is each Registrant’s Chief Operating Executive</w:t>
            </w:r>
          </w:p>
        </w:tc>
      </w:tr>
      <w:tr>
        <w:trPr>
          <w:trHeight w:val="240"/>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CenterPoint Energy, Inc. common stock, par value $0.01 per share</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Compensation Committee</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Compensation Committee of the Board</w:t>
            </w:r>
          </w:p>
        </w:tc>
      </w:tr>
      <w:tr>
        <w:trPr>
          <w:trHeight w:val="174"/>
        </w:trPr>
        <w:tc>
          <w:tcPr>
            <w:tcW w:w="40" w:type="dxa"/>
            <w:vAlign w:val="bottom"/>
          </w:tcPr>
          <w:p>
            <w:pPr>
              <w:spacing w:after="0"/>
              <w:rPr>
                <w:sz w:val="15"/>
                <w:szCs w:val="15"/>
                <w:color w:val="auto"/>
              </w:rPr>
            </w:pPr>
          </w:p>
        </w:tc>
        <w:tc>
          <w:tcPr>
            <w:tcW w:w="33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COVID-19</w:t>
            </w:r>
          </w:p>
        </w:tc>
        <w:tc>
          <w:tcPr>
            <w:tcW w:w="7880" w:type="dxa"/>
            <w:vAlign w:val="bottom"/>
            <w:shd w:val="clear" w:color="auto" w:fill="CCEEFF"/>
          </w:tcPr>
          <w:p>
            <w:pPr>
              <w:ind w:left="1340"/>
              <w:spacing w:after="0" w:line="174" w:lineRule="exact"/>
              <w:rPr>
                <w:sz w:val="20"/>
                <w:szCs w:val="20"/>
                <w:color w:val="auto"/>
              </w:rPr>
            </w:pPr>
            <w:r>
              <w:rPr>
                <w:rFonts w:ascii="Arial" w:cs="Arial" w:eastAsia="Arial" w:hAnsi="Arial"/>
                <w:sz w:val="18"/>
                <w:szCs w:val="18"/>
                <w:color w:val="auto"/>
                <w:w w:val="91"/>
              </w:rPr>
              <w:t>Novel coronavirus disease 2019, and any mutations or variants thereof, and related global</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3"/>
              </w:rPr>
              <w:t>outbreak that was subsequently declared a pandemic by the World Health Organization</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CPCN</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Certificate of Public Convenience and Necessity</w:t>
            </w: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Clean Power Plan</w:t>
            </w:r>
          </w:p>
        </w:tc>
        <w:tc>
          <w:tcPr>
            <w:tcW w:w="20" w:type="dxa"/>
            <w:vAlign w:val="bottom"/>
          </w:tcPr>
          <w:p>
            <w:pPr>
              <w:spacing w:after="0"/>
              <w:rPr>
                <w:sz w:val="19"/>
                <w:szCs w:val="19"/>
                <w:color w:val="auto"/>
              </w:rPr>
            </w:pPr>
          </w:p>
        </w:tc>
      </w:tr>
      <w:tr>
        <w:trPr>
          <w:trHeight w:val="187"/>
        </w:trPr>
        <w:tc>
          <w:tcPr>
            <w:tcW w:w="40" w:type="dxa"/>
            <w:vAlign w:val="bottom"/>
          </w:tcPr>
          <w:p>
            <w:pPr>
              <w:spacing w:after="0"/>
              <w:rPr>
                <w:sz w:val="16"/>
                <w:szCs w:val="16"/>
                <w:color w:val="auto"/>
              </w:rPr>
            </w:pPr>
          </w:p>
        </w:tc>
        <w:tc>
          <w:tcPr>
            <w:tcW w:w="3300" w:type="dxa"/>
            <w:vAlign w:val="bottom"/>
          </w:tcPr>
          <w:p>
            <w:pPr>
              <w:ind w:left="20"/>
              <w:spacing w:after="0" w:line="187" w:lineRule="exact"/>
              <w:rPr>
                <w:sz w:val="20"/>
                <w:szCs w:val="20"/>
                <w:color w:val="auto"/>
              </w:rPr>
            </w:pPr>
            <w:r>
              <w:rPr>
                <w:rFonts w:ascii="Arial" w:cs="Arial" w:eastAsia="Arial" w:hAnsi="Arial"/>
                <w:sz w:val="18"/>
                <w:szCs w:val="18"/>
                <w:b w:val="1"/>
                <w:bCs w:val="1"/>
                <w:i w:val="1"/>
                <w:iCs w:val="1"/>
                <w:color w:val="auto"/>
              </w:rPr>
              <w:t>Credit Agreement</w:t>
            </w:r>
          </w:p>
        </w:tc>
        <w:tc>
          <w:tcPr>
            <w:tcW w:w="7900" w:type="dxa"/>
            <w:vAlign w:val="bottom"/>
            <w:gridSpan w:val="2"/>
          </w:tcPr>
          <w:p>
            <w:pPr>
              <w:ind w:left="1340"/>
              <w:spacing w:after="0" w:line="187" w:lineRule="exact"/>
              <w:rPr>
                <w:sz w:val="20"/>
                <w:szCs w:val="20"/>
                <w:color w:val="auto"/>
              </w:rPr>
            </w:pPr>
            <w:r>
              <w:rPr>
                <w:rFonts w:ascii="Arial" w:cs="Arial" w:eastAsia="Arial" w:hAnsi="Arial"/>
                <w:sz w:val="18"/>
                <w:szCs w:val="18"/>
                <w:color w:val="auto"/>
                <w:w w:val="87"/>
              </w:rPr>
              <w:t>The Second Amended and Restated Credit Agreement dated as of December 6, 2022 among</w:t>
            </w:r>
          </w:p>
        </w:tc>
      </w:tr>
      <w:tr>
        <w:trPr>
          <w:trHeight w:val="173"/>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900" w:type="dxa"/>
            <w:vAlign w:val="bottom"/>
            <w:gridSpan w:val="2"/>
          </w:tcPr>
          <w:p>
            <w:pPr>
              <w:ind w:left="1340"/>
              <w:spacing w:after="0" w:line="173" w:lineRule="exact"/>
              <w:rPr>
                <w:sz w:val="20"/>
                <w:szCs w:val="20"/>
                <w:color w:val="auto"/>
              </w:rPr>
            </w:pPr>
            <w:r>
              <w:rPr>
                <w:rFonts w:ascii="Arial" w:cs="Arial" w:eastAsia="Arial" w:hAnsi="Arial"/>
                <w:sz w:val="18"/>
                <w:szCs w:val="18"/>
                <w:color w:val="auto"/>
                <w:w w:val="95"/>
              </w:rPr>
              <w:t>CenterPoint Energy, Inc., as borrower, JPMorgan Chase Bank, N.A., as administrative</w:t>
            </w:r>
          </w:p>
        </w:tc>
      </w:tr>
      <w:tr>
        <w:trPr>
          <w:trHeight w:val="224"/>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agent, and the banks party thereto</w:t>
            </w:r>
          </w:p>
        </w:tc>
      </w:tr>
      <w:tr>
        <w:trPr>
          <w:trHeight w:val="240"/>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Compliance and System Improvement Adjustment</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Distribution Cost Recovery Factor</w:t>
            </w: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DOC</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U.S. Department of Commerce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Distribution Replacement Rider</w:t>
            </w:r>
          </w:p>
        </w:tc>
      </w:tr>
      <w:tr>
        <w:trPr>
          <w:trHeight w:val="730"/>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900" w:type="dxa"/>
            <w:vAlign w:val="bottom"/>
            <w:gridSpan w:val="2"/>
          </w:tcPr>
          <w:p>
            <w:pPr>
              <w:ind w:left="2240"/>
              <w:spacing w:after="0"/>
              <w:rPr>
                <w:sz w:val="20"/>
                <w:szCs w:val="20"/>
                <w:color w:val="auto"/>
              </w:rPr>
            </w:pPr>
            <w:r>
              <w:rPr>
                <w:rFonts w:ascii="Arial" w:cs="Arial" w:eastAsia="Arial" w:hAnsi="Arial"/>
                <w:sz w:val="18"/>
                <w:szCs w:val="18"/>
                <w:color w:val="auto"/>
              </w:rPr>
              <w:t>ii</w:t>
            </w:r>
          </w:p>
        </w:tc>
      </w:tr>
      <w:tr>
        <w:trPr>
          <w:trHeight w:val="114"/>
        </w:trPr>
        <w:tc>
          <w:tcPr>
            <w:tcW w:w="4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7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340" w:type="dxa"/>
            <w:vAlign w:val="bottom"/>
            <w:gridSpan w:val="2"/>
          </w:tcPr>
          <w:p>
            <w:pPr>
              <w:ind w:left="1280"/>
              <w:spacing w:after="0"/>
              <w:rPr>
                <w:sz w:val="20"/>
                <w:szCs w:val="20"/>
                <w:color w:val="auto"/>
              </w:rPr>
            </w:pPr>
            <w:r>
              <w:rPr>
                <w:rFonts w:ascii="Arial" w:cs="Arial" w:eastAsia="Arial" w:hAnsi="Arial"/>
                <w:sz w:val="18"/>
                <w:szCs w:val="18"/>
                <w:b w:val="1"/>
                <w:bCs w:val="1"/>
                <w:i w:val="1"/>
                <w:iCs w:val="1"/>
                <w:color w:val="auto"/>
              </w:rPr>
              <w:t>GLOSSARY</w:t>
            </w:r>
          </w:p>
        </w:tc>
      </w:tr>
      <w:tr>
        <w:trPr>
          <w:trHeight w:val="233"/>
        </w:trPr>
        <w:tc>
          <w:tcPr>
            <w:tcW w:w="40" w:type="dxa"/>
            <w:vAlign w:val="bottom"/>
          </w:tcPr>
          <w:p>
            <w:pPr>
              <w:spacing w:after="0"/>
              <w:rPr>
                <w:sz w:val="20"/>
                <w:szCs w:val="20"/>
                <w:color w:val="auto"/>
              </w:rPr>
            </w:pPr>
          </w:p>
        </w:tc>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73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Demand Side Management Adjustment</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ECA</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Environmental Cost Adjustment</w:t>
            </w:r>
          </w:p>
        </w:tc>
      </w:tr>
      <w:tr>
        <w:trPr>
          <w:trHeight w:val="226"/>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Excess deferred income taxes</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Energy Efficiency Cost Recovery</w:t>
            </w:r>
          </w:p>
        </w:tc>
      </w:tr>
      <w:tr>
        <w:trPr>
          <w:trHeight w:val="233"/>
        </w:trPr>
        <w:tc>
          <w:tcPr>
            <w:tcW w:w="40" w:type="dxa"/>
            <w:vAlign w:val="bottom"/>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Energy Efficiency Cost Recovery Factor</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Energy Efficiency Funding Component</w:t>
            </w:r>
          </w:p>
        </w:tc>
      </w:tr>
      <w:tr>
        <w:trPr>
          <w:trHeight w:val="240"/>
        </w:trPr>
        <w:tc>
          <w:tcPr>
            <w:tcW w:w="40" w:type="dxa"/>
            <w:vAlign w:val="bottom"/>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Energy Efficiency Funding Rider</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 Systems Group</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Energy Systems Group, LLC, previously a wholly-owned subsidiary of Vectren</w:t>
            </w:r>
          </w:p>
        </w:tc>
      </w:tr>
      <w:tr>
        <w:trPr>
          <w:trHeight w:val="226"/>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Energy Transfer</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Energy Transfer LP, a Delaware limited partnership</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 Transfer Common Units</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w w:val="93"/>
              </w:rPr>
              <w:t>Energy Transfer common units, representing limited partner interests in Energy Transfer</w:t>
            </w:r>
          </w:p>
        </w:tc>
      </w:tr>
      <w:tr>
        <w:trPr>
          <w:trHeight w:val="181"/>
        </w:trPr>
        <w:tc>
          <w:tcPr>
            <w:tcW w:w="40" w:type="dxa"/>
            <w:vAlign w:val="bottom"/>
          </w:tcPr>
          <w:p>
            <w:pPr>
              <w:spacing w:after="0"/>
              <w:rPr>
                <w:sz w:val="15"/>
                <w:szCs w:val="15"/>
                <w:color w:val="auto"/>
              </w:rPr>
            </w:pPr>
          </w:p>
        </w:tc>
        <w:tc>
          <w:tcPr>
            <w:tcW w:w="386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Energy Transfer Series G Preferred Units</w:t>
            </w:r>
          </w:p>
        </w:tc>
        <w:tc>
          <w:tcPr>
            <w:tcW w:w="7320" w:type="dxa"/>
            <w:vAlign w:val="bottom"/>
            <w:shd w:val="clear" w:color="auto" w:fill="CCEEFF"/>
          </w:tcPr>
          <w:p>
            <w:pPr>
              <w:ind w:left="780"/>
              <w:spacing w:after="0" w:line="181" w:lineRule="exact"/>
              <w:rPr>
                <w:sz w:val="20"/>
                <w:szCs w:val="20"/>
                <w:color w:val="auto"/>
              </w:rPr>
            </w:pPr>
            <w:r>
              <w:rPr>
                <w:rFonts w:ascii="Arial" w:cs="Arial" w:eastAsia="Arial" w:hAnsi="Arial"/>
                <w:sz w:val="18"/>
                <w:szCs w:val="18"/>
                <w:color w:val="auto"/>
                <w:w w:val="91"/>
              </w:rPr>
              <w:t>Energy Transfer Series G Fixed-Rate Reset Cumulative Redeemable Perpetual Preferred</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Units, representing limited partner interests in Energy Transfer</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Environmental Protection Agency</w:t>
            </w:r>
          </w:p>
        </w:tc>
      </w:tr>
      <w:tr>
        <w:trPr>
          <w:trHeight w:val="181"/>
        </w:trPr>
        <w:tc>
          <w:tcPr>
            <w:tcW w:w="40" w:type="dxa"/>
            <w:vAlign w:val="bottom"/>
          </w:tcPr>
          <w:p>
            <w:pPr>
              <w:spacing w:after="0"/>
              <w:rPr>
                <w:sz w:val="15"/>
                <w:szCs w:val="15"/>
                <w:color w:val="auto"/>
              </w:rPr>
            </w:pPr>
          </w:p>
        </w:tc>
        <w:tc>
          <w:tcPr>
            <w:tcW w:w="386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Equity Purchase Agreement</w:t>
            </w:r>
          </w:p>
        </w:tc>
        <w:tc>
          <w:tcPr>
            <w:tcW w:w="7320" w:type="dxa"/>
            <w:vAlign w:val="bottom"/>
            <w:shd w:val="clear" w:color="auto" w:fill="CCEEFF"/>
          </w:tcPr>
          <w:p>
            <w:pPr>
              <w:ind w:left="780"/>
              <w:spacing w:after="0" w:line="181" w:lineRule="exact"/>
              <w:rPr>
                <w:sz w:val="20"/>
                <w:szCs w:val="20"/>
                <w:color w:val="auto"/>
              </w:rPr>
            </w:pPr>
            <w:r>
              <w:rPr>
                <w:rFonts w:ascii="Arial" w:cs="Arial" w:eastAsia="Arial" w:hAnsi="Arial"/>
                <w:sz w:val="18"/>
                <w:szCs w:val="18"/>
                <w:color w:val="auto"/>
                <w:w w:val="92"/>
              </w:rPr>
              <w:t>Equity Purchase Agreement, dated as of May 21, 2023, by and between Vectren Energy</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Services and ESG Holdings Group</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Electric Reliability Council of Texas</w:t>
            </w:r>
          </w:p>
        </w:tc>
      </w:tr>
      <w:tr>
        <w:trPr>
          <w:trHeight w:val="181"/>
        </w:trPr>
        <w:tc>
          <w:tcPr>
            <w:tcW w:w="40" w:type="dxa"/>
            <w:vAlign w:val="bottom"/>
          </w:tcPr>
          <w:p>
            <w:pPr>
              <w:spacing w:after="0"/>
              <w:rPr>
                <w:sz w:val="15"/>
                <w:szCs w:val="15"/>
                <w:color w:val="auto"/>
              </w:rPr>
            </w:pPr>
          </w:p>
        </w:tc>
        <w:tc>
          <w:tcPr>
            <w:tcW w:w="386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ESG Holdings Group</w:t>
            </w:r>
          </w:p>
        </w:tc>
        <w:tc>
          <w:tcPr>
            <w:tcW w:w="7320" w:type="dxa"/>
            <w:vAlign w:val="bottom"/>
            <w:shd w:val="clear" w:color="auto" w:fill="CCEEFF"/>
          </w:tcPr>
          <w:p>
            <w:pPr>
              <w:ind w:left="780"/>
              <w:spacing w:after="0" w:line="181" w:lineRule="exact"/>
              <w:rPr>
                <w:sz w:val="20"/>
                <w:szCs w:val="20"/>
                <w:color w:val="auto"/>
              </w:rPr>
            </w:pPr>
            <w:r>
              <w:rPr>
                <w:rFonts w:ascii="Arial" w:cs="Arial" w:eastAsia="Arial" w:hAnsi="Arial"/>
                <w:sz w:val="18"/>
                <w:szCs w:val="18"/>
                <w:color w:val="auto"/>
                <w:w w:val="94"/>
              </w:rPr>
              <w:t>ESG Holdings Group, LLC, a Delaware limited liability company, an affiliate of Oaktree</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Capital Management</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Exchange Act</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The Securities Exchange Act of 1934, as amended</w:t>
            </w:r>
          </w:p>
        </w:tc>
      </w:tr>
      <w:tr>
        <w:trPr>
          <w:trHeight w:val="181"/>
        </w:trPr>
        <w:tc>
          <w:tcPr>
            <w:tcW w:w="40" w:type="dxa"/>
            <w:vAlign w:val="bottom"/>
          </w:tcPr>
          <w:p>
            <w:pPr>
              <w:spacing w:after="0"/>
              <w:rPr>
                <w:sz w:val="15"/>
                <w:szCs w:val="15"/>
                <w:color w:val="auto"/>
              </w:rPr>
            </w:pPr>
          </w:p>
        </w:tc>
        <w:tc>
          <w:tcPr>
            <w:tcW w:w="386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February 2021 Winter Storm Event</w:t>
            </w:r>
          </w:p>
        </w:tc>
        <w:tc>
          <w:tcPr>
            <w:tcW w:w="7320" w:type="dxa"/>
            <w:vAlign w:val="bottom"/>
            <w:shd w:val="clear" w:color="auto" w:fill="CCEEFF"/>
          </w:tcPr>
          <w:p>
            <w:pPr>
              <w:ind w:left="780"/>
              <w:spacing w:after="0" w:line="181" w:lineRule="exact"/>
              <w:rPr>
                <w:sz w:val="20"/>
                <w:szCs w:val="20"/>
                <w:color w:val="auto"/>
              </w:rPr>
            </w:pPr>
            <w:r>
              <w:rPr>
                <w:rFonts w:ascii="Arial" w:cs="Arial" w:eastAsia="Arial" w:hAnsi="Arial"/>
                <w:sz w:val="18"/>
                <w:szCs w:val="18"/>
                <w:color w:val="auto"/>
                <w:w w:val="90"/>
              </w:rPr>
              <w:t>The extreme and unprecedented winter weather event in February 2021 (Winter Storm Uri)</w:t>
            </w:r>
          </w:p>
        </w:tc>
        <w:tc>
          <w:tcPr>
            <w:tcW w:w="2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7320" w:type="dxa"/>
            <w:vAlign w:val="bottom"/>
            <w:shd w:val="clear" w:color="auto" w:fill="CCEEFF"/>
          </w:tcPr>
          <w:p>
            <w:pPr>
              <w:ind w:left="780"/>
              <w:spacing w:after="0" w:line="173" w:lineRule="exact"/>
              <w:rPr>
                <w:sz w:val="20"/>
                <w:szCs w:val="20"/>
                <w:color w:val="auto"/>
              </w:rPr>
            </w:pPr>
            <w:r>
              <w:rPr>
                <w:rFonts w:ascii="Arial" w:cs="Arial" w:eastAsia="Arial" w:hAnsi="Arial"/>
                <w:sz w:val="18"/>
                <w:szCs w:val="18"/>
                <w:color w:val="auto"/>
                <w:w w:val="90"/>
              </w:rPr>
              <w:t>that resulted in electricity generation supply shortages, including in Texas, and natural gas</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320" w:type="dxa"/>
            <w:vAlign w:val="bottom"/>
            <w:shd w:val="clear" w:color="auto" w:fill="CCEEFF"/>
          </w:tcPr>
          <w:p>
            <w:pPr>
              <w:ind w:left="780"/>
              <w:spacing w:after="0" w:line="186" w:lineRule="exact"/>
              <w:rPr>
                <w:sz w:val="20"/>
                <w:szCs w:val="20"/>
                <w:color w:val="auto"/>
              </w:rPr>
            </w:pPr>
            <w:r>
              <w:rPr>
                <w:rFonts w:ascii="Arial" w:cs="Arial" w:eastAsia="Arial" w:hAnsi="Arial"/>
                <w:sz w:val="18"/>
                <w:szCs w:val="18"/>
                <w:color w:val="auto"/>
                <w:w w:val="96"/>
              </w:rPr>
              <w:t>supply shortages and increased wholesale prices of natural gas in the United States,</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primarily due to prolonged freezing temperatures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Federal Energy Regulatory Commission</w:t>
            </w:r>
          </w:p>
        </w:tc>
      </w:tr>
      <w:tr>
        <w:trPr>
          <w:trHeight w:val="187"/>
        </w:trPr>
        <w:tc>
          <w:tcPr>
            <w:tcW w:w="40" w:type="dxa"/>
            <w:vAlign w:val="bottom"/>
          </w:tcPr>
          <w:p>
            <w:pPr>
              <w:spacing w:after="0"/>
              <w:rPr>
                <w:sz w:val="16"/>
                <w:szCs w:val="16"/>
                <w:color w:val="auto"/>
              </w:rPr>
            </w:pPr>
          </w:p>
        </w:tc>
        <w:tc>
          <w:tcPr>
            <w:tcW w:w="38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b w:val="1"/>
                <w:bCs w:val="1"/>
                <w:i w:val="1"/>
                <w:iCs w:val="1"/>
                <w:color w:val="auto"/>
              </w:rPr>
              <w:t>First Amendment</w:t>
            </w:r>
          </w:p>
        </w:tc>
        <w:tc>
          <w:tcPr>
            <w:tcW w:w="7320" w:type="dxa"/>
            <w:vAlign w:val="bottom"/>
            <w:shd w:val="clear" w:color="auto" w:fill="CCEEFF"/>
          </w:tcPr>
          <w:p>
            <w:pPr>
              <w:ind w:left="780"/>
              <w:spacing w:after="0" w:line="188" w:lineRule="exact"/>
              <w:rPr>
                <w:sz w:val="20"/>
                <w:szCs w:val="20"/>
                <w:color w:val="auto"/>
              </w:rPr>
            </w:pPr>
            <w:r>
              <w:rPr>
                <w:rFonts w:ascii="Arial" w:cs="Arial" w:eastAsia="Arial" w:hAnsi="Arial"/>
                <w:sz w:val="18"/>
                <w:szCs w:val="18"/>
                <w:color w:val="auto"/>
              </w:rPr>
              <w:t>The First Amendment to the Credit Agreement dated as of July 26, 2023 among</w:t>
            </w:r>
          </w:p>
        </w:tc>
        <w:tc>
          <w:tcPr>
            <w:tcW w:w="20" w:type="dxa"/>
            <w:vAlign w:val="bottom"/>
          </w:tcPr>
          <w:p>
            <w:pPr>
              <w:spacing w:after="0"/>
              <w:rPr>
                <w:sz w:val="16"/>
                <w:szCs w:val="16"/>
                <w:color w:val="auto"/>
              </w:rPr>
            </w:pPr>
          </w:p>
        </w:tc>
      </w:tr>
      <w:tr>
        <w:trPr>
          <w:trHeight w:val="173"/>
        </w:trPr>
        <w:tc>
          <w:tcPr>
            <w:tcW w:w="4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7320" w:type="dxa"/>
            <w:vAlign w:val="bottom"/>
            <w:shd w:val="clear" w:color="auto" w:fill="CCEEFF"/>
          </w:tcPr>
          <w:p>
            <w:pPr>
              <w:ind w:left="780"/>
              <w:spacing w:after="0" w:line="173" w:lineRule="exact"/>
              <w:rPr>
                <w:sz w:val="20"/>
                <w:szCs w:val="20"/>
                <w:color w:val="auto"/>
              </w:rPr>
            </w:pPr>
            <w:r>
              <w:rPr>
                <w:rFonts w:ascii="Arial" w:cs="Arial" w:eastAsia="Arial" w:hAnsi="Arial"/>
                <w:sz w:val="18"/>
                <w:szCs w:val="18"/>
                <w:color w:val="auto"/>
                <w:w w:val="94"/>
              </w:rPr>
              <w:t>CenterPoint Energy, Inc., as borrower, JPMorgan Chase Bank, N.A., as administrative</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agent, and the banks party thereto</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Fitch Ratings, Inc.</w:t>
            </w:r>
          </w:p>
        </w:tc>
      </w:tr>
      <w:tr>
        <w:trPr>
          <w:trHeight w:val="233"/>
        </w:trPr>
        <w:tc>
          <w:tcPr>
            <w:tcW w:w="40" w:type="dxa"/>
            <w:vAlign w:val="bottom"/>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Quarterly Report on Form 10-Q</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Greenhouse gases</w:t>
            </w:r>
          </w:p>
        </w:tc>
      </w:tr>
      <w:tr>
        <w:trPr>
          <w:trHeight w:val="240"/>
        </w:trPr>
        <w:tc>
          <w:tcPr>
            <w:tcW w:w="40" w:type="dxa"/>
            <w:vAlign w:val="bottom"/>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Gas Reliability Infrastructure Program</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Gigawatt-hours</w:t>
            </w:r>
          </w:p>
        </w:tc>
      </w:tr>
      <w:tr>
        <w:trPr>
          <w:trHeight w:val="226"/>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CenterPoint Energy Houston Electric, LLC and its subsidiaries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IAS</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International Accounting Standards</w:t>
            </w:r>
          </w:p>
        </w:tc>
      </w:tr>
      <w:tr>
        <w:trPr>
          <w:trHeight w:val="240"/>
        </w:trPr>
        <w:tc>
          <w:tcPr>
            <w:tcW w:w="40" w:type="dxa"/>
            <w:vAlign w:val="bottom"/>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IBEW</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International Brotherhood of Electrical Workers</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Indiana Department of Environmental Management</w:t>
            </w:r>
          </w:p>
        </w:tc>
      </w:tr>
      <w:tr>
        <w:trPr>
          <w:trHeight w:val="174"/>
        </w:trPr>
        <w:tc>
          <w:tcPr>
            <w:tcW w:w="40" w:type="dxa"/>
            <w:vAlign w:val="bottom"/>
          </w:tcPr>
          <w:p>
            <w:pPr>
              <w:spacing w:after="0"/>
              <w:rPr>
                <w:sz w:val="15"/>
                <w:szCs w:val="15"/>
                <w:color w:val="auto"/>
              </w:rPr>
            </w:pPr>
          </w:p>
        </w:tc>
        <w:tc>
          <w:tcPr>
            <w:tcW w:w="38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Indiana Electric</w:t>
            </w:r>
          </w:p>
        </w:tc>
        <w:tc>
          <w:tcPr>
            <w:tcW w:w="732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w w:val="93"/>
              </w:rPr>
              <w:t>Operations of SIGECO’s electric transmission and distribution services, and includes its</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power generating and wholesale power operations</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86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Indiana Gas</w:t>
            </w:r>
          </w:p>
        </w:tc>
        <w:tc>
          <w:tcPr>
            <w:tcW w:w="7340" w:type="dxa"/>
            <w:vAlign w:val="bottom"/>
            <w:gridSpan w:val="2"/>
          </w:tcPr>
          <w:p>
            <w:pPr>
              <w:ind w:left="780"/>
              <w:spacing w:after="0" w:line="174" w:lineRule="exact"/>
              <w:rPr>
                <w:sz w:val="20"/>
                <w:szCs w:val="20"/>
                <w:color w:val="auto"/>
              </w:rPr>
            </w:pPr>
            <w:r>
              <w:rPr>
                <w:rFonts w:ascii="Arial" w:cs="Arial" w:eastAsia="Arial" w:hAnsi="Arial"/>
                <w:sz w:val="18"/>
                <w:szCs w:val="18"/>
                <w:color w:val="auto"/>
                <w:w w:val="93"/>
              </w:rPr>
              <w:t>Indiana Gas Company, Inc., formerly a wholly-owned subsidiary of Vectren, acquired by</w:t>
            </w:r>
          </w:p>
        </w:tc>
      </w:tr>
      <w:tr>
        <w:trPr>
          <w:trHeight w:val="224"/>
        </w:trPr>
        <w:tc>
          <w:tcPr>
            <w:tcW w:w="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CERC on June 30, 2022</w:t>
            </w:r>
          </w:p>
        </w:tc>
      </w:tr>
      <w:tr>
        <w:trPr>
          <w:trHeight w:val="240"/>
        </w:trPr>
        <w:tc>
          <w:tcPr>
            <w:tcW w:w="40" w:type="dxa"/>
            <w:vAlign w:val="bottom"/>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Gas operations of Indiana Gas</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Gas operations of SIGECO</w:t>
            </w:r>
          </w:p>
        </w:tc>
      </w:tr>
      <w:tr>
        <w:trPr>
          <w:trHeight w:val="226"/>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The combination of Indiana Electric, Indiana North and Indiana South</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w w:val="97"/>
              </w:rPr>
              <w:t>Unaudited condensed consolidated interim financial statements and combined notes</w:t>
            </w:r>
          </w:p>
        </w:tc>
      </w:tr>
      <w:tr>
        <w:trPr>
          <w:trHeight w:val="233"/>
        </w:trPr>
        <w:tc>
          <w:tcPr>
            <w:tcW w:w="40" w:type="dxa"/>
            <w:vAlign w:val="bottom"/>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IRA</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Inflation Reduction Act of 2022</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Integrated Resource Plan</w:t>
            </w:r>
          </w:p>
        </w:tc>
      </w:tr>
      <w:tr>
        <w:trPr>
          <w:trHeight w:val="240"/>
        </w:trPr>
        <w:tc>
          <w:tcPr>
            <w:tcW w:w="40" w:type="dxa"/>
            <w:vAlign w:val="bottom"/>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Internal Revenue Service</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340" w:type="dxa"/>
            <w:vAlign w:val="bottom"/>
            <w:gridSpan w:val="2"/>
          </w:tcPr>
          <w:p>
            <w:pPr>
              <w:ind w:left="780"/>
              <w:spacing w:after="0"/>
              <w:rPr>
                <w:sz w:val="20"/>
                <w:szCs w:val="20"/>
                <w:color w:val="auto"/>
              </w:rPr>
            </w:pPr>
            <w:r>
              <w:rPr>
                <w:rFonts w:ascii="Arial" w:cs="Arial" w:eastAsia="Arial" w:hAnsi="Arial"/>
                <w:sz w:val="18"/>
                <w:szCs w:val="18"/>
                <w:color w:val="auto"/>
              </w:rPr>
              <w:t>Indiana Utility Regulatory Commission</w:t>
            </w:r>
          </w:p>
        </w:tc>
      </w:tr>
      <w:tr>
        <w:trPr>
          <w:trHeight w:val="226"/>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19"/>
                <w:szCs w:val="19"/>
                <w:color w:val="auto"/>
              </w:rPr>
            </w:pPr>
          </w:p>
        </w:tc>
      </w:tr>
      <w:tr>
        <w:trPr>
          <w:trHeight w:val="729"/>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340" w:type="dxa"/>
            <w:vAlign w:val="bottom"/>
            <w:gridSpan w:val="2"/>
          </w:tcPr>
          <w:p>
            <w:pPr>
              <w:ind w:left="1660"/>
              <w:spacing w:after="0"/>
              <w:rPr>
                <w:sz w:val="20"/>
                <w:szCs w:val="20"/>
                <w:color w:val="auto"/>
              </w:rPr>
            </w:pPr>
            <w:r>
              <w:rPr>
                <w:rFonts w:ascii="Arial" w:cs="Arial" w:eastAsia="Arial" w:hAnsi="Arial"/>
                <w:sz w:val="18"/>
                <w:szCs w:val="18"/>
                <w:color w:val="auto"/>
              </w:rPr>
              <w:t>iii</w:t>
            </w:r>
          </w:p>
        </w:tc>
      </w:tr>
      <w:tr>
        <w:trPr>
          <w:trHeight w:val="114"/>
        </w:trPr>
        <w:tc>
          <w:tcPr>
            <w:tcW w:w="4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7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181"/>
        </w:trPr>
        <w:tc>
          <w:tcPr>
            <w:tcW w:w="40" w:type="dxa"/>
            <w:vAlign w:val="bottom"/>
          </w:tcPr>
          <w:p>
            <w:pPr>
              <w:spacing w:after="0"/>
              <w:rPr>
                <w:sz w:val="15"/>
                <w:szCs w:val="15"/>
                <w:color w:val="auto"/>
              </w:rPr>
            </w:pPr>
          </w:p>
        </w:tc>
        <w:tc>
          <w:tcPr>
            <w:tcW w:w="3340" w:type="dxa"/>
            <w:vAlign w:val="bottom"/>
          </w:tcPr>
          <w:p>
            <w:pPr>
              <w:ind w:left="20"/>
              <w:spacing w:after="0" w:line="181" w:lineRule="exact"/>
              <w:rPr>
                <w:sz w:val="20"/>
                <w:szCs w:val="20"/>
                <w:color w:val="auto"/>
              </w:rPr>
            </w:pPr>
            <w:r>
              <w:rPr>
                <w:rFonts w:ascii="Arial" w:cs="Arial" w:eastAsia="Arial" w:hAnsi="Arial"/>
                <w:sz w:val="18"/>
                <w:szCs w:val="18"/>
                <w:b w:val="1"/>
                <w:bCs w:val="1"/>
                <w:i w:val="1"/>
                <w:iCs w:val="1"/>
                <w:color w:val="auto"/>
              </w:rPr>
              <w:t>LLTF</w:t>
            </w:r>
          </w:p>
        </w:tc>
        <w:tc>
          <w:tcPr>
            <w:tcW w:w="7860" w:type="dxa"/>
            <w:vAlign w:val="bottom"/>
            <w:gridSpan w:val="2"/>
          </w:tcPr>
          <w:p>
            <w:pPr>
              <w:ind w:left="1300"/>
              <w:spacing w:after="0" w:line="181" w:lineRule="exact"/>
              <w:rPr>
                <w:sz w:val="20"/>
                <w:szCs w:val="20"/>
                <w:color w:val="auto"/>
              </w:rPr>
            </w:pPr>
            <w:r>
              <w:rPr>
                <w:rFonts w:ascii="Arial" w:cs="Arial" w:eastAsia="Arial" w:hAnsi="Arial"/>
                <w:sz w:val="18"/>
                <w:szCs w:val="18"/>
                <w:color w:val="auto"/>
                <w:w w:val="95"/>
              </w:rPr>
              <w:t>Long Lead Time Facilities, which are transmission and distribution facilities that have a</w:t>
            </w:r>
          </w:p>
        </w:tc>
      </w:tr>
      <w:tr>
        <w:trPr>
          <w:trHeight w:val="173"/>
        </w:trPr>
        <w:tc>
          <w:tcPr>
            <w:tcW w:w="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7860" w:type="dxa"/>
            <w:vAlign w:val="bottom"/>
            <w:gridSpan w:val="2"/>
          </w:tcPr>
          <w:p>
            <w:pPr>
              <w:ind w:left="1300"/>
              <w:spacing w:after="0" w:line="173" w:lineRule="exact"/>
              <w:rPr>
                <w:sz w:val="20"/>
                <w:szCs w:val="20"/>
                <w:color w:val="auto"/>
              </w:rPr>
            </w:pPr>
            <w:r>
              <w:rPr>
                <w:rFonts w:ascii="Arial" w:cs="Arial" w:eastAsia="Arial" w:hAnsi="Arial"/>
                <w:sz w:val="18"/>
                <w:szCs w:val="18"/>
                <w:color w:val="auto"/>
                <w:w w:val="96"/>
              </w:rPr>
              <w:t>lead time of at least six months and would aid in restoring power to Houston Electric’s</w:t>
            </w:r>
          </w:p>
        </w:tc>
      </w:tr>
      <w:tr>
        <w:trPr>
          <w:trHeight w:val="173"/>
        </w:trPr>
        <w:tc>
          <w:tcPr>
            <w:tcW w:w="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7860" w:type="dxa"/>
            <w:vAlign w:val="bottom"/>
            <w:gridSpan w:val="2"/>
          </w:tcPr>
          <w:p>
            <w:pPr>
              <w:ind w:left="1300"/>
              <w:spacing w:after="0" w:line="173" w:lineRule="exact"/>
              <w:rPr>
                <w:sz w:val="20"/>
                <w:szCs w:val="20"/>
                <w:color w:val="auto"/>
              </w:rPr>
            </w:pPr>
            <w:r>
              <w:rPr>
                <w:rFonts w:ascii="Arial" w:cs="Arial" w:eastAsia="Arial" w:hAnsi="Arial"/>
                <w:sz w:val="18"/>
                <w:szCs w:val="18"/>
                <w:color w:val="auto"/>
              </w:rPr>
              <w:t>distribution customers following a widespread power outage under Public Utility</w:t>
            </w:r>
          </w:p>
        </w:tc>
      </w:tr>
      <w:tr>
        <w:trPr>
          <w:trHeight w:val="231"/>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Regulatory Act Section 39.918</w:t>
            </w:r>
          </w:p>
        </w:tc>
      </w:tr>
      <w:tr>
        <w:trPr>
          <w:trHeight w:val="233"/>
        </w:trPr>
        <w:tc>
          <w:tcPr>
            <w:tcW w:w="40" w:type="dxa"/>
            <w:vAlign w:val="bottom"/>
          </w:tcPr>
          <w:p>
            <w:pPr>
              <w:spacing w:after="0"/>
              <w:rPr>
                <w:sz w:val="20"/>
                <w:szCs w:val="20"/>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LPSC</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Louisiana Public Service Commission</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LTIP</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Long-term Incentive Plan</w:t>
            </w:r>
          </w:p>
        </w:tc>
      </w:tr>
      <w:tr>
        <w:trPr>
          <w:trHeight w:val="187"/>
        </w:trPr>
        <w:tc>
          <w:tcPr>
            <w:tcW w:w="40" w:type="dxa"/>
            <w:vAlign w:val="bottom"/>
          </w:tcPr>
          <w:p>
            <w:pPr>
              <w:spacing w:after="0"/>
              <w:rPr>
                <w:sz w:val="16"/>
                <w:szCs w:val="16"/>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M&amp;DOT</w:t>
            </w:r>
          </w:p>
        </w:tc>
        <w:tc>
          <w:tcPr>
            <w:tcW w:w="7840" w:type="dxa"/>
            <w:vAlign w:val="bottom"/>
            <w:shd w:val="clear" w:color="auto" w:fill="CCEEFF"/>
          </w:tcPr>
          <w:p>
            <w:pPr>
              <w:ind w:left="1300"/>
              <w:spacing w:after="0" w:line="188" w:lineRule="exact"/>
              <w:rPr>
                <w:sz w:val="20"/>
                <w:szCs w:val="20"/>
                <w:color w:val="auto"/>
              </w:rPr>
            </w:pPr>
            <w:r>
              <w:rPr>
                <w:rFonts w:ascii="Arial" w:cs="Arial" w:eastAsia="Arial" w:hAnsi="Arial"/>
                <w:sz w:val="18"/>
                <w:szCs w:val="18"/>
                <w:color w:val="auto"/>
                <w:w w:val="94"/>
              </w:rPr>
              <w:t>Mortgage and Deed of Trust, dated November 1, 1944, between Houston Lighting and</w:t>
            </w:r>
          </w:p>
        </w:tc>
        <w:tc>
          <w:tcPr>
            <w:tcW w:w="20" w:type="dxa"/>
            <w:vAlign w:val="bottom"/>
          </w:tcPr>
          <w:p>
            <w:pPr>
              <w:spacing w:after="0"/>
              <w:rPr>
                <w:sz w:val="16"/>
                <w:szCs w:val="16"/>
                <w:color w:val="auto"/>
              </w:rPr>
            </w:pPr>
          </w:p>
        </w:tc>
      </w:tr>
      <w:tr>
        <w:trPr>
          <w:trHeight w:val="173"/>
        </w:trPr>
        <w:tc>
          <w:tcPr>
            <w:tcW w:w="40" w:type="dxa"/>
            <w:vAlign w:val="bottom"/>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7840" w:type="dxa"/>
            <w:vAlign w:val="bottom"/>
            <w:shd w:val="clear" w:color="auto" w:fill="CCEEFF"/>
          </w:tcPr>
          <w:p>
            <w:pPr>
              <w:ind w:left="1300"/>
              <w:spacing w:after="0" w:line="173" w:lineRule="exact"/>
              <w:rPr>
                <w:sz w:val="20"/>
                <w:szCs w:val="20"/>
                <w:color w:val="auto"/>
              </w:rPr>
            </w:pPr>
            <w:r>
              <w:rPr>
                <w:rFonts w:ascii="Arial" w:cs="Arial" w:eastAsia="Arial" w:hAnsi="Arial"/>
                <w:sz w:val="18"/>
                <w:szCs w:val="18"/>
                <w:color w:val="auto"/>
                <w:w w:val="92"/>
              </w:rPr>
              <w:t>Power Company and Chase Bank of Texas, National Association (formerly, South Texas</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7"/>
              </w:rPr>
              <w:t>Commercial National Bank of Houston), as Trustee, as amended and supplemented</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MDL</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Multi-district litigation</w:t>
            </w:r>
          </w:p>
        </w:tc>
      </w:tr>
      <w:tr>
        <w:trPr>
          <w:trHeight w:val="181"/>
        </w:trPr>
        <w:tc>
          <w:tcPr>
            <w:tcW w:w="40" w:type="dxa"/>
            <w:vAlign w:val="bottom"/>
          </w:tcPr>
          <w:p>
            <w:pPr>
              <w:spacing w:after="0"/>
              <w:rPr>
                <w:sz w:val="15"/>
                <w:szCs w:val="15"/>
                <w:color w:val="auto"/>
              </w:rPr>
            </w:pPr>
          </w:p>
        </w:tc>
        <w:tc>
          <w:tcPr>
            <w:tcW w:w="33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Merger</w:t>
            </w:r>
          </w:p>
        </w:tc>
        <w:tc>
          <w:tcPr>
            <w:tcW w:w="7840" w:type="dxa"/>
            <w:vAlign w:val="bottom"/>
            <w:shd w:val="clear" w:color="auto" w:fill="CCEEFF"/>
          </w:tcPr>
          <w:p>
            <w:pPr>
              <w:ind w:left="1300"/>
              <w:spacing w:after="0" w:line="181" w:lineRule="exact"/>
              <w:rPr>
                <w:sz w:val="20"/>
                <w:szCs w:val="20"/>
                <w:color w:val="auto"/>
              </w:rPr>
            </w:pPr>
            <w:r>
              <w:rPr>
                <w:rFonts w:ascii="Arial" w:cs="Arial" w:eastAsia="Arial" w:hAnsi="Arial"/>
                <w:sz w:val="18"/>
                <w:szCs w:val="18"/>
                <w:color w:val="auto"/>
                <w:w w:val="90"/>
              </w:rPr>
              <w:t>The merger of Merger Sub with and into Vectren on the terms and subject to the conditions</w:t>
            </w:r>
          </w:p>
        </w:tc>
        <w:tc>
          <w:tcPr>
            <w:tcW w:w="2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7840" w:type="dxa"/>
            <w:vAlign w:val="bottom"/>
            <w:shd w:val="clear" w:color="auto" w:fill="CCEEFF"/>
          </w:tcPr>
          <w:p>
            <w:pPr>
              <w:ind w:left="1300"/>
              <w:spacing w:after="0" w:line="173" w:lineRule="exact"/>
              <w:rPr>
                <w:sz w:val="20"/>
                <w:szCs w:val="20"/>
                <w:color w:val="auto"/>
              </w:rPr>
            </w:pPr>
            <w:r>
              <w:rPr>
                <w:rFonts w:ascii="Arial" w:cs="Arial" w:eastAsia="Arial" w:hAnsi="Arial"/>
                <w:sz w:val="18"/>
                <w:szCs w:val="18"/>
                <w:color w:val="auto"/>
                <w:w w:val="94"/>
              </w:rPr>
              <w:t>set forth in the Merger Agreement, with Vectren continuing as the surviving corporation</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and as a wholly-owned subsidiary of CenterPoint Energy, Inc.</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3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Merger Agreement</w:t>
            </w:r>
          </w:p>
        </w:tc>
        <w:tc>
          <w:tcPr>
            <w:tcW w:w="7860" w:type="dxa"/>
            <w:vAlign w:val="bottom"/>
            <w:gridSpan w:val="2"/>
          </w:tcPr>
          <w:p>
            <w:pPr>
              <w:ind w:left="1300"/>
              <w:spacing w:after="0" w:line="174" w:lineRule="exact"/>
              <w:rPr>
                <w:sz w:val="20"/>
                <w:szCs w:val="20"/>
                <w:color w:val="auto"/>
              </w:rPr>
            </w:pPr>
            <w:r>
              <w:rPr>
                <w:rFonts w:ascii="Arial" w:cs="Arial" w:eastAsia="Arial" w:hAnsi="Arial"/>
                <w:sz w:val="18"/>
                <w:szCs w:val="18"/>
                <w:color w:val="auto"/>
                <w:w w:val="94"/>
              </w:rPr>
              <w:t>Agreement and Plan of Merger, dated as of April 21, 2018, among CenterPoint Energy,</w:t>
            </w:r>
          </w:p>
        </w:tc>
      </w:tr>
      <w:tr>
        <w:trPr>
          <w:trHeight w:val="224"/>
        </w:trPr>
        <w:tc>
          <w:tcPr>
            <w:tcW w:w="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Vectren and Merger Sub</w:t>
            </w:r>
          </w:p>
        </w:tc>
      </w:tr>
      <w:tr>
        <w:trPr>
          <w:trHeight w:val="187"/>
        </w:trPr>
        <w:tc>
          <w:tcPr>
            <w:tcW w:w="40" w:type="dxa"/>
            <w:vAlign w:val="bottom"/>
          </w:tcPr>
          <w:p>
            <w:pPr>
              <w:spacing w:after="0"/>
              <w:rPr>
                <w:sz w:val="16"/>
                <w:szCs w:val="16"/>
                <w:color w:val="auto"/>
              </w:rPr>
            </w:pPr>
          </w:p>
        </w:tc>
        <w:tc>
          <w:tcPr>
            <w:tcW w:w="33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b w:val="1"/>
                <w:bCs w:val="1"/>
                <w:i w:val="1"/>
                <w:iCs w:val="1"/>
                <w:color w:val="auto"/>
              </w:rPr>
              <w:t>Merger Sub</w:t>
            </w:r>
          </w:p>
        </w:tc>
        <w:tc>
          <w:tcPr>
            <w:tcW w:w="7840" w:type="dxa"/>
            <w:vAlign w:val="bottom"/>
            <w:shd w:val="clear" w:color="auto" w:fill="CCEEFF"/>
          </w:tcPr>
          <w:p>
            <w:pPr>
              <w:ind w:left="1300"/>
              <w:spacing w:after="0" w:line="188" w:lineRule="exact"/>
              <w:rPr>
                <w:sz w:val="20"/>
                <w:szCs w:val="20"/>
                <w:color w:val="auto"/>
              </w:rPr>
            </w:pPr>
            <w:r>
              <w:rPr>
                <w:rFonts w:ascii="Arial" w:cs="Arial" w:eastAsia="Arial" w:hAnsi="Arial"/>
                <w:sz w:val="18"/>
                <w:szCs w:val="18"/>
                <w:color w:val="auto"/>
              </w:rPr>
              <w:t>Pacer Merger Sub, Inc., an Indiana corporation and wholly-owned subsidiary of</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CenterPoint Energy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Manufactured gas plant</w:t>
            </w:r>
          </w:p>
        </w:tc>
      </w:tr>
      <w:tr>
        <w:trPr>
          <w:trHeight w:val="240"/>
        </w:trPr>
        <w:tc>
          <w:tcPr>
            <w:tcW w:w="40" w:type="dxa"/>
            <w:vAlign w:val="bottom"/>
          </w:tcPr>
          <w:p>
            <w:pPr>
              <w:spacing w:after="0"/>
              <w:rPr>
                <w:sz w:val="20"/>
                <w:szCs w:val="20"/>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MISO</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Midcontinent Independent System Operator</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Moody’s Investors Service, Inc.</w:t>
            </w:r>
          </w:p>
        </w:tc>
      </w:tr>
      <w:tr>
        <w:trPr>
          <w:trHeight w:val="226"/>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Megawatt</w:t>
            </w:r>
          </w:p>
        </w:tc>
      </w:tr>
      <w:tr>
        <w:trPr>
          <w:trHeight w:val="233"/>
        </w:trPr>
        <w:tc>
          <w:tcPr>
            <w:tcW w:w="40" w:type="dxa"/>
            <w:vAlign w:val="bottom"/>
          </w:tcPr>
          <w:p>
            <w:pPr>
              <w:spacing w:after="0"/>
              <w:rPr>
                <w:sz w:val="20"/>
                <w:szCs w:val="20"/>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NERC</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North American Electric Reliability Corporation</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NRG Energy, Inc.</w:t>
            </w:r>
          </w:p>
        </w:tc>
      </w:tr>
      <w:tr>
        <w:trPr>
          <w:trHeight w:val="240"/>
        </w:trPr>
        <w:tc>
          <w:tcPr>
            <w:tcW w:w="40" w:type="dxa"/>
            <w:vAlign w:val="bottom"/>
          </w:tcPr>
          <w:p>
            <w:pPr>
              <w:spacing w:after="0"/>
              <w:rPr>
                <w:sz w:val="20"/>
                <w:szCs w:val="20"/>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Oriden</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Oriden LLC</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Origis</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Origis Energy USA Inc.</w:t>
            </w:r>
          </w:p>
        </w:tc>
      </w:tr>
      <w:tr>
        <w:trPr>
          <w:trHeight w:val="226"/>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OUCC</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Indiana Office of Utility Consumer Counselor</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PFD</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Proposal for decision</w:t>
            </w:r>
          </w:p>
        </w:tc>
      </w:tr>
      <w:tr>
        <w:trPr>
          <w:trHeight w:val="233"/>
        </w:trPr>
        <w:tc>
          <w:tcPr>
            <w:tcW w:w="40" w:type="dxa"/>
            <w:vAlign w:val="bottom"/>
          </w:tcPr>
          <w:p>
            <w:pPr>
              <w:spacing w:after="0"/>
              <w:rPr>
                <w:sz w:val="20"/>
                <w:szCs w:val="20"/>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Posey Solar</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Posey Solar, LLC, a special purpose entity</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PPA</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Power Purchase Agreement</w:t>
            </w:r>
          </w:p>
        </w:tc>
      </w:tr>
      <w:tr>
        <w:trPr>
          <w:trHeight w:val="240"/>
        </w:trPr>
        <w:tc>
          <w:tcPr>
            <w:tcW w:w="40" w:type="dxa"/>
            <w:vAlign w:val="bottom"/>
          </w:tcPr>
          <w:p>
            <w:pPr>
              <w:spacing w:after="0"/>
              <w:rPr>
                <w:sz w:val="20"/>
                <w:szCs w:val="20"/>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Potentially responsible parties</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PTCs</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Production Tax Credits</w:t>
            </w:r>
          </w:p>
        </w:tc>
      </w:tr>
      <w:tr>
        <w:trPr>
          <w:trHeight w:val="226"/>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Public Utilities Commission of Ohio</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Public Utility Commission of Texas</w:t>
            </w:r>
          </w:p>
        </w:tc>
      </w:tr>
      <w:tr>
        <w:trPr>
          <w:trHeight w:val="240"/>
        </w:trPr>
        <w:tc>
          <w:tcPr>
            <w:tcW w:w="40" w:type="dxa"/>
            <w:vAlign w:val="bottom"/>
          </w:tcPr>
          <w:p>
            <w:pPr>
              <w:spacing w:after="0"/>
              <w:rPr>
                <w:sz w:val="20"/>
                <w:szCs w:val="20"/>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Railroad Commission of Texas</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Resource Conservation and Recovery Act of 1976</w:t>
            </w:r>
          </w:p>
        </w:tc>
      </w:tr>
      <w:tr>
        <w:trPr>
          <w:trHeight w:val="226"/>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CenterPoint Energy, Houston Electric and CERC, collectively</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Retail electric provider</w:t>
            </w:r>
          </w:p>
        </w:tc>
      </w:tr>
      <w:tr>
        <w:trPr>
          <w:trHeight w:val="181"/>
        </w:trPr>
        <w:tc>
          <w:tcPr>
            <w:tcW w:w="40" w:type="dxa"/>
            <w:vAlign w:val="bottom"/>
          </w:tcPr>
          <w:p>
            <w:pPr>
              <w:spacing w:after="0"/>
              <w:rPr>
                <w:sz w:val="15"/>
                <w:szCs w:val="15"/>
                <w:color w:val="auto"/>
              </w:rPr>
            </w:pPr>
          </w:p>
        </w:tc>
        <w:tc>
          <w:tcPr>
            <w:tcW w:w="33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Restoration Bond Company</w:t>
            </w:r>
          </w:p>
        </w:tc>
        <w:tc>
          <w:tcPr>
            <w:tcW w:w="7840" w:type="dxa"/>
            <w:vAlign w:val="bottom"/>
            <w:shd w:val="clear" w:color="auto" w:fill="CCEEFF"/>
          </w:tcPr>
          <w:p>
            <w:pPr>
              <w:ind w:left="1300"/>
              <w:spacing w:after="0" w:line="181" w:lineRule="exact"/>
              <w:rPr>
                <w:sz w:val="20"/>
                <w:szCs w:val="20"/>
                <w:color w:val="auto"/>
              </w:rPr>
            </w:pPr>
            <w:r>
              <w:rPr>
                <w:rFonts w:ascii="Arial" w:cs="Arial" w:eastAsia="Arial" w:hAnsi="Arial"/>
                <w:sz w:val="18"/>
                <w:szCs w:val="18"/>
                <w:color w:val="auto"/>
                <w:w w:val="97"/>
              </w:rPr>
              <w:t>CenterPoint Energy Restoration Bond Company, LLC, a wholly-owned subsidiary of</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19"/>
                <w:szCs w:val="19"/>
                <w:color w:val="auto"/>
              </w:rPr>
            </w:pPr>
          </w:p>
        </w:tc>
      </w:tr>
      <w:tr>
        <w:trPr>
          <w:trHeight w:val="187"/>
        </w:trPr>
        <w:tc>
          <w:tcPr>
            <w:tcW w:w="40" w:type="dxa"/>
            <w:vAlign w:val="bottom"/>
          </w:tcPr>
          <w:p>
            <w:pPr>
              <w:spacing w:after="0"/>
              <w:rPr>
                <w:sz w:val="16"/>
                <w:szCs w:val="16"/>
                <w:color w:val="auto"/>
              </w:rPr>
            </w:pPr>
          </w:p>
        </w:tc>
        <w:tc>
          <w:tcPr>
            <w:tcW w:w="3340" w:type="dxa"/>
            <w:vAlign w:val="bottom"/>
          </w:tcPr>
          <w:p>
            <w:pPr>
              <w:ind w:left="20"/>
              <w:spacing w:after="0" w:line="187" w:lineRule="exact"/>
              <w:rPr>
                <w:sz w:val="20"/>
                <w:szCs w:val="20"/>
                <w:color w:val="auto"/>
              </w:rPr>
            </w:pPr>
            <w:r>
              <w:rPr>
                <w:rFonts w:ascii="Arial" w:cs="Arial" w:eastAsia="Arial" w:hAnsi="Arial"/>
                <w:sz w:val="18"/>
                <w:szCs w:val="18"/>
                <w:b w:val="1"/>
                <w:bCs w:val="1"/>
                <w:i w:val="1"/>
                <w:iCs w:val="1"/>
                <w:color w:val="auto"/>
              </w:rPr>
              <w:t>Restructuring</w:t>
            </w:r>
          </w:p>
        </w:tc>
        <w:tc>
          <w:tcPr>
            <w:tcW w:w="7860" w:type="dxa"/>
            <w:vAlign w:val="bottom"/>
            <w:gridSpan w:val="2"/>
          </w:tcPr>
          <w:p>
            <w:pPr>
              <w:ind w:left="1300"/>
              <w:spacing w:after="0" w:line="187" w:lineRule="exact"/>
              <w:rPr>
                <w:sz w:val="20"/>
                <w:szCs w:val="20"/>
                <w:color w:val="auto"/>
              </w:rPr>
            </w:pPr>
            <w:r>
              <w:rPr>
                <w:rFonts w:ascii="Arial" w:cs="Arial" w:eastAsia="Arial" w:hAnsi="Arial"/>
                <w:sz w:val="18"/>
                <w:szCs w:val="18"/>
                <w:color w:val="auto"/>
                <w:w w:val="93"/>
              </w:rPr>
              <w:t>CERC Corp.’s common control acquisition of Indiana Gas and VEDO from VUH on June</w:t>
            </w:r>
          </w:p>
        </w:tc>
      </w:tr>
      <w:tr>
        <w:trPr>
          <w:trHeight w:val="224"/>
        </w:trPr>
        <w:tc>
          <w:tcPr>
            <w:tcW w:w="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7840" w:type="dxa"/>
            <w:vAlign w:val="bottom"/>
          </w:tcPr>
          <w:p>
            <w:pPr>
              <w:ind w:left="1300"/>
              <w:spacing w:after="0"/>
              <w:rPr>
                <w:sz w:val="20"/>
                <w:szCs w:val="20"/>
                <w:color w:val="auto"/>
              </w:rPr>
            </w:pPr>
            <w:r>
              <w:rPr>
                <w:rFonts w:ascii="Arial" w:cs="Arial" w:eastAsia="Arial" w:hAnsi="Arial"/>
                <w:sz w:val="18"/>
                <w:szCs w:val="18"/>
                <w:color w:val="auto"/>
              </w:rPr>
              <w:t>30, 2022</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Return on equity</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Right of use</w:t>
            </w:r>
          </w:p>
        </w:tc>
      </w:tr>
      <w:tr>
        <w:trPr>
          <w:trHeight w:val="233"/>
        </w:trPr>
        <w:tc>
          <w:tcPr>
            <w:tcW w:w="40" w:type="dxa"/>
            <w:vAlign w:val="bottom"/>
          </w:tcPr>
          <w:p>
            <w:pPr>
              <w:spacing w:after="0"/>
              <w:rPr>
                <w:sz w:val="20"/>
                <w:szCs w:val="20"/>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Rate Regulation Adjustment</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Rate Stabilization Plan</w:t>
            </w:r>
          </w:p>
        </w:tc>
      </w:tr>
      <w:tr>
        <w:trPr>
          <w:trHeight w:val="240"/>
        </w:trPr>
        <w:tc>
          <w:tcPr>
            <w:tcW w:w="40" w:type="dxa"/>
            <w:vAlign w:val="bottom"/>
          </w:tcPr>
          <w:p>
            <w:pPr>
              <w:spacing w:after="0"/>
              <w:rPr>
                <w:sz w:val="20"/>
                <w:szCs w:val="20"/>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S&amp;P Global Ratings</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Scope 1 emissions</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Direct source of emissions from a company’s operations</w:t>
            </w:r>
          </w:p>
        </w:tc>
      </w:tr>
      <w:tr>
        <w:trPr>
          <w:trHeight w:val="226"/>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Scope 2 emissions</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Indirect source of emissions from a company’s energy usage</w:t>
            </w:r>
          </w:p>
        </w:tc>
        <w:tc>
          <w:tcPr>
            <w:tcW w:w="20" w:type="dxa"/>
            <w:vAlign w:val="bottom"/>
          </w:tcPr>
          <w:p>
            <w:pPr>
              <w:spacing w:after="0"/>
              <w:rPr>
                <w:sz w:val="19"/>
                <w:szCs w:val="19"/>
                <w:color w:val="auto"/>
              </w:rPr>
            </w:pPr>
          </w:p>
        </w:tc>
      </w:tr>
      <w:tr>
        <w:trPr>
          <w:trHeight w:val="729"/>
        </w:trPr>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860" w:type="dxa"/>
            <w:vAlign w:val="bottom"/>
            <w:gridSpan w:val="2"/>
          </w:tcPr>
          <w:p>
            <w:pPr>
              <w:ind w:left="2180"/>
              <w:spacing w:after="0"/>
              <w:rPr>
                <w:sz w:val="20"/>
                <w:szCs w:val="20"/>
                <w:color w:val="auto"/>
              </w:rPr>
            </w:pPr>
            <w:r>
              <w:rPr>
                <w:rFonts w:ascii="Arial" w:cs="Arial" w:eastAsia="Arial" w:hAnsi="Arial"/>
                <w:sz w:val="18"/>
                <w:szCs w:val="18"/>
                <w:color w:val="auto"/>
              </w:rPr>
              <w:t>iv</w:t>
            </w:r>
          </w:p>
        </w:tc>
      </w:tr>
      <w:tr>
        <w:trPr>
          <w:trHeight w:val="114"/>
        </w:trPr>
        <w:tc>
          <w:tcPr>
            <w:tcW w:w="4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7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774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Scope 3 emissions</w:t>
            </w: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Indirect source of emissions from a company’s end-users</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Securities and Exchange Commission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4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Securitization Bonds</w:t>
            </w:r>
          </w:p>
        </w:tc>
        <w:tc>
          <w:tcPr>
            <w:tcW w:w="7760" w:type="dxa"/>
            <w:vAlign w:val="bottom"/>
            <w:gridSpan w:val="2"/>
          </w:tcPr>
          <w:p>
            <w:pPr>
              <w:ind w:left="1200"/>
              <w:spacing w:after="0" w:line="174" w:lineRule="exact"/>
              <w:rPr>
                <w:sz w:val="20"/>
                <w:szCs w:val="20"/>
                <w:color w:val="auto"/>
              </w:rPr>
            </w:pPr>
            <w:r>
              <w:rPr>
                <w:rFonts w:ascii="Arial" w:cs="Arial" w:eastAsia="Arial" w:hAnsi="Arial"/>
                <w:sz w:val="18"/>
                <w:szCs w:val="18"/>
                <w:color w:val="auto"/>
                <w:w w:val="95"/>
              </w:rPr>
              <w:t>Transition and system restoration bonds issued by the Bond Companies and SIGECO</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440" w:type="dxa"/>
            <w:vAlign w:val="bottom"/>
            <w:vMerge w:val="continue"/>
          </w:tcPr>
          <w:p>
            <w:pPr>
              <w:spacing w:after="0"/>
              <w:rPr>
                <w:sz w:val="20"/>
                <w:szCs w:val="20"/>
                <w:color w:val="auto"/>
              </w:rPr>
            </w:pP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Securitization Bonds issued by the Securitization Subsidiary</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Securitization Subsidiary</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SIGECO Securitization I, LLC, a direct, wholly-owned subsidiary of SIGECO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4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Series A Preferred Stock</w:t>
            </w:r>
          </w:p>
        </w:tc>
        <w:tc>
          <w:tcPr>
            <w:tcW w:w="7760" w:type="dxa"/>
            <w:vAlign w:val="bottom"/>
            <w:gridSpan w:val="2"/>
          </w:tcPr>
          <w:p>
            <w:pPr>
              <w:ind w:left="1200"/>
              <w:spacing w:after="0" w:line="174" w:lineRule="exact"/>
              <w:rPr>
                <w:sz w:val="20"/>
                <w:szCs w:val="20"/>
                <w:color w:val="auto"/>
              </w:rPr>
            </w:pPr>
            <w:r>
              <w:rPr>
                <w:rFonts w:ascii="Arial" w:cs="Arial" w:eastAsia="Arial" w:hAnsi="Arial"/>
                <w:sz w:val="18"/>
                <w:szCs w:val="18"/>
                <w:color w:val="auto"/>
                <w:w w:val="92"/>
              </w:rPr>
              <w:t>CenterPoint Energy’s Series A Fixed-to-Floating Rate Cumulative Redeemable Perpetual</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7760" w:type="dxa"/>
            <w:vAlign w:val="bottom"/>
            <w:gridSpan w:val="2"/>
          </w:tcPr>
          <w:p>
            <w:pPr>
              <w:ind w:left="1200"/>
              <w:spacing w:after="0" w:line="186" w:lineRule="exact"/>
              <w:rPr>
                <w:sz w:val="20"/>
                <w:szCs w:val="20"/>
                <w:color w:val="auto"/>
              </w:rPr>
            </w:pPr>
            <w:r>
              <w:rPr>
                <w:rFonts w:ascii="Arial" w:cs="Arial" w:eastAsia="Arial" w:hAnsi="Arial"/>
                <w:sz w:val="18"/>
                <w:szCs w:val="18"/>
                <w:color w:val="auto"/>
                <w:w w:val="95"/>
              </w:rPr>
              <w:t>Preferred Stock, par value $0.01 per share, with a liquidation preference of $1,000 per</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share</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8"/>
              </w:rPr>
              <w:t>Southern Indiana Gas and Electric Company, a wholly-owned subsidiary of Vectren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SIGECO Securitization Bonds</w:t>
            </w: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Securitization Subsidiary’s Series 2023-A Senior Secured Securitization Bonds</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SOFR</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Secured Overnight Financing Rate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4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Southern Col Midco</w:t>
            </w:r>
          </w:p>
        </w:tc>
        <w:tc>
          <w:tcPr>
            <w:tcW w:w="7760" w:type="dxa"/>
            <w:vAlign w:val="bottom"/>
            <w:gridSpan w:val="2"/>
          </w:tcPr>
          <w:p>
            <w:pPr>
              <w:ind w:left="1200"/>
              <w:spacing w:after="0" w:line="174" w:lineRule="exact"/>
              <w:rPr>
                <w:sz w:val="20"/>
                <w:szCs w:val="20"/>
                <w:color w:val="auto"/>
              </w:rPr>
            </w:pPr>
            <w:r>
              <w:rPr>
                <w:rFonts w:ascii="Arial" w:cs="Arial" w:eastAsia="Arial" w:hAnsi="Arial"/>
                <w:sz w:val="18"/>
                <w:szCs w:val="18"/>
                <w:color w:val="auto"/>
                <w:w w:val="92"/>
              </w:rPr>
              <w:t>Southern Col Midco, LLC, a Delaware limited liability company and an affiliate of Summit</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Utilities, Inc.</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Sales Reconciliation Component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To be determined</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Tax reform legislation informally called the Tax Cuts and Jobs Act of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Transmission Cost of Service</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TCRF</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Transmission Cost Recovery Factor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Transmission, Distribution and Storage System Improvement Charge</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Transmission and distribution utility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4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TEEEF</w:t>
            </w:r>
          </w:p>
        </w:tc>
        <w:tc>
          <w:tcPr>
            <w:tcW w:w="7760" w:type="dxa"/>
            <w:vAlign w:val="bottom"/>
            <w:gridSpan w:val="2"/>
          </w:tcPr>
          <w:p>
            <w:pPr>
              <w:ind w:left="1200"/>
              <w:spacing w:after="0" w:line="174" w:lineRule="exact"/>
              <w:rPr>
                <w:sz w:val="20"/>
                <w:szCs w:val="20"/>
                <w:color w:val="auto"/>
              </w:rPr>
            </w:pPr>
            <w:r>
              <w:rPr>
                <w:rFonts w:ascii="Arial" w:cs="Arial" w:eastAsia="Arial" w:hAnsi="Arial"/>
                <w:sz w:val="18"/>
                <w:szCs w:val="18"/>
                <w:color w:val="auto"/>
                <w:w w:val="92"/>
              </w:rPr>
              <w:t>Assets leased or costs incurred as “temporary emergency electric energy facilities” under</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w w:val="96"/>
              </w:rPr>
              <w:t>the Public Utility Regulatory Act Section 39.918, also referred to as mobile generation</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4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Transition Services Agreement</w:t>
            </w:r>
          </w:p>
        </w:tc>
        <w:tc>
          <w:tcPr>
            <w:tcW w:w="7740" w:type="dxa"/>
            <w:vAlign w:val="bottom"/>
            <w:shd w:val="clear" w:color="auto" w:fill="CCEEFF"/>
          </w:tcPr>
          <w:p>
            <w:pPr>
              <w:ind w:left="1200"/>
              <w:spacing w:after="0" w:line="181" w:lineRule="exact"/>
              <w:rPr>
                <w:sz w:val="20"/>
                <w:szCs w:val="20"/>
                <w:color w:val="auto"/>
              </w:rPr>
            </w:pPr>
            <w:r>
              <w:rPr>
                <w:rFonts w:ascii="Arial" w:cs="Arial" w:eastAsia="Arial" w:hAnsi="Arial"/>
                <w:sz w:val="18"/>
                <w:szCs w:val="18"/>
                <w:color w:val="auto"/>
                <w:w w:val="89"/>
              </w:rPr>
              <w:t>Transition Services Agreement by and between CenterPoint Energy Service Company,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and Southern Col Midco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440" w:type="dxa"/>
            <w:vAlign w:val="bottom"/>
          </w:tcPr>
          <w:p>
            <w:pPr>
              <w:ind w:left="20"/>
              <w:spacing w:after="0" w:line="187" w:lineRule="exact"/>
              <w:rPr>
                <w:sz w:val="20"/>
                <w:szCs w:val="20"/>
                <w:color w:val="auto"/>
              </w:rPr>
            </w:pPr>
            <w:r>
              <w:rPr>
                <w:rFonts w:ascii="Arial" w:cs="Arial" w:eastAsia="Arial" w:hAnsi="Arial"/>
                <w:sz w:val="18"/>
                <w:szCs w:val="18"/>
                <w:b w:val="1"/>
                <w:bCs w:val="1"/>
                <w:i w:val="1"/>
                <w:iCs w:val="1"/>
                <w:color w:val="auto"/>
              </w:rPr>
              <w:t>Vectren</w:t>
            </w:r>
          </w:p>
        </w:tc>
        <w:tc>
          <w:tcPr>
            <w:tcW w:w="7760" w:type="dxa"/>
            <w:vAlign w:val="bottom"/>
            <w:gridSpan w:val="2"/>
          </w:tcPr>
          <w:p>
            <w:pPr>
              <w:ind w:left="1200"/>
              <w:spacing w:after="0" w:line="187" w:lineRule="exact"/>
              <w:rPr>
                <w:sz w:val="20"/>
                <w:szCs w:val="20"/>
                <w:color w:val="auto"/>
              </w:rPr>
            </w:pPr>
            <w:r>
              <w:rPr>
                <w:rFonts w:ascii="Arial" w:cs="Arial" w:eastAsia="Arial" w:hAnsi="Arial"/>
                <w:sz w:val="18"/>
                <w:szCs w:val="18"/>
                <w:color w:val="auto"/>
                <w:w w:val="98"/>
              </w:rPr>
              <w:t>Vectren, LLC, which converted its corporate structure from Vectren Corporation to a</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60" w:type="dxa"/>
            <w:vAlign w:val="bottom"/>
            <w:gridSpan w:val="2"/>
          </w:tcPr>
          <w:p>
            <w:pPr>
              <w:ind w:left="1200"/>
              <w:spacing w:after="0" w:line="173" w:lineRule="exact"/>
              <w:rPr>
                <w:sz w:val="20"/>
                <w:szCs w:val="20"/>
                <w:color w:val="auto"/>
              </w:rPr>
            </w:pPr>
            <w:r>
              <w:rPr>
                <w:rFonts w:ascii="Arial" w:cs="Arial" w:eastAsia="Arial" w:hAnsi="Arial"/>
                <w:sz w:val="18"/>
                <w:szCs w:val="18"/>
                <w:color w:val="auto"/>
                <w:w w:val="97"/>
              </w:rPr>
              <w:t>limited liability company on June 30, 2022, a wholly-owned subsidiary of CenterPoint</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Energy as of February 1, 2019</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4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b w:val="1"/>
                <w:bCs w:val="1"/>
                <w:i w:val="1"/>
                <w:iCs w:val="1"/>
                <w:color w:val="auto"/>
              </w:rPr>
              <w:t>Vectren Energy Services</w:t>
            </w:r>
          </w:p>
        </w:tc>
        <w:tc>
          <w:tcPr>
            <w:tcW w:w="7740" w:type="dxa"/>
            <w:vAlign w:val="bottom"/>
            <w:shd w:val="clear" w:color="auto" w:fill="CCEEFF"/>
          </w:tcPr>
          <w:p>
            <w:pPr>
              <w:ind w:left="1200"/>
              <w:spacing w:after="0" w:line="188" w:lineRule="exact"/>
              <w:rPr>
                <w:sz w:val="20"/>
                <w:szCs w:val="20"/>
                <w:color w:val="auto"/>
              </w:rPr>
            </w:pPr>
            <w:r>
              <w:rPr>
                <w:rFonts w:ascii="Arial" w:cs="Arial" w:eastAsia="Arial" w:hAnsi="Arial"/>
                <w:sz w:val="18"/>
                <w:szCs w:val="18"/>
                <w:color w:val="auto"/>
              </w:rPr>
              <w:t>Vectren Energy Services Corporation, an Indiana corporation and a wholly-owned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subsidiary of CenterPoint Energy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4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VEDO</w:t>
            </w:r>
          </w:p>
        </w:tc>
        <w:tc>
          <w:tcPr>
            <w:tcW w:w="7760" w:type="dxa"/>
            <w:vAlign w:val="bottom"/>
            <w:gridSpan w:val="2"/>
          </w:tcPr>
          <w:p>
            <w:pPr>
              <w:ind w:left="1200"/>
              <w:spacing w:after="0" w:line="174" w:lineRule="exact"/>
              <w:rPr>
                <w:sz w:val="20"/>
                <w:szCs w:val="20"/>
                <w:color w:val="auto"/>
              </w:rPr>
            </w:pPr>
            <w:r>
              <w:rPr>
                <w:rFonts w:ascii="Arial" w:cs="Arial" w:eastAsia="Arial" w:hAnsi="Arial"/>
                <w:sz w:val="18"/>
                <w:szCs w:val="18"/>
                <w:color w:val="auto"/>
                <w:w w:val="99"/>
              </w:rPr>
              <w:t>Vectren Energy Delivery of Ohio, LLC, which converted its corporate structure from</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7760" w:type="dxa"/>
            <w:vAlign w:val="bottom"/>
            <w:gridSpan w:val="2"/>
          </w:tcPr>
          <w:p>
            <w:pPr>
              <w:ind w:left="1200"/>
              <w:spacing w:after="0" w:line="186" w:lineRule="exact"/>
              <w:rPr>
                <w:sz w:val="20"/>
                <w:szCs w:val="20"/>
                <w:color w:val="auto"/>
              </w:rPr>
            </w:pPr>
            <w:r>
              <w:rPr>
                <w:rFonts w:ascii="Arial" w:cs="Arial" w:eastAsia="Arial" w:hAnsi="Arial"/>
                <w:sz w:val="18"/>
                <w:szCs w:val="18"/>
                <w:color w:val="auto"/>
                <w:w w:val="96"/>
              </w:rPr>
              <w:t>Vectren Energy Delivery of Ohio, Inc. to a limited liability company on June 13, 2022,</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w w:val="97"/>
              </w:rPr>
              <w:t>formerly a wholly-owned subsidiary of Vectren, acquired by CERC on June 30, 2022</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Variable interest entity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4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Vistra Energy Corp.</w:t>
            </w:r>
          </w:p>
        </w:tc>
        <w:tc>
          <w:tcPr>
            <w:tcW w:w="7760" w:type="dxa"/>
            <w:vAlign w:val="bottom"/>
            <w:gridSpan w:val="2"/>
          </w:tcPr>
          <w:p>
            <w:pPr>
              <w:ind w:left="1200"/>
              <w:spacing w:after="0" w:line="174" w:lineRule="exact"/>
              <w:rPr>
                <w:sz w:val="20"/>
                <w:szCs w:val="20"/>
                <w:color w:val="auto"/>
              </w:rPr>
            </w:pPr>
            <w:r>
              <w:rPr>
                <w:rFonts w:ascii="Arial" w:cs="Arial" w:eastAsia="Arial" w:hAnsi="Arial"/>
                <w:sz w:val="18"/>
                <w:szCs w:val="18"/>
                <w:color w:val="auto"/>
                <w:w w:val="93"/>
              </w:rPr>
              <w:t>Texas-based energy company focused on the competitive energy and power generation</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markets, whose major subsidiaries include Luminant and TXU Energy</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Voluntary Remediation Program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4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VUH</w:t>
            </w:r>
          </w:p>
        </w:tc>
        <w:tc>
          <w:tcPr>
            <w:tcW w:w="7760" w:type="dxa"/>
            <w:vAlign w:val="bottom"/>
            <w:gridSpan w:val="2"/>
          </w:tcPr>
          <w:p>
            <w:pPr>
              <w:ind w:left="1200"/>
              <w:spacing w:after="0" w:line="174" w:lineRule="exact"/>
              <w:rPr>
                <w:sz w:val="20"/>
                <w:szCs w:val="20"/>
                <w:color w:val="auto"/>
              </w:rPr>
            </w:pPr>
            <w:r>
              <w:rPr>
                <w:rFonts w:ascii="Arial" w:cs="Arial" w:eastAsia="Arial" w:hAnsi="Arial"/>
                <w:sz w:val="18"/>
                <w:szCs w:val="18"/>
                <w:color w:val="auto"/>
                <w:w w:val="92"/>
              </w:rPr>
              <w:t>Vectren Utility Holdings, LLC, which converted its corporate structure from Vectren Utility</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7760" w:type="dxa"/>
            <w:vAlign w:val="bottom"/>
            <w:gridSpan w:val="2"/>
          </w:tcPr>
          <w:p>
            <w:pPr>
              <w:ind w:left="1200"/>
              <w:spacing w:after="0" w:line="186" w:lineRule="exact"/>
              <w:rPr>
                <w:sz w:val="20"/>
                <w:szCs w:val="20"/>
                <w:color w:val="auto"/>
              </w:rPr>
            </w:pPr>
            <w:r>
              <w:rPr>
                <w:rFonts w:ascii="Arial" w:cs="Arial" w:eastAsia="Arial" w:hAnsi="Arial"/>
                <w:sz w:val="18"/>
                <w:szCs w:val="18"/>
                <w:color w:val="auto"/>
                <w:w w:val="93"/>
              </w:rPr>
              <w:t>Holdings, Inc. to a limited liability company on June 30, 2022, a wholly-owned subsidiary</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of Vectren</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WBD Common</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Warner Bros. Discovery, Inc. Series A common stock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440" w:type="dxa"/>
            <w:vAlign w:val="bottom"/>
          </w:tcPr>
          <w:p>
            <w:pPr>
              <w:ind w:left="20"/>
              <w:spacing w:after="0" w:line="187" w:lineRule="exact"/>
              <w:rPr>
                <w:sz w:val="20"/>
                <w:szCs w:val="20"/>
                <w:color w:val="auto"/>
              </w:rPr>
            </w:pPr>
            <w:r>
              <w:rPr>
                <w:rFonts w:ascii="Arial" w:cs="Arial" w:eastAsia="Arial" w:hAnsi="Arial"/>
                <w:sz w:val="18"/>
                <w:szCs w:val="18"/>
                <w:b w:val="1"/>
                <w:bCs w:val="1"/>
                <w:i w:val="1"/>
                <w:iCs w:val="1"/>
                <w:color w:val="auto"/>
              </w:rPr>
              <w:t>Winter Storm Elliott</w:t>
            </w:r>
          </w:p>
        </w:tc>
        <w:tc>
          <w:tcPr>
            <w:tcW w:w="7760" w:type="dxa"/>
            <w:vAlign w:val="bottom"/>
            <w:gridSpan w:val="2"/>
          </w:tcPr>
          <w:p>
            <w:pPr>
              <w:ind w:left="1200"/>
              <w:spacing w:after="0" w:line="187" w:lineRule="exact"/>
              <w:rPr>
                <w:sz w:val="20"/>
                <w:szCs w:val="20"/>
                <w:color w:val="auto"/>
              </w:rPr>
            </w:pPr>
            <w:r>
              <w:rPr>
                <w:rFonts w:ascii="Arial" w:cs="Arial" w:eastAsia="Arial" w:hAnsi="Arial"/>
                <w:sz w:val="18"/>
                <w:szCs w:val="18"/>
                <w:color w:val="auto"/>
                <w:w w:val="97"/>
              </w:rPr>
              <w:t>From December 21 to 26, 2022, a historic extratropical cyclone created winter storm</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60" w:type="dxa"/>
            <w:vAlign w:val="bottom"/>
            <w:gridSpan w:val="2"/>
          </w:tcPr>
          <w:p>
            <w:pPr>
              <w:ind w:left="1200"/>
              <w:spacing w:after="0" w:line="173" w:lineRule="exact"/>
              <w:rPr>
                <w:sz w:val="20"/>
                <w:szCs w:val="20"/>
                <w:color w:val="auto"/>
              </w:rPr>
            </w:pPr>
            <w:r>
              <w:rPr>
                <w:rFonts w:ascii="Arial" w:cs="Arial" w:eastAsia="Arial" w:hAnsi="Arial"/>
                <w:sz w:val="18"/>
                <w:szCs w:val="18"/>
                <w:color w:val="auto"/>
                <w:w w:val="92"/>
              </w:rPr>
              <w:t>conditions, including blizzards, high winds, snowfall and record cold temperatures across</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the majority of the United States and parts of Canada</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2.0% Zero-Premium Exchangeable Subordinated Notes due 2029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4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ZENS-Related Securities</w:t>
            </w:r>
          </w:p>
        </w:tc>
        <w:tc>
          <w:tcPr>
            <w:tcW w:w="7760" w:type="dxa"/>
            <w:vAlign w:val="bottom"/>
            <w:gridSpan w:val="2"/>
          </w:tcPr>
          <w:p>
            <w:pPr>
              <w:ind w:left="1200"/>
              <w:spacing w:after="0" w:line="174" w:lineRule="exact"/>
              <w:rPr>
                <w:sz w:val="20"/>
                <w:szCs w:val="20"/>
                <w:color w:val="auto"/>
              </w:rPr>
            </w:pPr>
            <w:r>
              <w:rPr>
                <w:rFonts w:ascii="Arial" w:cs="Arial" w:eastAsia="Arial" w:hAnsi="Arial"/>
                <w:sz w:val="18"/>
                <w:szCs w:val="18"/>
                <w:color w:val="auto"/>
                <w:w w:val="98"/>
              </w:rPr>
              <w:t>As of June 30, 2023 and December 31, 2022, consisted of AT&amp;T Common, Charter</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760" w:type="dxa"/>
            <w:vAlign w:val="bottom"/>
            <w:gridSpan w:val="2"/>
          </w:tcPr>
          <w:p>
            <w:pPr>
              <w:ind w:left="1200"/>
              <w:spacing w:after="0"/>
              <w:rPr>
                <w:sz w:val="20"/>
                <w:szCs w:val="20"/>
                <w:color w:val="auto"/>
              </w:rPr>
            </w:pPr>
            <w:r>
              <w:rPr>
                <w:rFonts w:ascii="Arial" w:cs="Arial" w:eastAsia="Arial" w:hAnsi="Arial"/>
                <w:sz w:val="18"/>
                <w:szCs w:val="18"/>
                <w:color w:val="auto"/>
              </w:rPr>
              <w:t>Common and WBD Common</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4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b w:val="1"/>
                <w:bCs w:val="1"/>
                <w:i w:val="1"/>
                <w:iCs w:val="1"/>
                <w:color w:val="auto"/>
              </w:rPr>
              <w:t>2022 Form 10-K</w:t>
            </w:r>
          </w:p>
        </w:tc>
        <w:tc>
          <w:tcPr>
            <w:tcW w:w="7740" w:type="dxa"/>
            <w:vAlign w:val="bottom"/>
            <w:shd w:val="clear" w:color="auto" w:fill="CCEEFF"/>
          </w:tcPr>
          <w:p>
            <w:pPr>
              <w:ind w:left="1200"/>
              <w:spacing w:after="0" w:line="188" w:lineRule="exact"/>
              <w:rPr>
                <w:sz w:val="20"/>
                <w:szCs w:val="20"/>
                <w:color w:val="auto"/>
              </w:rPr>
            </w:pPr>
            <w:r>
              <w:rPr>
                <w:rFonts w:ascii="Arial" w:cs="Arial" w:eastAsia="Arial" w:hAnsi="Arial"/>
                <w:sz w:val="18"/>
                <w:szCs w:val="18"/>
                <w:color w:val="auto"/>
                <w:w w:val="90"/>
              </w:rPr>
              <w:t>Annual Report on Form 10-K for the fiscal year ended December 31, 2022 as filed with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7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SEC on February 17, 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760" w:type="dxa"/>
            <w:vAlign w:val="bottom"/>
            <w:gridSpan w:val="2"/>
          </w:tcPr>
          <w:p>
            <w:pPr>
              <w:ind w:left="2100"/>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114"/>
        </w:trPr>
        <w:tc>
          <w:tcPr>
            <w:tcW w:w="4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7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06"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SIGECO.</w:t>
      </w:r>
    </w:p>
    <w:p>
      <w:pPr>
        <w:spacing w:after="0" w:line="220"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207" w:lineRule="exact"/>
        <w:rPr>
          <w:sz w:val="20"/>
          <w:szCs w:val="20"/>
          <w:color w:val="auto"/>
        </w:rPr>
      </w:pPr>
    </w:p>
    <w:p>
      <w:pPr>
        <w:jc w:val="both"/>
        <w:ind w:left="640" w:hanging="315"/>
        <w:spacing w:after="0" w:line="265"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CenterPoint Energy’s business strategies and strategic initiatives, restructurings, including the completed Restructuring, joint ventures and acquisitions or dispositions of assets or businesses, including the completed sales of our Natural Gas businesses in Arkansas and Oklahoma and Energy Systems Group and our exit of the midstream sector, which we cannot assure will have the anticipated benefits to us;</w:t>
      </w:r>
    </w:p>
    <w:p>
      <w:pPr>
        <w:spacing w:after="0" w:line="1" w:lineRule="exact"/>
        <w:rPr>
          <w:rFonts w:ascii="Arial" w:cs="Arial" w:eastAsia="Arial" w:hAnsi="Arial"/>
          <w:sz w:val="17"/>
          <w:szCs w:val="17"/>
          <w:color w:val="auto"/>
        </w:rPr>
      </w:pPr>
    </w:p>
    <w:p>
      <w:pPr>
        <w:ind w:left="640" w:hanging="315"/>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effects of energy efficiency measures and demographic patterns;</w:t>
      </w:r>
    </w:p>
    <w:p>
      <w:pPr>
        <w:ind w:left="640" w:hanging="315"/>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invest planned capital and the timely recovery of our investments, including those related to Indiana Electric’s generation transition plan as part of its IRPs;</w:t>
      </w:r>
    </w:p>
    <w:p>
      <w:pPr>
        <w:jc w:val="both"/>
        <w:ind w:left="640" w:hanging="315"/>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construct, operate, repair and maintain electric generating facilities, natural gas facilities, TEEEF and electric transmission facilities, including complying with applicable environmental standards and the implementation of a well-balanced energy and resource mix, as appropriate;</w:t>
      </w:r>
    </w:p>
    <w:p>
      <w:pPr>
        <w:spacing w:after="0" w:line="1"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appropriate rate actions that allow recovery of costs and a reasonable return on investment, including the timing and amount of recovery of Houston Electric’s TEEEF leases;</w:t>
      </w:r>
    </w:p>
    <w:p>
      <w:pPr>
        <w:ind w:left="640" w:hanging="315"/>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conditions in regional and national markets, including inflation, interest rates and instability of banking institutions, and their effect on sales, prices and costs;</w:t>
      </w:r>
    </w:p>
    <w:p>
      <w:pPr>
        <w:ind w:left="640" w:hanging="315"/>
        <w:spacing w:after="0" w:line="23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capital and legislation such as seen in connection with the February 2021 Winter Storm Event;</w:t>
      </w:r>
    </w:p>
    <w:p>
      <w:pPr>
        <w:spacing w:after="0" w:line="1" w:lineRule="exact"/>
        <w:rPr>
          <w:rFonts w:ascii="Arial" w:cs="Arial" w:eastAsia="Arial" w:hAnsi="Arial"/>
          <w:sz w:val="18"/>
          <w:szCs w:val="18"/>
          <w:color w:val="auto"/>
        </w:rPr>
      </w:pPr>
    </w:p>
    <w:p>
      <w:pPr>
        <w:ind w:left="640" w:hanging="315"/>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commodity prices;</w:t>
      </w:r>
    </w:p>
    <w:p>
      <w:pPr>
        <w:ind w:left="640" w:hanging="315"/>
        <w:spacing w:after="0" w:line="24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markets for natural gas as a result of, among other factors, armed conflicts, including the conflict in Ukraine and the related sanctions on certain Russian entities;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disruptions to the global supply chain, including tariffs and other legislation impacting the supply chain, that could prevent CenterPoint Energy from securing the resources needed to, among other things, fully execute on its 10-year capital plan or achieve its net zero and carbon emissions reduction goals;</w:t>
      </w:r>
    </w:p>
    <w:p>
      <w:pPr>
        <w:jc w:val="both"/>
        <w:ind w:left="640" w:hanging="315"/>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jc w:val="both"/>
        <w:ind w:left="640" w:hanging="315"/>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threats, such as COVID-19, and their effect on our operations, business and financial condition, our industries and the communities we serve, U.S. and world financial markets and supply chains, potential regulatory actions and changes in customer and stakeholder behavior relating thereto;</w:t>
      </w:r>
    </w:p>
    <w:p>
      <w:pPr>
        <w:jc w:val="both"/>
        <w:ind w:left="640" w:hanging="315"/>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 and federal legislative and regulatory actions or developments affecting various aspects of our businesses, including, among others, energy deregulation or re-regulation, pipeline integrity and safety and changes in regulation and legislation pertaining to trade, health care, finance and actions regarding the rates charged by our regulated businesses;</w:t>
      </w:r>
    </w:p>
    <w:p>
      <w:pPr>
        <w:jc w:val="both"/>
        <w:ind w:left="640" w:hanging="315"/>
        <w:spacing w:after="0" w:line="295" w:lineRule="auto"/>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direct or indirect effects on our facilities, resources, operations and financial condition resulting from terrorism, cyber attacks or intrusions,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spacing w:after="0" w:line="1" w:lineRule="exact"/>
        <w:rPr>
          <w:rFonts w:ascii="Arial" w:cs="Arial" w:eastAsia="Arial" w:hAnsi="Arial"/>
          <w:sz w:val="15"/>
          <w:szCs w:val="15"/>
          <w:color w:val="auto"/>
        </w:rPr>
      </w:pPr>
    </w:p>
    <w:p>
      <w:pPr>
        <w:ind w:left="640" w:hanging="315"/>
        <w:spacing w:after="0" w:line="252"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legislation, including the effects of the CARES Act and the IRA (which includes but is not limited to any potential changes to tax rates, CAMT imposed, tax credits and/or interest deductibility), as well as any changes in tax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 w:name="page9"/>
    <w:bookmarkEnd w:id="8"/>
    <w:p>
      <w:pPr>
        <w:ind w:left="640"/>
        <w:spacing w:after="0" w:line="252" w:lineRule="auto"/>
        <w:rPr>
          <w:sz w:val="20"/>
          <w:szCs w:val="20"/>
          <w:color w:val="auto"/>
        </w:rPr>
      </w:pPr>
      <w:r>
        <w:rPr>
          <w:rFonts w:ascii="Arial" w:cs="Arial" w:eastAsia="Arial" w:hAnsi="Arial"/>
          <w:sz w:val="18"/>
          <w:szCs w:val="18"/>
          <w:color w:val="auto"/>
        </w:rPr>
        <w:t>under the current or future administrations, and uncertainties involving state commissions’ and local municipalities’ regulatory requirements and determinations regarding the treatment of EDIT and our rates;</w:t>
      </w:r>
    </w:p>
    <w:p>
      <w:pPr>
        <w:spacing w:after="0" w:line="2" w:lineRule="exact"/>
        <w:rPr>
          <w:sz w:val="20"/>
          <w:szCs w:val="20"/>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mitigate weather impacts through normalization or rate mechanisms, and the effectiveness of such mechanisms;</w:t>
      </w:r>
    </w:p>
    <w:p>
      <w:pPr>
        <w:spacing w:after="0" w:line="7"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8"/>
          <w:szCs w:val="18"/>
          <w:color w:val="auto"/>
        </w:rPr>
        <w:t>actions by credit rating agencies, including any potential downgrades to credit ratings;</w:t>
      </w:r>
    </w:p>
    <w:p>
      <w:pPr>
        <w:spacing w:after="0" w:line="20" w:lineRule="exact"/>
        <w:rPr>
          <w:rFonts w:ascii="Arial" w:cs="Arial" w:eastAsia="Arial" w:hAnsi="Arial"/>
          <w:sz w:val="19"/>
          <w:szCs w:val="19"/>
          <w:color w:val="auto"/>
        </w:rPr>
      </w:pPr>
    </w:p>
    <w:p>
      <w:pPr>
        <w:ind w:left="640" w:hanging="315"/>
        <w:spacing w:after="0" w:line="246" w:lineRule="auto"/>
        <w:tabs>
          <w:tab w:leader="none" w:pos="640" w:val="left"/>
        </w:tabs>
        <w:numPr>
          <w:ilvl w:val="0"/>
          <w:numId w:val="4"/>
        </w:numPr>
        <w:rPr>
          <w:rFonts w:ascii="Arial" w:cs="Arial" w:eastAsia="Arial" w:hAnsi="Arial"/>
          <w:sz w:val="19"/>
          <w:szCs w:val="19"/>
          <w:color w:val="auto"/>
        </w:rPr>
      </w:pPr>
      <w:r>
        <w:rPr>
          <w:rFonts w:ascii="Arial" w:cs="Arial" w:eastAsia="Arial" w:hAnsi="Arial"/>
          <w:sz w:val="18"/>
          <w:szCs w:val="18"/>
          <w:color w:val="auto"/>
        </w:rPr>
        <w:t>matters affecting regulatory approval, legislative actions, construction, implementation of necessary technology or other issues with respect to major capital projects that result in delays or cancellation or in costs that cannot be recouped in rates;</w:t>
      </w:r>
    </w:p>
    <w:p>
      <w:pPr>
        <w:spacing w:after="0" w:line="2" w:lineRule="exact"/>
        <w:rPr>
          <w:rFonts w:ascii="Arial" w:cs="Arial" w:eastAsia="Arial" w:hAnsi="Arial"/>
          <w:sz w:val="19"/>
          <w:szCs w:val="19"/>
          <w:color w:val="auto"/>
        </w:rPr>
      </w:pPr>
    </w:p>
    <w:p>
      <w:pPr>
        <w:jc w:val="both"/>
        <w:ind w:left="640" w:hanging="315"/>
        <w:spacing w:after="0" w:line="26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7"/>
          <w:szCs w:val="17"/>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and carbon emissions reduction goals;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5"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 and operations and maintenance costs, including our ability to control such costs;</w:t>
      </w:r>
    </w:p>
    <w:p>
      <w:pPr>
        <w:ind w:left="640" w:hanging="315"/>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from CenterPoint Energy’s pension and postretirement benefit plans, such as the investment performance and increases to net periodic costs as a result of plan settlements and changes in assumptions, including discount rates;</w:t>
      </w: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bank and financial market conditions, including disruptions in the banking industry, our access to capital, the cost of such capital, impacts on our vendors, customers and suppliers, and the results of our financing and refinancing efforts, including availability of funds in the debt capital markets;</w:t>
      </w: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and effectiveness of our risk management activities;</w:t>
      </w:r>
    </w:p>
    <w:p>
      <w:pPr>
        <w:spacing w:after="0" w:line="5"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hurricanes or other severe weather events, or natural disasters or other recovery of costs, including stranded coal-fired generation asset costs;</w:t>
      </w:r>
    </w:p>
    <w:p>
      <w:pPr>
        <w:ind w:left="640" w:hanging="315"/>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and merger or divestiture activities involving us or our industry, including the ability to successfully complete merger, acquisition and divestiture plans;</w:t>
      </w: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effectively transition and retain management and key employees and maintain good labor relations;</w:t>
      </w:r>
    </w:p>
    <w:p>
      <w:pPr>
        <w:spacing w:after="0" w:line="5"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 and their adoption by consumers;</w:t>
      </w:r>
    </w:p>
    <w:p>
      <w:pPr>
        <w:ind w:left="640" w:hanging="315"/>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climate change and alternate energy sources on the demand for natural gas and electricity generated or transmitted by us;</w:t>
      </w:r>
    </w:p>
    <w:p>
      <w:pPr>
        <w:spacing w:after="0" w:line="17" w:lineRule="exact"/>
        <w:rPr>
          <w:rFonts w:ascii="Arial" w:cs="Arial" w:eastAsia="Arial" w:hAnsi="Arial"/>
          <w:sz w:val="17"/>
          <w:szCs w:val="17"/>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recording of impairment charges;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economic developments, including energy and environmental policies under the current administration;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5" w:lineRule="exact"/>
        <w:rPr>
          <w:rFonts w:ascii="Arial" w:cs="Arial" w:eastAsia="Arial" w:hAnsi="Arial"/>
          <w:sz w:val="18"/>
          <w:szCs w:val="18"/>
          <w:color w:val="auto"/>
        </w:rPr>
      </w:pPr>
    </w:p>
    <w:p>
      <w:pPr>
        <w:ind w:left="640" w:right="2320" w:hanging="315"/>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CenterPoint Energy’s ability to execute on its strategy, initiatives, targets and goals, including its net zero and carbon emissions reduction goals and its operations and maintenance expenditure goals;</w:t>
      </w: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obligations related to warranties, guarantees and other contractual and legal obligations;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5" w:lineRule="exact"/>
        <w:rPr>
          <w:rFonts w:ascii="Arial" w:cs="Arial" w:eastAsia="Arial" w:hAnsi="Arial"/>
          <w:sz w:val="18"/>
          <w:szCs w:val="18"/>
          <w:color w:val="auto"/>
        </w:rPr>
      </w:pPr>
    </w:p>
    <w:p>
      <w:pPr>
        <w:ind w:left="640" w:hanging="315"/>
        <w:spacing w:after="0" w:line="252"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in “Risk Factors” in Item 1A of Part I of the Registrants’ combined 2022 Form 10-K, which are incorporated herein by reference, and in other reports that the Registrants file from time to time with the SEC.</w:t>
      </w:r>
    </w:p>
    <w:p>
      <w:pPr>
        <w:spacing w:after="0" w:line="21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CENTERPOINT ENERGY, INC. AND SUBSIDIARIES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810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CONDENSED STATEMENTS OF CONSOLIDATED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540" w:type="dxa"/>
            <w:vAlign w:val="bottom"/>
          </w:tcPr>
          <w:p>
            <w:pPr>
              <w:spacing w:after="0"/>
              <w:rPr>
                <w:sz w:val="19"/>
                <w:szCs w:val="19"/>
                <w:color w:val="auto"/>
              </w:rPr>
            </w:pPr>
          </w:p>
        </w:tc>
        <w:tc>
          <w:tcPr>
            <w:tcW w:w="22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(Unaudited)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2"/>
        </w:trPr>
        <w:tc>
          <w:tcPr>
            <w:tcW w:w="4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205"/>
        </w:trPr>
        <w:tc>
          <w:tcPr>
            <w:tcW w:w="4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1"/>
        </w:trPr>
        <w:tc>
          <w:tcPr>
            <w:tcW w:w="4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r>
      <w:tr>
        <w:trPr>
          <w:trHeight w:val="184"/>
        </w:trPr>
        <w:tc>
          <w:tcPr>
            <w:tcW w:w="4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60" w:type="dxa"/>
            <w:vAlign w:val="bottom"/>
            <w:gridSpan w:val="7"/>
          </w:tcPr>
          <w:p>
            <w:pPr>
              <w:ind w:left="120"/>
              <w:spacing w:after="0"/>
              <w:rPr>
                <w:sz w:val="20"/>
                <w:szCs w:val="20"/>
                <w:color w:val="auto"/>
              </w:rPr>
            </w:pPr>
            <w:r>
              <w:rPr>
                <w:rFonts w:ascii="Arial" w:cs="Arial" w:eastAsia="Arial" w:hAnsi="Arial"/>
                <w:sz w:val="14"/>
                <w:szCs w:val="14"/>
                <w:b w:val="1"/>
                <w:bCs w:val="1"/>
                <w:color w:val="auto"/>
                <w:w w:val="93"/>
              </w:rPr>
              <w:t>(in millions, except per share amounts)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revenues</w:t>
            </w: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w:t>
            </w:r>
          </w:p>
        </w:tc>
      </w:tr>
      <w:tr>
        <w:trPr>
          <w:trHeight w:val="210"/>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Non-utility revenues</w:t>
            </w:r>
          </w:p>
        </w:tc>
        <w:tc>
          <w:tcPr>
            <w:tcW w:w="19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08"/>
        </w:trPr>
        <w:tc>
          <w:tcPr>
            <w:tcW w:w="4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4,707</w:t>
            </w:r>
          </w:p>
        </w:tc>
      </w:tr>
      <w:tr>
        <w:trPr>
          <w:trHeight w:val="190"/>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natural gas, fuel and purchased power</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r>
      <w:tr>
        <w:trPr>
          <w:trHeight w:val="210"/>
        </w:trPr>
        <w:tc>
          <w:tcPr>
            <w:tcW w:w="4540" w:type="dxa"/>
            <w:vAlign w:val="bottom"/>
          </w:tcPr>
          <w:p>
            <w:pPr>
              <w:ind w:left="140"/>
              <w:spacing w:after="0"/>
              <w:rPr>
                <w:sz w:val="20"/>
                <w:szCs w:val="20"/>
                <w:color w:val="auto"/>
              </w:rPr>
            </w:pPr>
            <w:r>
              <w:rPr>
                <w:rFonts w:ascii="Arial" w:cs="Arial" w:eastAsia="Arial" w:hAnsi="Arial"/>
                <w:sz w:val="16"/>
                <w:szCs w:val="16"/>
                <w:color w:val="auto"/>
              </w:rPr>
              <w:t>Non-utility cost of revenues, including natural gas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 and maintenance</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r>
      <w:tr>
        <w:trPr>
          <w:trHeight w:val="210"/>
        </w:trPr>
        <w:tc>
          <w:tcPr>
            <w:tcW w:w="45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1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03"/>
        </w:trPr>
        <w:tc>
          <w:tcPr>
            <w:tcW w:w="45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r>
      <w:tr>
        <w:trPr>
          <w:trHeight w:val="190"/>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equity securities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4540" w:type="dxa"/>
            <w:vAlign w:val="bottom"/>
          </w:tcPr>
          <w:p>
            <w:pPr>
              <w:ind w:left="140"/>
              <w:spacing w:after="0"/>
              <w:rPr>
                <w:sz w:val="20"/>
                <w:szCs w:val="20"/>
                <w:color w:val="auto"/>
              </w:rPr>
            </w:pPr>
            <w:r>
              <w:rPr>
                <w:rFonts w:ascii="Arial" w:cs="Arial" w:eastAsia="Arial" w:hAnsi="Arial"/>
                <w:sz w:val="16"/>
                <w:szCs w:val="16"/>
                <w:color w:val="auto"/>
              </w:rPr>
              <w:t>Gain (loss) on indexed debt securities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sale</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0"/>
        </w:trPr>
        <w:tc>
          <w:tcPr>
            <w:tcW w:w="4540" w:type="dxa"/>
            <w:vAlign w:val="bottom"/>
          </w:tcPr>
          <w:p>
            <w:pPr>
              <w:ind w:left="140"/>
              <w:spacing w:after="0"/>
              <w:rPr>
                <w:sz w:val="20"/>
                <w:szCs w:val="20"/>
                <w:color w:val="auto"/>
              </w:rPr>
            </w:pPr>
            <w:r>
              <w:rPr>
                <w:rFonts w:ascii="Arial" w:cs="Arial" w:eastAsia="Arial" w:hAnsi="Arial"/>
                <w:sz w:val="16"/>
                <w:szCs w:val="16"/>
                <w:color w:val="auto"/>
              </w:rPr>
              <w:t>Interest expense and other finance charges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on Securitization Bonds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2"/>
        </w:trPr>
        <w:tc>
          <w:tcPr>
            <w:tcW w:w="4540" w:type="dxa"/>
            <w:vAlign w:val="bottom"/>
          </w:tcPr>
          <w:p>
            <w:pPr>
              <w:ind w:left="140"/>
              <w:spacing w:after="0"/>
              <w:rPr>
                <w:sz w:val="20"/>
                <w:szCs w:val="20"/>
                <w:color w:val="auto"/>
              </w:rPr>
            </w:pPr>
            <w:r>
              <w:rPr>
                <w:rFonts w:ascii="Arial" w:cs="Arial" w:eastAsia="Arial" w:hAnsi="Arial"/>
                <w:sz w:val="16"/>
                <w:szCs w:val="16"/>
                <w:color w:val="auto"/>
              </w:rPr>
              <w:t>Other income (expense), net</w:t>
            </w:r>
          </w:p>
        </w:tc>
        <w:tc>
          <w:tcPr>
            <w:tcW w:w="1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4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04"/>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974</w:t>
            </w: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1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0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r>
      <w:tr>
        <w:trPr>
          <w:trHeight w:val="206"/>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preferred shareholders</w:t>
            </w:r>
          </w:p>
        </w:tc>
        <w:tc>
          <w:tcPr>
            <w:tcW w:w="19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8"/>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Income Available to Common Shareholders</w:t>
            </w:r>
          </w:p>
        </w:tc>
        <w:tc>
          <w:tcPr>
            <w:tcW w:w="2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179</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45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1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45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2"/>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 Basic</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08"/>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Diluted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631</w:t>
            </w: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23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5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7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line="205" w:lineRule="exact"/>
              <w:rPr>
                <w:sz w:val="20"/>
                <w:szCs w:val="20"/>
                <w:color w:val="auto"/>
              </w:rPr>
            </w:pPr>
            <w:r>
              <w:rPr>
                <w:rFonts w:ascii="Arial" w:cs="Arial" w:eastAsia="Arial" w:hAnsi="Arial"/>
                <w:sz w:val="18"/>
                <w:szCs w:val="18"/>
                <w:color w:val="auto"/>
              </w:rPr>
              <w:t>Other comprehensive income (loss):</w:t>
            </w:r>
          </w:p>
        </w:tc>
        <w:tc>
          <w:tcPr>
            <w:tcW w:w="9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5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w w:val="93"/>
              </w:rPr>
              <w:t>Adjustment to pension and other postretirement plans (net of tax expense</w:t>
            </w:r>
          </w:p>
        </w:tc>
        <w:tc>
          <w:tcPr>
            <w:tcW w:w="9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of $-0-, $4, $-0- and $4)</w:t>
            </w:r>
          </w:p>
        </w:tc>
        <w:tc>
          <w:tcPr>
            <w:tcW w:w="9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540" w:type="dxa"/>
            <w:vAlign w:val="bottom"/>
          </w:tcPr>
          <w:p>
            <w:pPr>
              <w:ind w:left="20"/>
              <w:spacing w:after="0" w:line="187" w:lineRule="exact"/>
              <w:rPr>
                <w:sz w:val="20"/>
                <w:szCs w:val="20"/>
                <w:color w:val="auto"/>
              </w:rPr>
            </w:pPr>
            <w:r>
              <w:rPr>
                <w:rFonts w:ascii="Arial" w:cs="Arial" w:eastAsia="Arial" w:hAnsi="Arial"/>
                <w:sz w:val="18"/>
                <w:szCs w:val="18"/>
                <w:color w:val="auto"/>
                <w:w w:val="98"/>
              </w:rPr>
              <w:t>Reclassification of deferred loss from cash flow hedges realized in net</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(net of tax of $-0-, $-0-, $-0- and $-0-)</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55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2"/>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allocated to preferred shareholders</w:t>
            </w:r>
          </w:p>
        </w:tc>
        <w:tc>
          <w:tcPr>
            <w:tcW w:w="9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0"/>
        </w:trPr>
        <w:tc>
          <w:tcPr>
            <w:tcW w:w="5540" w:type="dxa"/>
            <w:vAlign w:val="bottom"/>
          </w:tcPr>
          <w:p>
            <w:pPr>
              <w:ind w:left="20"/>
              <w:spacing w:after="0"/>
              <w:rPr>
                <w:sz w:val="20"/>
                <w:szCs w:val="20"/>
                <w:color w:val="auto"/>
              </w:rPr>
            </w:pPr>
            <w:r>
              <w:rPr>
                <w:rFonts w:ascii="Arial" w:cs="Arial" w:eastAsia="Arial" w:hAnsi="Arial"/>
                <w:sz w:val="18"/>
                <w:szCs w:val="18"/>
                <w:color w:val="auto"/>
              </w:rPr>
              <w:t>Comprehensive income available to common shareholders</w:t>
            </w:r>
          </w:p>
        </w:tc>
        <w:tc>
          <w:tcPr>
            <w:tcW w:w="900" w:type="dxa"/>
            <w:vAlign w:val="bottom"/>
          </w:tcPr>
          <w:p>
            <w:pPr>
              <w:jc w:val="right"/>
              <w:ind w:right="7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106</w:t>
            </w:r>
          </w:p>
        </w:tc>
        <w:tc>
          <w:tcPr>
            <w:tcW w:w="10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418</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b w:val="1"/>
                <w:bCs w:val="1"/>
                <w:color w:val="auto"/>
                <w:w w:val="87"/>
              </w:rPr>
              <w:t>December 31,</w:t>
            </w:r>
          </w:p>
        </w:tc>
      </w:tr>
      <w:tr>
        <w:trPr>
          <w:trHeight w:val="190"/>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183"/>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5"/>
                <w:szCs w:val="15"/>
                <w:color w:val="auto"/>
              </w:rPr>
            </w:pP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3"/>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($63 and $75 related to VIEs, respectively)</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5"/>
        </w:trPr>
        <w:tc>
          <w:tcPr>
            <w:tcW w:w="8260" w:type="dxa"/>
            <w:vAlign w:val="bottom"/>
          </w:tcPr>
          <w:p>
            <w:pPr>
              <w:ind w:left="100"/>
              <w:spacing w:after="0"/>
              <w:rPr>
                <w:sz w:val="20"/>
                <w:szCs w:val="20"/>
                <w:color w:val="auto"/>
              </w:rPr>
            </w:pPr>
            <w:r>
              <w:rPr>
                <w:rFonts w:ascii="Arial" w:cs="Arial" w:eastAsia="Arial" w:hAnsi="Arial"/>
                <w:sz w:val="18"/>
                <w:szCs w:val="18"/>
                <w:color w:val="auto"/>
              </w:rPr>
              <w:t>Investment in equity securities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187"/>
        </w:trPr>
        <w:tc>
          <w:tcPr>
            <w:tcW w:w="8260" w:type="dxa"/>
            <w:vAlign w:val="bottom"/>
            <w:shd w:val="clear" w:color="auto" w:fill="CCEEFF"/>
          </w:tcPr>
          <w:p>
            <w:pPr>
              <w:ind w:left="100"/>
              <w:spacing w:after="0" w:line="188" w:lineRule="exact"/>
              <w:rPr>
                <w:sz w:val="20"/>
                <w:szCs w:val="20"/>
                <w:color w:val="auto"/>
              </w:rPr>
            </w:pPr>
            <w:r>
              <w:rPr>
                <w:rFonts w:ascii="Arial" w:cs="Arial" w:eastAsia="Arial" w:hAnsi="Arial"/>
                <w:sz w:val="18"/>
                <w:szCs w:val="18"/>
                <w:color w:val="auto"/>
                <w:w w:val="91"/>
              </w:rPr>
              <w:t>Accounts receivable ($25 and $22 related to VIEs, respectively), less allowance for credit losses of $41 and $38,</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5"/>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25"/>
        </w:trPr>
        <w:tc>
          <w:tcPr>
            <w:tcW w:w="8260" w:type="dxa"/>
            <w:vAlign w:val="bottom"/>
          </w:tcPr>
          <w:p>
            <w:pPr>
              <w:ind w:left="100"/>
              <w:spacing w:after="0"/>
              <w:rPr>
                <w:sz w:val="20"/>
                <w:szCs w:val="20"/>
                <w:color w:val="auto"/>
              </w:rPr>
            </w:pPr>
            <w:r>
              <w:rPr>
                <w:rFonts w:ascii="Arial" w:cs="Arial" w:eastAsia="Arial" w:hAnsi="Arial"/>
                <w:sz w:val="18"/>
                <w:szCs w:val="18"/>
                <w:color w:val="auto"/>
              </w:rPr>
              <w:t>Accrued unbilled revenues, less allowance for credit losses of $1 and $4, respectively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40"/>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Natural gas and coal inventory</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5"/>
        </w:trPr>
        <w:tc>
          <w:tcPr>
            <w:tcW w:w="8260" w:type="dxa"/>
            <w:vAlign w:val="bottom"/>
          </w:tcPr>
          <w:p>
            <w:pPr>
              <w:ind w:left="100"/>
              <w:spacing w:after="0"/>
              <w:rPr>
                <w:sz w:val="20"/>
                <w:szCs w:val="20"/>
                <w:color w:val="auto"/>
              </w:rPr>
            </w:pPr>
            <w:r>
              <w:rPr>
                <w:rFonts w:ascii="Arial" w:cs="Arial" w:eastAsia="Arial" w:hAnsi="Arial"/>
                <w:sz w:val="18"/>
                <w:szCs w:val="18"/>
                <w:color w:val="auto"/>
              </w:rPr>
              <w:t>Materials and supplies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6"/>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Non-trading derivative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2"/>
        </w:trPr>
        <w:tc>
          <w:tcPr>
            <w:tcW w:w="8260" w:type="dxa"/>
            <w:vAlign w:val="bottom"/>
          </w:tcPr>
          <w:p>
            <w:pPr>
              <w:ind w:left="100"/>
              <w:spacing w:after="0"/>
              <w:rPr>
                <w:sz w:val="20"/>
                <w:szCs w:val="20"/>
                <w:color w:val="auto"/>
              </w:rPr>
            </w:pPr>
            <w:r>
              <w:rPr>
                <w:rFonts w:ascii="Arial" w:cs="Arial" w:eastAsia="Arial" w:hAnsi="Arial"/>
                <w:sz w:val="18"/>
                <w:szCs w:val="18"/>
                <w:color w:val="auto"/>
              </w:rPr>
              <w:t>Taxes receivable</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3"/>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Regulatory 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r>
      <w:tr>
        <w:trPr>
          <w:trHeight w:val="225"/>
        </w:trPr>
        <w:tc>
          <w:tcPr>
            <w:tcW w:w="826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 ($14 and $13 related to VIEs, respectively)</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33"/>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r>
      <w:tr>
        <w:trPr>
          <w:trHeight w:val="206"/>
        </w:trPr>
        <w:tc>
          <w:tcPr>
            <w:tcW w:w="826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9"/>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37,728</w:t>
            </w:r>
          </w:p>
        </w:tc>
      </w:tr>
      <w:tr>
        <w:trPr>
          <w:trHeight w:val="225"/>
        </w:trPr>
        <w:tc>
          <w:tcPr>
            <w:tcW w:w="8260" w:type="dxa"/>
            <w:vAlign w:val="bottom"/>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10,585</w:t>
            </w:r>
          </w:p>
        </w:tc>
      </w:tr>
      <w:tr>
        <w:trPr>
          <w:trHeight w:val="220"/>
        </w:trPr>
        <w:tc>
          <w:tcPr>
            <w:tcW w:w="8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27,143</w:t>
            </w:r>
          </w:p>
        </w:tc>
      </w:tr>
      <w:tr>
        <w:trPr>
          <w:trHeight w:val="21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r>
      <w:tr>
        <w:trPr>
          <w:trHeight w:val="225"/>
        </w:trPr>
        <w:tc>
          <w:tcPr>
            <w:tcW w:w="8260" w:type="dxa"/>
            <w:vAlign w:val="bottom"/>
          </w:tcPr>
          <w:p>
            <w:pPr>
              <w:ind w:left="100"/>
              <w:spacing w:after="0"/>
              <w:rPr>
                <w:sz w:val="20"/>
                <w:szCs w:val="20"/>
                <w:color w:val="auto"/>
              </w:rPr>
            </w:pPr>
            <w:r>
              <w:rPr>
                <w:rFonts w:ascii="Arial" w:cs="Arial" w:eastAsia="Arial" w:hAnsi="Arial"/>
                <w:sz w:val="18"/>
                <w:szCs w:val="18"/>
                <w:color w:val="auto"/>
              </w:rPr>
              <w:t>Regulatory assets ($497 and $229 related to VIEs, respectively)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2,193</w:t>
            </w:r>
          </w:p>
        </w:tc>
      </w:tr>
      <w:tr>
        <w:trPr>
          <w:trHeight w:val="226"/>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Non-trading derivative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8"/>
        </w:trPr>
        <w:tc>
          <w:tcPr>
            <w:tcW w:w="8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19"/>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r>
      <w:tr>
        <w:trPr>
          <w:trHeight w:val="220"/>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38,097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38,546</w:t>
            </w:r>
          </w:p>
        </w:tc>
      </w:tr>
      <w:tr>
        <w:trPr>
          <w:trHeight w:val="20"/>
        </w:trPr>
        <w:tc>
          <w:tcPr>
            <w:tcW w:w="8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1"/>
              </w:rPr>
              <w:t>(in millions, except par value and shares)</w:t>
            </w:r>
          </w:p>
        </w:tc>
        <w:tc>
          <w:tcPr>
            <w:tcW w:w="0" w:type="dxa"/>
            <w:vAlign w:val="bottom"/>
          </w:tcPr>
          <w:p>
            <w:pPr>
              <w:spacing w:after="0"/>
              <w:rPr>
                <w:sz w:val="1"/>
                <w:szCs w:val="1"/>
                <w:color w:val="auto"/>
              </w:rPr>
            </w:pP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securities derivative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2"/>
        </w:trPr>
        <w:tc>
          <w:tcPr>
            <w:tcW w:w="82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accrued</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2"/>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0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26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4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8"/>
        </w:trPr>
        <w:tc>
          <w:tcPr>
            <w:tcW w:w="8260" w:type="dxa"/>
            <w:vAlign w:val="bottom"/>
          </w:tcPr>
          <w:p>
            <w:pPr>
              <w:ind w:left="44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VIE Securitization Bonds,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debt, net</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218"/>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long-term debt,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14,836</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Temporary Equity (Note 18)</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260" w:type="dxa"/>
            <w:vAlign w:val="bottom"/>
          </w:tcPr>
          <w:p>
            <w:pPr>
              <w:ind w:left="140"/>
              <w:spacing w:after="0" w:line="187" w:lineRule="exact"/>
              <w:rPr>
                <w:sz w:val="20"/>
                <w:szCs w:val="20"/>
                <w:color w:val="auto"/>
              </w:rPr>
            </w:pPr>
            <w:r>
              <w:rPr>
                <w:rFonts w:ascii="Arial" w:cs="Arial" w:eastAsia="Arial" w:hAnsi="Arial"/>
                <w:sz w:val="18"/>
                <w:szCs w:val="18"/>
                <w:color w:val="auto"/>
                <w:w w:val="90"/>
              </w:rPr>
              <w:t>Cumulative preferred stock, $0.01 par value, 20,000,000 shares authorized, 800,000 shares and 800,000 shares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00"/>
              <w:spacing w:after="0"/>
              <w:rPr>
                <w:sz w:val="20"/>
                <w:szCs w:val="20"/>
                <w:color w:val="auto"/>
              </w:rPr>
            </w:pPr>
            <w:r>
              <w:rPr>
                <w:rFonts w:ascii="Arial" w:cs="Arial" w:eastAsia="Arial" w:hAnsi="Arial"/>
                <w:sz w:val="18"/>
                <w:szCs w:val="18"/>
                <w:color w:val="auto"/>
              </w:rPr>
              <w:t>outstanding, respectively, $800 and $800 liquidation preference, respectively (Note 18)</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174"/>
        </w:trPr>
        <w:tc>
          <w:tcPr>
            <w:tcW w:w="82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Common stock, $0.01 par value, 1,000,000,000 shares authorized, 631,073,571 shares and 629,535,631 shares</w:t>
            </w: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8"/>
        </w:trPr>
        <w:tc>
          <w:tcPr>
            <w:tcW w:w="8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respectively</w:t>
            </w:r>
          </w:p>
        </w:tc>
        <w:tc>
          <w:tcPr>
            <w:tcW w:w="18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20"/>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38,097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38,546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91"/>
        </w:trPr>
        <w:tc>
          <w:tcPr>
            <w:tcW w:w="83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184"/>
        </w:trPr>
        <w:tc>
          <w:tcPr>
            <w:tcW w:w="8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6"/>
                <w:szCs w:val="16"/>
                <w:color w:val="auto"/>
              </w:rPr>
            </w:pPr>
          </w:p>
        </w:tc>
      </w:tr>
      <w:tr>
        <w:trPr>
          <w:trHeight w:val="225"/>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5"/>
        </w:trPr>
        <w:tc>
          <w:tcPr>
            <w:tcW w:w="8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r>
      <w:tr>
        <w:trPr>
          <w:trHeight w:val="210"/>
        </w:trPr>
        <w:tc>
          <w:tcPr>
            <w:tcW w:w="830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5"/>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10"/>
        </w:trPr>
        <w:tc>
          <w:tcPr>
            <w:tcW w:w="830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(gain) on divestitures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0"/>
        </w:trPr>
        <w:tc>
          <w:tcPr>
            <w:tcW w:w="8300" w:type="dxa"/>
            <w:vAlign w:val="bottom"/>
          </w:tcPr>
          <w:p>
            <w:pPr>
              <w:ind w:left="340"/>
              <w:spacing w:after="0"/>
              <w:rPr>
                <w:sz w:val="20"/>
                <w:szCs w:val="20"/>
                <w:color w:val="auto"/>
              </w:rPr>
            </w:pPr>
            <w:r>
              <w:rPr>
                <w:rFonts w:ascii="Arial" w:cs="Arial" w:eastAsia="Arial" w:hAnsi="Arial"/>
                <w:sz w:val="16"/>
                <w:szCs w:val="16"/>
                <w:color w:val="auto"/>
              </w:rPr>
              <w:t>Loss (gain) on equity securities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5"/>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(gain) on indexed debt securities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0"/>
        </w:trPr>
        <w:tc>
          <w:tcPr>
            <w:tcW w:w="8300" w:type="dxa"/>
            <w:vAlign w:val="bottom"/>
          </w:tcPr>
          <w:p>
            <w:pPr>
              <w:ind w:left="340"/>
              <w:spacing w:after="0"/>
              <w:rPr>
                <w:sz w:val="20"/>
                <w:szCs w:val="20"/>
                <w:color w:val="auto"/>
              </w:rPr>
            </w:pPr>
            <w:r>
              <w:rPr>
                <w:rFonts w:ascii="Arial" w:cs="Arial" w:eastAsia="Arial" w:hAnsi="Arial"/>
                <w:sz w:val="16"/>
                <w:szCs w:val="16"/>
                <w:color w:val="auto"/>
              </w:rPr>
              <w:t>Pension contributions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other assets and liabilities: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0"/>
        </w:trPr>
        <w:tc>
          <w:tcPr>
            <w:tcW w:w="8300" w:type="dxa"/>
            <w:vAlign w:val="bottom"/>
          </w:tcPr>
          <w:p>
            <w:pPr>
              <w:ind w:left="500"/>
              <w:spacing w:after="0"/>
              <w:rPr>
                <w:sz w:val="20"/>
                <w:szCs w:val="20"/>
                <w:color w:val="auto"/>
              </w:rPr>
            </w:pPr>
            <w:r>
              <w:rPr>
                <w:rFonts w:ascii="Arial" w:cs="Arial" w:eastAsia="Arial" w:hAnsi="Arial"/>
                <w:sz w:val="16"/>
                <w:szCs w:val="16"/>
                <w:color w:val="auto"/>
              </w:rPr>
              <w:t>Accounts receivable and unbilled revenues, net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83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8300" w:type="dxa"/>
            <w:vAlign w:val="bottom"/>
          </w:tcPr>
          <w:p>
            <w:pPr>
              <w:ind w:left="500"/>
              <w:spacing w:after="0"/>
              <w:rPr>
                <w:sz w:val="20"/>
                <w:szCs w:val="20"/>
                <w:color w:val="auto"/>
              </w:rPr>
            </w:pPr>
            <w:r>
              <w:rPr>
                <w:rFonts w:ascii="Arial" w:cs="Arial" w:eastAsia="Arial" w:hAnsi="Arial"/>
                <w:sz w:val="16"/>
                <w:szCs w:val="16"/>
                <w:color w:val="auto"/>
              </w:rPr>
              <w:t>Taxes receivable</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3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0"/>
        </w:trPr>
        <w:tc>
          <w:tcPr>
            <w:tcW w:w="8300" w:type="dxa"/>
            <w:vAlign w:val="bottom"/>
          </w:tcPr>
          <w:p>
            <w:pPr>
              <w:ind w:left="500"/>
              <w:spacing w:after="0"/>
              <w:rPr>
                <w:sz w:val="20"/>
                <w:szCs w:val="20"/>
                <w:color w:val="auto"/>
              </w:rPr>
            </w:pPr>
            <w:r>
              <w:rPr>
                <w:rFonts w:ascii="Arial" w:cs="Arial" w:eastAsia="Arial" w:hAnsi="Arial"/>
                <w:sz w:val="16"/>
                <w:szCs w:val="16"/>
                <w:color w:val="auto"/>
              </w:rPr>
              <w:t>Net regulatory assets and liabilities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5"/>
        </w:trPr>
        <w:tc>
          <w:tcPr>
            <w:tcW w:w="83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current assets and liabilities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0"/>
        </w:trPr>
        <w:tc>
          <w:tcPr>
            <w:tcW w:w="8300" w:type="dxa"/>
            <w:vAlign w:val="bottom"/>
          </w:tcPr>
          <w:p>
            <w:pPr>
              <w:ind w:left="500"/>
              <w:spacing w:after="0"/>
              <w:rPr>
                <w:sz w:val="20"/>
                <w:szCs w:val="20"/>
                <w:color w:val="auto"/>
              </w:rPr>
            </w:pPr>
            <w:r>
              <w:rPr>
                <w:rFonts w:ascii="Arial" w:cs="Arial" w:eastAsia="Arial" w:hAnsi="Arial"/>
                <w:sz w:val="16"/>
                <w:szCs w:val="16"/>
                <w:color w:val="auto"/>
              </w:rPr>
              <w:t>Other non-current assets and liabilities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operating activities, net</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6"/>
        </w:trPr>
        <w:tc>
          <w:tcPr>
            <w:tcW w:w="8300" w:type="dxa"/>
            <w:vAlign w:val="bottom"/>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w:t>
            </w:r>
          </w:p>
        </w:tc>
      </w:tr>
      <w:tr>
        <w:trPr>
          <w:trHeight w:val="20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0"/>
        </w:trPr>
        <w:tc>
          <w:tcPr>
            <w:tcW w:w="83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(2,259)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(1,880)</w:t>
            </w:r>
          </w:p>
        </w:tc>
      </w:tr>
      <w:tr>
        <w:trPr>
          <w:trHeight w:val="215"/>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marketable securities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r>
      <w:tr>
        <w:trPr>
          <w:trHeight w:val="210"/>
        </w:trPr>
        <w:tc>
          <w:tcPr>
            <w:tcW w:w="8300" w:type="dxa"/>
            <w:vAlign w:val="bottom"/>
          </w:tcPr>
          <w:p>
            <w:pPr>
              <w:ind w:left="220"/>
              <w:spacing w:after="0"/>
              <w:rPr>
                <w:sz w:val="20"/>
                <w:szCs w:val="20"/>
                <w:color w:val="auto"/>
              </w:rPr>
            </w:pPr>
            <w:r>
              <w:rPr>
                <w:rFonts w:ascii="Arial" w:cs="Arial" w:eastAsia="Arial" w:hAnsi="Arial"/>
                <w:sz w:val="16"/>
                <w:szCs w:val="16"/>
                <w:color w:val="auto"/>
              </w:rPr>
              <w:t>Proceeds from divestitures, net of cash divested</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2,075</w:t>
            </w:r>
          </w:p>
        </w:tc>
      </w:tr>
      <w:tr>
        <w:trPr>
          <w:trHeight w:val="202"/>
        </w:trPr>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investing activities, net</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6"/>
        </w:trPr>
        <w:tc>
          <w:tcPr>
            <w:tcW w:w="8300" w:type="dxa"/>
            <w:vAlign w:val="bottom"/>
          </w:tcPr>
          <w:p>
            <w:pPr>
              <w:ind w:left="540"/>
              <w:spacing w:after="0"/>
              <w:rPr>
                <w:sz w:val="20"/>
                <w:szCs w:val="20"/>
                <w:color w:val="auto"/>
              </w:rPr>
            </w:pPr>
            <w:r>
              <w:rPr>
                <w:rFonts w:ascii="Arial" w:cs="Arial" w:eastAsia="Arial" w:hAnsi="Arial"/>
                <w:sz w:val="16"/>
                <w:szCs w:val="16"/>
                <w:color w:val="auto"/>
              </w:rPr>
              <w:t>Net cash provided by (used in) investing activities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(2,154)</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r>
      <w:tr>
        <w:trPr>
          <w:trHeight w:val="20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0"/>
        </w:trPr>
        <w:tc>
          <w:tcPr>
            <w:tcW w:w="8300" w:type="dxa"/>
            <w:vAlign w:val="bottom"/>
          </w:tcPr>
          <w:p>
            <w:pPr>
              <w:ind w:left="220"/>
              <w:spacing w:after="0"/>
              <w:rPr>
                <w:sz w:val="20"/>
                <w:szCs w:val="20"/>
                <w:color w:val="auto"/>
              </w:rPr>
            </w:pPr>
            <w:r>
              <w:rPr>
                <w:rFonts w:ascii="Arial" w:cs="Arial" w:eastAsia="Arial" w:hAnsi="Arial"/>
                <w:sz w:val="16"/>
                <w:szCs w:val="16"/>
                <w:color w:val="auto"/>
              </w:rPr>
              <w:t>Decrease in short-term borrowings, net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obligation for finance lease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0"/>
        </w:trPr>
        <w:tc>
          <w:tcPr>
            <w:tcW w:w="8300" w:type="dxa"/>
            <w:vAlign w:val="bottom"/>
          </w:tcPr>
          <w:p>
            <w:pPr>
              <w:ind w:left="220"/>
              <w:spacing w:after="0"/>
              <w:rPr>
                <w:sz w:val="20"/>
                <w:szCs w:val="20"/>
                <w:color w:val="auto"/>
              </w:rPr>
            </w:pPr>
            <w:r>
              <w:rPr>
                <w:rFonts w:ascii="Arial" w:cs="Arial" w:eastAsia="Arial" w:hAnsi="Arial"/>
                <w:sz w:val="16"/>
                <w:szCs w:val="16"/>
                <w:color w:val="auto"/>
              </w:rPr>
              <w:t>Payments of commercial paper, net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(1,226)</w:t>
            </w:r>
          </w:p>
        </w:tc>
      </w:tr>
      <w:tr>
        <w:trPr>
          <w:trHeight w:val="215"/>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long-term debt and term loans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r>
      <w:tr>
        <w:trPr>
          <w:trHeight w:val="210"/>
        </w:trPr>
        <w:tc>
          <w:tcPr>
            <w:tcW w:w="8300" w:type="dxa"/>
            <w:vAlign w:val="bottom"/>
          </w:tcPr>
          <w:p>
            <w:pPr>
              <w:ind w:left="220"/>
              <w:spacing w:after="0"/>
              <w:rPr>
                <w:sz w:val="20"/>
                <w:szCs w:val="20"/>
                <w:color w:val="auto"/>
              </w:rPr>
            </w:pPr>
            <w:r>
              <w:rPr>
                <w:rFonts w:ascii="Arial" w:cs="Arial" w:eastAsia="Arial" w:hAnsi="Arial"/>
                <w:sz w:val="16"/>
                <w:szCs w:val="16"/>
                <w:color w:val="auto"/>
              </w:rPr>
              <w:t>Payments of long-term debt and term loans, including make-whole premiums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(2,613)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(1,187)</w:t>
            </w:r>
          </w:p>
        </w:tc>
      </w:tr>
      <w:tr>
        <w:trPr>
          <w:trHeight w:val="215"/>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debt issuance costs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8300" w:type="dxa"/>
            <w:vAlign w:val="bottom"/>
          </w:tcPr>
          <w:p>
            <w:pPr>
              <w:ind w:left="220"/>
              <w:spacing w:after="0"/>
              <w:rPr>
                <w:sz w:val="20"/>
                <w:szCs w:val="20"/>
                <w:color w:val="auto"/>
              </w:rPr>
            </w:pPr>
            <w:r>
              <w:rPr>
                <w:rFonts w:ascii="Arial" w:cs="Arial" w:eastAsia="Arial" w:hAnsi="Arial"/>
                <w:sz w:val="16"/>
                <w:szCs w:val="16"/>
                <w:color w:val="auto"/>
              </w:rPr>
              <w:t>Payment of dividends on Common Stock</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5"/>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dividends on Preferred Stock</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199"/>
        </w:trPr>
        <w:tc>
          <w:tcPr>
            <w:tcW w:w="8300" w:type="dxa"/>
            <w:vAlign w:val="bottom"/>
          </w:tcPr>
          <w:p>
            <w:pPr>
              <w:ind w:left="220"/>
              <w:spacing w:after="0"/>
              <w:rPr>
                <w:sz w:val="20"/>
                <w:szCs w:val="20"/>
                <w:color w:val="auto"/>
              </w:rPr>
            </w:pPr>
            <w:r>
              <w:rPr>
                <w:rFonts w:ascii="Arial" w:cs="Arial" w:eastAsia="Arial" w:hAnsi="Arial"/>
                <w:sz w:val="16"/>
                <w:szCs w:val="16"/>
                <w:color w:val="auto"/>
              </w:rPr>
              <w:t>Other financing activities, net</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6"/>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used in financing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(1,597)</w:t>
            </w:r>
          </w:p>
        </w:tc>
      </w:tr>
      <w:tr>
        <w:trPr>
          <w:trHeight w:val="204"/>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06"/>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900" w:type="dxa"/>
            <w:vAlign w:val="bottom"/>
          </w:tcPr>
          <w:p>
            <w:pPr>
              <w:jc w:val="right"/>
              <w:ind w:right="725"/>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232</w:t>
            </w:r>
          </w:p>
        </w:tc>
        <w:tc>
          <w:tcPr>
            <w:tcW w:w="100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0"/>
        </w:trPr>
        <w:tc>
          <w:tcPr>
            <w:tcW w:w="8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420" w:right="2520"/>
        <w:spacing w:after="0" w:line="266"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111"/>
              <w:spacing w:after="0"/>
              <w:rPr>
                <w:sz w:val="20"/>
                <w:szCs w:val="20"/>
                <w:color w:val="auto"/>
              </w:rPr>
            </w:pPr>
            <w:r>
              <w:rPr>
                <w:rFonts w:ascii="Arial" w:cs="Arial" w:eastAsia="Arial" w:hAnsi="Arial"/>
                <w:sz w:val="14"/>
                <w:szCs w:val="14"/>
                <w:b w:val="1"/>
                <w:bCs w:val="1"/>
                <w:color w:val="auto"/>
                <w:w w:val="90"/>
              </w:rPr>
              <w:t>Three Months Ended 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191"/>
              <w:spacing w:after="0"/>
              <w:rPr>
                <w:sz w:val="20"/>
                <w:szCs w:val="20"/>
                <w:color w:val="auto"/>
              </w:rPr>
            </w:pPr>
            <w:r>
              <w:rPr>
                <w:rFonts w:ascii="Arial" w:cs="Arial" w:eastAsia="Arial" w:hAnsi="Arial"/>
                <w:sz w:val="14"/>
                <w:szCs w:val="14"/>
                <w:b w:val="1"/>
                <w:bCs w:val="1"/>
                <w:color w:val="auto"/>
                <w:w w:val="94"/>
              </w:rPr>
              <w:t>Six Months Ended June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2023</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2022</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2023</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2022</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1"/>
        </w:trPr>
        <w:tc>
          <w:tcPr>
            <w:tcW w:w="3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80" w:type="dxa"/>
            <w:vAlign w:val="bottom"/>
            <w:gridSpan w:val="15"/>
          </w:tcPr>
          <w:p>
            <w:pPr>
              <w:jc w:val="right"/>
              <w:ind w:right="77"/>
              <w:spacing w:after="0"/>
              <w:rPr>
                <w:sz w:val="20"/>
                <w:szCs w:val="20"/>
                <w:color w:val="auto"/>
              </w:rPr>
            </w:pPr>
            <w:r>
              <w:rPr>
                <w:rFonts w:ascii="Arial" w:cs="Arial" w:eastAsia="Arial" w:hAnsi="Arial"/>
                <w:sz w:val="14"/>
                <w:szCs w:val="14"/>
                <w:b w:val="1"/>
                <w:bCs w:val="1"/>
                <w:color w:val="auto"/>
                <w:w w:val="91"/>
              </w:rPr>
              <w:t>(in millions of dollars and shares, except authorized shares and par value amounts)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line="186" w:lineRule="exact"/>
              <w:rPr>
                <w:sz w:val="20"/>
                <w:szCs w:val="20"/>
                <w:color w:val="auto"/>
              </w:rPr>
            </w:pPr>
            <w:r>
              <w:rPr>
                <w:rFonts w:ascii="Arial" w:cs="Arial" w:eastAsia="Arial" w:hAnsi="Arial"/>
                <w:sz w:val="18"/>
                <w:szCs w:val="18"/>
                <w:b w:val="1"/>
                <w:bCs w:val="1"/>
                <w:color w:val="auto"/>
                <w:w w:val="98"/>
              </w:rPr>
              <w:t>Cumulative Preferred Stock, $0.01 par value;</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b w:val="1"/>
                <w:bCs w:val="1"/>
                <w:color w:val="auto"/>
              </w:rPr>
              <w:t>authorized 20,000,000 shares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8"/>
        </w:trPr>
        <w:tc>
          <w:tcPr>
            <w:tcW w:w="3780" w:type="dxa"/>
            <w:vAlign w:val="bottom"/>
          </w:tcPr>
          <w:p>
            <w:pPr>
              <w:ind w:left="340"/>
              <w:spacing w:after="0"/>
              <w:rPr>
                <w:sz w:val="20"/>
                <w:szCs w:val="20"/>
                <w:color w:val="auto"/>
              </w:rPr>
            </w:pPr>
            <w:r>
              <w:rPr>
                <w:rFonts w:ascii="Arial" w:cs="Arial" w:eastAsia="Arial" w:hAnsi="Arial"/>
                <w:sz w:val="18"/>
                <w:szCs w:val="18"/>
                <w:color w:val="auto"/>
              </w:rPr>
              <w:t>Balance, end of period</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166"/>
        </w:trPr>
        <w:tc>
          <w:tcPr>
            <w:tcW w:w="378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b w:val="1"/>
                <w:bCs w:val="1"/>
                <w:color w:val="auto"/>
              </w:rPr>
              <w:t>Common Stock, $0.01 par value; authorized</w:t>
            </w: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1,000,000,000 shares</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7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740" w:type="dxa"/>
            <w:vAlign w:val="bottom"/>
          </w:tcPr>
          <w:p>
            <w:pPr>
              <w:jc w:val="right"/>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1"/>
        </w:trPr>
        <w:tc>
          <w:tcPr>
            <w:tcW w:w="378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color w:val="auto"/>
                <w:w w:val="98"/>
              </w:rPr>
              <w:t>Issuances related to benefit and investment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plans</w:t>
            </w: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340"/>
              <w:spacing w:after="0"/>
              <w:rPr>
                <w:sz w:val="20"/>
                <w:szCs w:val="20"/>
                <w:color w:val="auto"/>
              </w:rPr>
            </w:pPr>
            <w:r>
              <w:rPr>
                <w:rFonts w:ascii="Arial" w:cs="Arial" w:eastAsia="Arial" w:hAnsi="Arial"/>
                <w:sz w:val="18"/>
                <w:szCs w:val="18"/>
                <w:color w:val="auto"/>
              </w:rPr>
              <w:t>Balance, end of period</w:t>
            </w:r>
          </w:p>
        </w:tc>
        <w:tc>
          <w:tcPr>
            <w:tcW w:w="740" w:type="dxa"/>
            <w:vAlign w:val="bottom"/>
          </w:tcPr>
          <w:p>
            <w:pPr>
              <w:jc w:val="right"/>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7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7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8,558</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8,532</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8,529</w:t>
            </w:r>
          </w:p>
        </w:tc>
        <w:tc>
          <w:tcPr>
            <w:tcW w:w="0" w:type="dxa"/>
            <w:vAlign w:val="bottom"/>
          </w:tcPr>
          <w:p>
            <w:pPr>
              <w:spacing w:after="0"/>
              <w:rPr>
                <w:sz w:val="1"/>
                <w:szCs w:val="1"/>
                <w:color w:val="auto"/>
              </w:rPr>
            </w:pPr>
          </w:p>
        </w:tc>
      </w:tr>
      <w:tr>
        <w:trPr>
          <w:trHeight w:val="181"/>
        </w:trPr>
        <w:tc>
          <w:tcPr>
            <w:tcW w:w="378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color w:val="auto"/>
                <w:w w:val="98"/>
              </w:rPr>
              <w:t>Issuances related to benefit and investment</w:t>
            </w: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plans</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340"/>
              <w:spacing w:after="0"/>
              <w:rPr>
                <w:sz w:val="20"/>
                <w:szCs w:val="20"/>
                <w:color w:val="auto"/>
              </w:rPr>
            </w:pPr>
            <w:r>
              <w:rPr>
                <w:rFonts w:ascii="Arial" w:cs="Arial" w:eastAsia="Arial" w:hAnsi="Arial"/>
                <w:sz w:val="18"/>
                <w:szCs w:val="18"/>
                <w:color w:val="auto"/>
              </w:rPr>
              <w:t>Balance, end of period</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6"/>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187"/>
        </w:trPr>
        <w:tc>
          <w:tcPr>
            <w:tcW w:w="3780" w:type="dxa"/>
            <w:vAlign w:val="bottom"/>
          </w:tcPr>
          <w:p>
            <w:pPr>
              <w:ind w:left="340"/>
              <w:spacing w:after="0" w:line="187" w:lineRule="exact"/>
              <w:rPr>
                <w:sz w:val="20"/>
                <w:szCs w:val="20"/>
                <w:color w:val="auto"/>
              </w:rPr>
            </w:pPr>
            <w:r>
              <w:rPr>
                <w:rFonts w:ascii="Arial" w:cs="Arial" w:eastAsia="Arial" w:hAnsi="Arial"/>
                <w:sz w:val="18"/>
                <w:szCs w:val="18"/>
                <w:color w:val="auto"/>
                <w:w w:val="94"/>
              </w:rPr>
              <w:t>Common Stock dividends declared (see Note</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80" w:type="dxa"/>
            <w:vAlign w:val="bottom"/>
          </w:tcPr>
          <w:p>
            <w:pPr>
              <w:ind w:left="500"/>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8"/>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7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7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10,023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340" w:right="216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8"/>
        </w:trPr>
        <w:tc>
          <w:tcPr>
            <w:tcW w:w="5240" w:type="dxa"/>
            <w:vAlign w:val="bottom"/>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186"/>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19"/>
        </w:trPr>
        <w:tc>
          <w:tcPr>
            <w:tcW w:w="52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Expenses:</w:t>
            </w: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2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32"/>
        </w:trPr>
        <w:tc>
          <w:tcPr>
            <w:tcW w:w="52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32"/>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0"/>
        </w:trPr>
        <w:tc>
          <w:tcPr>
            <w:tcW w:w="524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r>
      <w:tr>
        <w:trPr>
          <w:trHeight w:val="232"/>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14"/>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Interest expense on Securitization Bonds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8"/>
        </w:trPr>
        <w:tc>
          <w:tcPr>
            <w:tcW w:w="5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2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8"/>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60"/>
        <w:spacing w:after="0" w:line="255"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245" w:lineRule="exact"/>
        <w:rPr>
          <w:sz w:val="20"/>
          <w:szCs w:val="20"/>
          <w:color w:val="auto"/>
        </w:rPr>
      </w:pPr>
    </w:p>
    <w:tbl>
      <w:tblPr>
        <w:tblLayout w:type="fixed"/>
        <w:tblInd w:w="332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25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gridSpan w:val="4"/>
          </w:tcPr>
          <w:p>
            <w:pPr>
              <w:jc w:val="right"/>
              <w:ind w:right="497"/>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4"/>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8"/>
        </w:trPr>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r>
      <w:tr>
        <w:trPr>
          <w:trHeight w:val="178"/>
        </w:trPr>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0"/>
        </w:trPr>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19"/>
        </w:trPr>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44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54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42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-328295</wp:posOffset>
            </wp:positionV>
            <wp:extent cx="7134860" cy="143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spacing w:after="0" w:line="30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66040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1700" w:space="480"/>
            <w:col w:w="906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340" w:right="216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4"/>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101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($62 and $75 related to VIEs, respectively)</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74"/>
        </w:trPr>
        <w:tc>
          <w:tcPr>
            <w:tcW w:w="8320" w:type="dxa"/>
            <w:vAlign w:val="bottom"/>
          </w:tcPr>
          <w:p>
            <w:pPr>
              <w:ind w:left="140"/>
              <w:spacing w:after="0" w:line="174" w:lineRule="exact"/>
              <w:rPr>
                <w:sz w:val="20"/>
                <w:szCs w:val="20"/>
                <w:color w:val="auto"/>
              </w:rPr>
            </w:pPr>
            <w:r>
              <w:rPr>
                <w:rFonts w:ascii="Arial" w:cs="Arial" w:eastAsia="Arial" w:hAnsi="Arial"/>
                <w:sz w:val="18"/>
                <w:szCs w:val="18"/>
                <w:color w:val="auto"/>
                <w:w w:val="93"/>
              </w:rPr>
              <w:t>Accounts receivable ($25 and $22 related to VIEs, respectively), less allowance for credit losses of $1 and $1,</w:t>
            </w:r>
          </w:p>
        </w:tc>
        <w:tc>
          <w:tcPr>
            <w:tcW w:w="2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4"/>
        </w:trPr>
        <w:tc>
          <w:tcPr>
            <w:tcW w:w="832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Accrued unbilled revenues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8"/>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 ($12 and $13 related to VIEs, respectively)</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17,753</w:t>
            </w:r>
          </w:p>
        </w:tc>
        <w:tc>
          <w:tcPr>
            <w:tcW w:w="0" w:type="dxa"/>
            <w:vAlign w:val="bottom"/>
          </w:tcPr>
          <w:p>
            <w:pPr>
              <w:spacing w:after="0"/>
              <w:rPr>
                <w:sz w:val="1"/>
                <w:szCs w:val="1"/>
                <w:color w:val="auto"/>
              </w:rPr>
            </w:pPr>
          </w:p>
        </w:tc>
      </w:tr>
      <w:tr>
        <w:trPr>
          <w:trHeight w:val="226"/>
        </w:trPr>
        <w:tc>
          <w:tcPr>
            <w:tcW w:w="8320" w:type="dxa"/>
            <w:vAlign w:val="bottom"/>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32"/>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 ($160 and $229 related to VIEs, respectively)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8"/>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9"/>
        </w:trPr>
        <w:tc>
          <w:tcPr>
            <w:tcW w:w="8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0"/>
        </w:trPr>
        <w:tc>
          <w:tcPr>
            <w:tcW w:w="832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16,214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15,339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360" w:right="214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184"/>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LIABILITIES AND MEMBER’S EQUITY</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payable–affiliated companies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r>
      <w:tr>
        <w:trPr>
          <w:trHeight w:val="232"/>
        </w:trPr>
        <w:tc>
          <w:tcPr>
            <w:tcW w:w="8280" w:type="dxa"/>
            <w:vAlign w:val="bottom"/>
          </w:tcPr>
          <w:p>
            <w:pPr>
              <w:ind w:left="140"/>
              <w:spacing w:after="0"/>
              <w:rPr>
                <w:sz w:val="20"/>
                <w:szCs w:val="20"/>
                <w:color w:val="auto"/>
              </w:rPr>
            </w:pPr>
            <w:r>
              <w:rPr>
                <w:rFonts w:ascii="Arial" w:cs="Arial" w:eastAsia="Arial" w:hAnsi="Arial"/>
                <w:sz w:val="18"/>
                <w:szCs w:val="18"/>
                <w:color w:val="auto"/>
              </w:rPr>
              <w:t>Taxes accrued</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accrued</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33"/>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18"/>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r>
      <w:tr>
        <w:trPr>
          <w:trHeight w:val="232"/>
        </w:trPr>
        <w:tc>
          <w:tcPr>
            <w:tcW w:w="828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33"/>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18"/>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VIE Securitization Bonds,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debt, net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w:t>
            </w:r>
          </w:p>
        </w:tc>
      </w:tr>
      <w:tr>
        <w:trPr>
          <w:trHeight w:val="220"/>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r>
      <w:tr>
        <w:trPr>
          <w:trHeight w:val="214"/>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r>
      <w:tr>
        <w:trPr>
          <w:trHeight w:val="225"/>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r>
      <w:tr>
        <w:trPr>
          <w:trHeight w:val="219"/>
        </w:trPr>
        <w:tc>
          <w:tcPr>
            <w:tcW w:w="8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member’s equity</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r>
      <w:tr>
        <w:trPr>
          <w:trHeight w:val="220"/>
        </w:trPr>
        <w:tc>
          <w:tcPr>
            <w:tcW w:w="828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Member’s Equity</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16,214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15,339</w:t>
            </w:r>
          </w:p>
        </w:tc>
      </w:tr>
      <w:tr>
        <w:trPr>
          <w:trHeight w:val="20"/>
        </w:trPr>
        <w:tc>
          <w:tcPr>
            <w:tcW w:w="8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360" w:right="214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91"/>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r>
      <w:tr>
        <w:trPr>
          <w:trHeight w:val="184"/>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r>
      <w:tr>
        <w:trPr>
          <w:trHeight w:val="24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9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2"/>
        </w:trPr>
        <w:tc>
          <w:tcPr>
            <w:tcW w:w="82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3"/>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0"/>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25"/>
        </w:trPr>
        <w:tc>
          <w:tcPr>
            <w:tcW w:w="8280" w:type="dxa"/>
            <w:vAlign w:val="bottom"/>
          </w:tcPr>
          <w:p>
            <w:pPr>
              <w:ind w:left="500"/>
              <w:spacing w:after="0"/>
              <w:rPr>
                <w:sz w:val="20"/>
                <w:szCs w:val="20"/>
                <w:color w:val="auto"/>
              </w:rPr>
            </w:pPr>
            <w:r>
              <w:rPr>
                <w:rFonts w:ascii="Arial" w:cs="Arial" w:eastAsia="Arial" w:hAnsi="Arial"/>
                <w:sz w:val="18"/>
                <w:szCs w:val="18"/>
                <w:color w:val="auto"/>
              </w:rPr>
              <w:t>Accounts and notes receivable,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6"/>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2"/>
        </w:trPr>
        <w:tc>
          <w:tcPr>
            <w:tcW w:w="828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3"/>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28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40"/>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 and liabilities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5"/>
        </w:trPr>
        <w:tc>
          <w:tcPr>
            <w:tcW w:w="8280" w:type="dxa"/>
            <w:vAlign w:val="bottom"/>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8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2"/>
        </w:trPr>
        <w:tc>
          <w:tcPr>
            <w:tcW w:w="82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5"/>
        </w:trPr>
        <w:tc>
          <w:tcPr>
            <w:tcW w:w="82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(1,185)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(1,140)</w:t>
            </w:r>
          </w:p>
        </w:tc>
      </w:tr>
      <w:tr>
        <w:trPr>
          <w:trHeight w:val="24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5"/>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9"/>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(1,198)</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(1,391)</w:t>
            </w:r>
          </w:p>
        </w:tc>
      </w:tr>
      <w:tr>
        <w:trPr>
          <w:trHeight w:val="228"/>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long-term debt</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25"/>
        </w:trPr>
        <w:tc>
          <w:tcPr>
            <w:tcW w:w="828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4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notes payable–affiliated companies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5"/>
        </w:trPr>
        <w:tc>
          <w:tcPr>
            <w:tcW w:w="828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 from parent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25"/>
        </w:trPr>
        <w:tc>
          <w:tcPr>
            <w:tcW w:w="8280" w:type="dxa"/>
            <w:vAlign w:val="bottom"/>
          </w:tcPr>
          <w:p>
            <w:pPr>
              <w:ind w:left="220"/>
              <w:spacing w:after="0"/>
              <w:rPr>
                <w:sz w:val="20"/>
                <w:szCs w:val="20"/>
                <w:color w:val="auto"/>
              </w:rPr>
            </w:pPr>
            <w:r>
              <w:rPr>
                <w:rFonts w:ascii="Arial" w:cs="Arial" w:eastAsia="Arial" w:hAnsi="Arial"/>
                <w:sz w:val="18"/>
                <w:szCs w:val="18"/>
                <w:color w:val="auto"/>
              </w:rPr>
              <w:t>Payment of debt issuance costs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obligation for finance lease</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5"/>
        </w:trPr>
        <w:tc>
          <w:tcPr>
            <w:tcW w:w="8280" w:type="dxa"/>
            <w:vAlign w:val="bottom"/>
          </w:tcPr>
          <w:p>
            <w:pPr>
              <w:ind w:left="220"/>
              <w:spacing w:after="0"/>
              <w:rPr>
                <w:sz w:val="20"/>
                <w:szCs w:val="20"/>
                <w:color w:val="auto"/>
              </w:rPr>
            </w:pPr>
            <w:r>
              <w:rPr>
                <w:rFonts w:ascii="Arial" w:cs="Arial" w:eastAsia="Arial" w:hAnsi="Arial"/>
                <w:sz w:val="18"/>
                <w:szCs w:val="18"/>
                <w:color w:val="auto"/>
              </w:rPr>
              <w:t>Other financing activities, net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28"/>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19"/>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Pr>
          <w:p>
            <w:pPr>
              <w:jc w:val="right"/>
              <w:ind w:right="6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9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8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340" w:right="2160"/>
        <w:spacing w:after="0" w:line="255"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20" w:type="dxa"/>
            <w:vAlign w:val="bottom"/>
            <w:gridSpan w:val="6"/>
          </w:tcPr>
          <w:p>
            <w:pPr>
              <w:ind w:left="40"/>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404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8"/>
        </w:trPr>
        <w:tc>
          <w:tcPr>
            <w:tcW w:w="404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5"/>
                <w:szCs w:val="15"/>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r>
      <w:tr>
        <w:trPr>
          <w:trHeight w:val="187"/>
        </w:trPr>
        <w:tc>
          <w:tcPr>
            <w:tcW w:w="404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r>
      <w:tr>
        <w:trPr>
          <w:trHeight w:val="184"/>
        </w:trPr>
        <w:tc>
          <w:tcPr>
            <w:tcW w:w="4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millions, except share amounts)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6"/>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404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404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2,678</w:t>
            </w:r>
          </w:p>
        </w:tc>
      </w:tr>
      <w:tr>
        <w:trPr>
          <w:trHeight w:val="240"/>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contribution from parent</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4040" w:type="dxa"/>
            <w:vAlign w:val="bottom"/>
          </w:tcPr>
          <w:p>
            <w:pPr>
              <w:ind w:left="140"/>
              <w:spacing w:after="0"/>
              <w:rPr>
                <w:sz w:val="20"/>
                <w:szCs w:val="20"/>
                <w:color w:val="auto"/>
              </w:rPr>
            </w:pPr>
            <w:r>
              <w:rPr>
                <w:rFonts w:ascii="Arial" w:cs="Arial" w:eastAsia="Arial" w:hAnsi="Arial"/>
                <w:sz w:val="18"/>
                <w:szCs w:val="18"/>
                <w:color w:val="auto"/>
              </w:rPr>
              <w:t>Contribution from parent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26"/>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2"/>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404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40"/>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5"/>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 to parent</w:t>
            </w: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8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4,945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5,754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4,945</w:t>
            </w:r>
          </w:p>
        </w:tc>
      </w:tr>
      <w:tr>
        <w:trPr>
          <w:trHeight w:val="20"/>
        </w:trPr>
        <w:tc>
          <w:tcPr>
            <w:tcW w:w="4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40" w:right="216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5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6"/>
                <w:szCs w:val="16"/>
                <w:color w:val="auto"/>
              </w:rPr>
            </w:pPr>
          </w:p>
        </w:tc>
      </w:tr>
      <w:tr>
        <w:trPr>
          <w:trHeight w:val="205"/>
        </w:trPr>
        <w:tc>
          <w:tcPr>
            <w:tcW w:w="5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1"/>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2022</w:t>
            </w:r>
          </w:p>
        </w:tc>
      </w:tr>
      <w:tr>
        <w:trPr>
          <w:trHeight w:val="184"/>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gridSpan w:val="3"/>
          </w:tcPr>
          <w:p>
            <w:pPr>
              <w:jc w:val="right"/>
              <w:ind w:right="50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revenues</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r>
      <w:tr>
        <w:trPr>
          <w:trHeight w:val="238"/>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Non-utility revenues</w:t>
            </w:r>
          </w:p>
        </w:tc>
        <w:tc>
          <w:tcPr>
            <w:tcW w:w="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0"/>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14"/>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natural gas</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Non-utility cost of revenues, including natural gas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8"/>
        </w:trPr>
        <w:tc>
          <w:tcPr>
            <w:tcW w:w="522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r>
      <w:tr>
        <w:trPr>
          <w:trHeight w:val="23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06"/>
        </w:trPr>
        <w:tc>
          <w:tcPr>
            <w:tcW w:w="522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Other Income (Expense):</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6"/>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2"/>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25"/>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4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340" w:right="2160"/>
        <w:spacing w:after="0" w:line="255"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2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7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174"/>
        </w:trPr>
        <w:tc>
          <w:tcPr>
            <w:tcW w:w="5840" w:type="dxa"/>
            <w:vAlign w:val="bottom"/>
          </w:tcPr>
          <w:p>
            <w:pPr>
              <w:ind w:left="180"/>
              <w:spacing w:after="0" w:line="174" w:lineRule="exact"/>
              <w:rPr>
                <w:sz w:val="20"/>
                <w:szCs w:val="20"/>
                <w:color w:val="auto"/>
              </w:rPr>
            </w:pPr>
            <w:r>
              <w:rPr>
                <w:rFonts w:ascii="Arial" w:cs="Arial" w:eastAsia="Arial" w:hAnsi="Arial"/>
                <w:sz w:val="18"/>
                <w:szCs w:val="18"/>
                <w:color w:val="auto"/>
                <w:w w:val="92"/>
              </w:rPr>
              <w:t>Adjustment to pension and other postretirement plans (net of tax of $-0-, $-0-</w:t>
            </w:r>
          </w:p>
        </w:tc>
        <w:tc>
          <w:tcPr>
            <w:tcW w:w="90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840" w:type="dxa"/>
            <w:vAlign w:val="bottom"/>
          </w:tcPr>
          <w:p>
            <w:pPr>
              <w:ind w:left="340"/>
              <w:spacing w:after="0"/>
              <w:rPr>
                <w:sz w:val="20"/>
                <w:szCs w:val="20"/>
                <w:color w:val="auto"/>
              </w:rPr>
            </w:pPr>
            <w:r>
              <w:rPr>
                <w:rFonts w:ascii="Arial" w:cs="Arial" w:eastAsia="Arial" w:hAnsi="Arial"/>
                <w:sz w:val="18"/>
                <w:szCs w:val="18"/>
                <w:color w:val="auto"/>
              </w:rPr>
              <w:t>,$-0- and $-0-)</w:t>
            </w: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9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900" w:type="dxa"/>
            <w:vAlign w:val="bottom"/>
          </w:tcPr>
          <w:p>
            <w:pPr>
              <w:jc w:val="right"/>
              <w:ind w:right="7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340" w:right="216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184"/>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101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receivable, less allowance for credit losses of $37 and $34, respectively</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unbilled revenues, less allowance for credit losses of $1 and $4, respectively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32"/>
        </w:trPr>
        <w:tc>
          <w:tcPr>
            <w:tcW w:w="8320" w:type="dxa"/>
            <w:vAlign w:val="bottom"/>
          </w:tcPr>
          <w:p>
            <w:pPr>
              <w:ind w:left="140"/>
              <w:spacing w:after="0"/>
              <w:rPr>
                <w:sz w:val="20"/>
                <w:szCs w:val="20"/>
                <w:color w:val="auto"/>
              </w:rPr>
            </w:pPr>
            <w:r>
              <w:rPr>
                <w:rFonts w:ascii="Arial" w:cs="Arial" w:eastAsia="Arial" w:hAnsi="Arial"/>
                <w:sz w:val="18"/>
                <w:szCs w:val="18"/>
                <w:color w:val="auto"/>
              </w:rPr>
              <w:t>Accounts receivable–affiliated companies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3"/>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receivable–affiliated companies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Materials and supplies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4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Natural gas inventory</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Non-trading derivative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receivable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2"/>
        </w:trPr>
        <w:tc>
          <w:tcPr>
            <w:tcW w:w="832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33"/>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8"/>
        </w:trPr>
        <w:tc>
          <w:tcPr>
            <w:tcW w:w="83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r>
      <w:tr>
        <w:trPr>
          <w:trHeight w:val="22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14,379</w:t>
            </w:r>
          </w:p>
        </w:tc>
      </w:tr>
      <w:tr>
        <w:trPr>
          <w:trHeight w:val="24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r>
      <w:tr>
        <w:trPr>
          <w:trHeight w:val="218"/>
        </w:trPr>
        <w:tc>
          <w:tcPr>
            <w:tcW w:w="832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10,406</w:t>
            </w:r>
          </w:p>
        </w:tc>
      </w:tr>
      <w:tr>
        <w:trPr>
          <w:trHeight w:val="22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4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Non-trading derivative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2"/>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r>
      <w:tr>
        <w:trPr>
          <w:trHeight w:val="24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60" w:right="214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7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90"/>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183"/>
        </w:trPr>
        <w:tc>
          <w:tcPr>
            <w:tcW w:w="8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4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Accounts payable–affiliated companies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2"/>
        </w:trPr>
        <w:tc>
          <w:tcPr>
            <w:tcW w:w="828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deposits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33"/>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r>
      <w:tr>
        <w:trPr>
          <w:trHeight w:val="206"/>
        </w:trPr>
        <w:tc>
          <w:tcPr>
            <w:tcW w:w="828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Other Liabilities: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3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19"/>
        </w:trPr>
        <w:tc>
          <w:tcPr>
            <w:tcW w:w="8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r>
      <w:tr>
        <w:trPr>
          <w:trHeight w:val="22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4"/>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3,729</w:t>
            </w:r>
          </w:p>
        </w:tc>
      </w:tr>
      <w:tr>
        <w:trPr>
          <w:trHeight w:val="24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25"/>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9"/>
        </w:trPr>
        <w:tc>
          <w:tcPr>
            <w:tcW w:w="8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r>
      <w:tr>
        <w:trPr>
          <w:trHeight w:val="233"/>
        </w:trPr>
        <w:tc>
          <w:tcPr>
            <w:tcW w:w="828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14,646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15,704</w:t>
            </w:r>
          </w:p>
        </w:tc>
      </w:tr>
      <w:tr>
        <w:trPr>
          <w:trHeight w:val="20"/>
        </w:trPr>
        <w:tc>
          <w:tcPr>
            <w:tcW w:w="8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360" w:right="214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91"/>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r>
      <w:tr>
        <w:trPr>
          <w:trHeight w:val="184"/>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r>
      <w:tr>
        <w:trPr>
          <w:trHeight w:val="24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9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32"/>
        </w:trPr>
        <w:tc>
          <w:tcPr>
            <w:tcW w:w="82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3"/>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40"/>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divestitures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6"/>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and unbilled revenues,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2"/>
        </w:trPr>
        <w:tc>
          <w:tcPr>
            <w:tcW w:w="8280" w:type="dxa"/>
            <w:vAlign w:val="bottom"/>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3"/>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82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40"/>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5"/>
        </w:trPr>
        <w:tc>
          <w:tcPr>
            <w:tcW w:w="8280" w:type="dxa"/>
            <w:vAlign w:val="bottom"/>
          </w:tcPr>
          <w:p>
            <w:pPr>
              <w:ind w:left="500"/>
              <w:spacing w:after="0"/>
              <w:rPr>
                <w:sz w:val="20"/>
                <w:szCs w:val="20"/>
                <w:color w:val="auto"/>
              </w:rPr>
            </w:pPr>
            <w:r>
              <w:rPr>
                <w:rFonts w:ascii="Arial" w:cs="Arial" w:eastAsia="Arial" w:hAnsi="Arial"/>
                <w:sz w:val="18"/>
                <w:szCs w:val="18"/>
                <w:color w:val="auto"/>
              </w:rPr>
              <w:t>Other current assets and liabilities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8"/>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18"/>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25"/>
        </w:trPr>
        <w:tc>
          <w:tcPr>
            <w:tcW w:w="8280" w:type="dxa"/>
            <w:vAlign w:val="bottom"/>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divestiture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25"/>
        </w:trPr>
        <w:tc>
          <w:tcPr>
            <w:tcW w:w="828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0"/>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28"/>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short-term borrowings, net</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8280" w:type="dxa"/>
            <w:vAlign w:val="bottom"/>
          </w:tcPr>
          <w:p>
            <w:pPr>
              <w:ind w:left="180"/>
              <w:spacing w:after="0"/>
              <w:rPr>
                <w:sz w:val="20"/>
                <w:szCs w:val="20"/>
                <w:color w:val="auto"/>
              </w:rPr>
            </w:pPr>
            <w:r>
              <w:rPr>
                <w:rFonts w:ascii="Arial" w:cs="Arial" w:eastAsia="Arial" w:hAnsi="Arial"/>
                <w:sz w:val="18"/>
                <w:szCs w:val="18"/>
                <w:color w:val="auto"/>
              </w:rPr>
              <w:t>Payments of commercial paper,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4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long-term debt and term loan</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5"/>
        </w:trPr>
        <w:tc>
          <w:tcPr>
            <w:tcW w:w="8280" w:type="dxa"/>
            <w:vAlign w:val="bottom"/>
          </w:tcPr>
          <w:p>
            <w:pPr>
              <w:ind w:left="180"/>
              <w:spacing w:after="0"/>
              <w:rPr>
                <w:sz w:val="20"/>
                <w:szCs w:val="20"/>
                <w:color w:val="auto"/>
              </w:rPr>
            </w:pPr>
            <w:r>
              <w:rPr>
                <w:rFonts w:ascii="Arial" w:cs="Arial" w:eastAsia="Arial" w:hAnsi="Arial"/>
                <w:sz w:val="18"/>
                <w:szCs w:val="18"/>
                <w:color w:val="auto"/>
              </w:rPr>
              <w:t>Payments of long-term debt and term loan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(2,275)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2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to parent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32"/>
        </w:trPr>
        <w:tc>
          <w:tcPr>
            <w:tcW w:w="828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3"/>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notes payable–affiliated companies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(1,517)</w:t>
            </w:r>
          </w:p>
        </w:tc>
      </w:tr>
      <w:tr>
        <w:trPr>
          <w:trHeight w:val="225"/>
        </w:trPr>
        <w:tc>
          <w:tcPr>
            <w:tcW w:w="8280" w:type="dxa"/>
            <w:vAlign w:val="bottom"/>
          </w:tcPr>
          <w:p>
            <w:pPr>
              <w:ind w:left="180"/>
              <w:spacing w:after="0"/>
              <w:rPr>
                <w:sz w:val="20"/>
                <w:szCs w:val="20"/>
                <w:color w:val="auto"/>
              </w:rPr>
            </w:pPr>
            <w:r>
              <w:rPr>
                <w:rFonts w:ascii="Arial" w:cs="Arial" w:eastAsia="Arial" w:hAnsi="Arial"/>
                <w:sz w:val="18"/>
                <w:szCs w:val="18"/>
                <w:color w:val="auto"/>
              </w:rPr>
              <w:t>Contribution from parent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6"/>
        </w:trPr>
        <w:tc>
          <w:tcPr>
            <w:tcW w:w="8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8280" w:type="dxa"/>
            <w:vAlign w:val="bottom"/>
          </w:tcPr>
          <w:p>
            <w:pPr>
              <w:ind w:left="50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(913)</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(2,173)</w:t>
            </w:r>
          </w:p>
        </w:tc>
      </w:tr>
      <w:tr>
        <w:trPr>
          <w:trHeight w:val="232"/>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6"/>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3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340" w:right="2160"/>
        <w:spacing w:after="0" w:line="255"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80" w:type="dxa"/>
            <w:vAlign w:val="bottom"/>
            <w:gridSpan w:val="6"/>
          </w:tcPr>
          <w:p>
            <w:pPr>
              <w:ind w:left="8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5"/>
                <w:szCs w:val="15"/>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5"/>
                <w:szCs w:val="15"/>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4"/>
        </w:trPr>
        <w:tc>
          <w:tcPr>
            <w:tcW w:w="3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7"/>
          </w:tcPr>
          <w:p>
            <w:pPr>
              <w:ind w:left="740"/>
              <w:spacing w:after="0"/>
              <w:rPr>
                <w:sz w:val="20"/>
                <w:szCs w:val="20"/>
                <w:color w:val="auto"/>
              </w:rPr>
            </w:pPr>
            <w:r>
              <w:rPr>
                <w:rFonts w:ascii="Arial" w:cs="Arial" w:eastAsia="Arial" w:hAnsi="Arial"/>
                <w:sz w:val="14"/>
                <w:szCs w:val="14"/>
                <w:b w:val="1"/>
                <w:bCs w:val="1"/>
                <w:color w:val="auto"/>
                <w:w w:val="88"/>
              </w:rPr>
              <w:t>(in millions, except share amounts)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388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4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contribution from parent</w:t>
            </w: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3880" w:type="dxa"/>
            <w:vAlign w:val="bottom"/>
          </w:tcPr>
          <w:p>
            <w:pPr>
              <w:ind w:left="140"/>
              <w:spacing w:after="0"/>
              <w:rPr>
                <w:sz w:val="20"/>
                <w:szCs w:val="20"/>
                <w:color w:val="auto"/>
              </w:rPr>
            </w:pPr>
            <w:r>
              <w:rPr>
                <w:rFonts w:ascii="Arial" w:cs="Arial" w:eastAsia="Arial" w:hAnsi="Arial"/>
                <w:sz w:val="18"/>
                <w:szCs w:val="18"/>
                <w:color w:val="auto"/>
              </w:rPr>
              <w:t>Contribution from parent</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74"/>
        </w:trPr>
        <w:tc>
          <w:tcPr>
            <w:tcW w:w="38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9"/>
              </w:rPr>
              <w:t>Contribution to parent for sale of Arkansas and</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4"/>
        </w:trPr>
        <w:tc>
          <w:tcPr>
            <w:tcW w:w="3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Oklahoma Natural Gas businesses</w:t>
            </w: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8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32"/>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38"/>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 to parent</w:t>
            </w:r>
          </w:p>
        </w:tc>
        <w:tc>
          <w:tcPr>
            <w:tcW w:w="8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9"/>
        </w:trPr>
        <w:tc>
          <w:tcPr>
            <w:tcW w:w="3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2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388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2"/>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8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5,806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20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COMBINED NOTES TO INTERIM CONDENSED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51"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2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Except as discussed in Note 11 to the Registrants’ Interim Condensed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1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Included in this combined Form 10-Q are the Interim Condensed Financial Statements of CenterPoint Energy, Houston Electric and CERC, which are referred to collectively as the Registrants. The Interim Condensed Financial Statements are unaudited, omit certain financial statement disclosures and should be read with the Registrants’ financial statements included in the Registrants’ combined 2022 Form 10-K. The Combined Notes to Interim Condensed Financial Statements apply to all Registrants and specific references to Houston Electric and CERC herein also pertain to CenterPoint Energy, unless otherwise indicated.</w:t>
      </w:r>
    </w:p>
    <w:p>
      <w:pPr>
        <w:spacing w:after="0" w:line="219"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i w:val="1"/>
          <w:iCs w:val="1"/>
          <w:color w:val="auto"/>
        </w:rPr>
        <w:t>Background</w:t>
      </w:r>
      <w:r>
        <w:rPr>
          <w:rFonts w:ascii="Arial" w:cs="Arial" w:eastAsia="Arial" w:hAnsi="Arial"/>
          <w:sz w:val="17"/>
          <w:szCs w:val="17"/>
          <w:color w:val="auto"/>
        </w:rPr>
        <w:t>. CenterPoint Energy, Inc. is a public utility holding company. On June 30, 2023, CenterPoint Energy completed the sale of its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Energy Systems Group, to an unaffiliated third party. For additional information, see Note 3. CenterPoint Energy completed the Restructuring on June 30, 2022, whereby the equity interests in Indiana Gas and VEDO, both subsidiaries it acquired in its acquisition of Vectren on February 1, 2019, were transferred from VUH to CERC Corp. SIGECO was not acquired by CERC and remains a subsidiary of VUH. On January 10, 2022, CERC Corp. completed the sale of its Arkansas and Oklahoma Natural Gas businesses. For additional information, see Note 3.</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2023, CenterPoint Energy’s operating subsidiaries were as follows:</w:t>
      </w:r>
    </w:p>
    <w:p>
      <w:pPr>
        <w:spacing w:after="0" w:line="245" w:lineRule="exact"/>
        <w:rPr>
          <w:sz w:val="20"/>
          <w:szCs w:val="20"/>
          <w:color w:val="auto"/>
        </w:rPr>
      </w:pPr>
    </w:p>
    <w:p>
      <w:pPr>
        <w:ind w:left="640" w:hanging="315"/>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Houston Electric owns and operates electric transmission and distribution facilities in the Texas gulf coast area that includes the city of Houston;</w:t>
      </w:r>
    </w:p>
    <w:p>
      <w:pPr>
        <w:spacing w:after="0" w:line="279" w:lineRule="exact"/>
        <w:rPr>
          <w:rFonts w:ascii="Arial" w:cs="Arial" w:eastAsia="Arial" w:hAnsi="Arial"/>
          <w:sz w:val="15"/>
          <w:szCs w:val="15"/>
          <w:color w:val="auto"/>
        </w:rPr>
      </w:pPr>
    </w:p>
    <w:p>
      <w:pPr>
        <w:jc w:val="both"/>
        <w:ind w:left="640" w:hanging="315"/>
        <w:spacing w:after="0" w:line="27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CERC Corp. (i) directly owns and operates natural gas distribution systems in Louisiana, Minnesota, Mississippi and Texas, (ii) indirectly, through Indiana Gas and VEDO, owns and operates natural gas distribution systems in Indiana and Ohio, respectively, and (iii) owns and operates permanent pipeline connections through interconnects with various interstate and intrastate pipeline companies through CEIP; and</w:t>
      </w:r>
    </w:p>
    <w:p>
      <w:pPr>
        <w:spacing w:after="0" w:line="197" w:lineRule="exact"/>
        <w:rPr>
          <w:rFonts w:ascii="Arial" w:cs="Arial" w:eastAsia="Arial" w:hAnsi="Arial"/>
          <w:sz w:val="17"/>
          <w:szCs w:val="17"/>
          <w:color w:val="auto"/>
        </w:rPr>
      </w:pPr>
    </w:p>
    <w:p>
      <w:pPr>
        <w:ind w:left="640" w:hanging="315"/>
        <w:spacing w:after="0" w:line="295"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83"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As of June 30, 2023, CenterPoint Energy’s reportable segments were Electric, Natural Gas and Corporate and Other. Houston Electric and CERC each consist of a single reportable segment. For a description of CenterPoint Energy’s reportable segments, see Note 15.</w:t>
      </w:r>
    </w:p>
    <w:p>
      <w:pPr>
        <w:spacing w:after="0" w:line="220"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As of June 30, 2023,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Additionally, CenterPoint Energy, through SIGECO, has a consolidated VIE consisting of the Securitization Subsidiary, a wholly-owned, bankruptcy-remote, special purpose entity that facilitated the securitization financing of qualified costs in the second quarter of 2023 associated with the planned retirement of SIGECO’s A.B. Brown coal generation facilities. CenterPoint Energy, through SIGECO, has a controlling financial interest in the Securitization Subsidiary and is the VIE’s primary beneficiary. For further information, see Note 6. Creditors of CenterPoint Energy, Houston Electric and SIGECO have no recourse to any assets or revenues of the Bond Companies or the Securitization Subsidiary, as applicable. The bonds issued by these VIEs are payable only from and secured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by transition, system restoration or securitization property, as applicable, and the bondholders have no recourse to the general credit of CenterPoint Energy, Houston Electric or SIGECO.</w:t>
      </w:r>
    </w:p>
    <w:p>
      <w:pPr>
        <w:spacing w:after="0" w:line="207"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preparation of the Registrants’ financial statements in conformity with generally accepted accounting principles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20"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5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Management believes that recently adopted standards and recently issued standards that are not yet effective will not have a material impact on the Registrants’ financial position, results of operations or cash flows upon adoption.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 (CenterPoint Energy and CERC)</w:t>
      </w:r>
    </w:p>
    <w:p>
      <w:pPr>
        <w:spacing w:after="0" w:line="251" w:lineRule="exact"/>
        <w:rPr>
          <w:sz w:val="20"/>
          <w:szCs w:val="20"/>
          <w:color w:val="auto"/>
        </w:rPr>
      </w:pPr>
    </w:p>
    <w:p>
      <w:pPr>
        <w:jc w:val="both"/>
        <w:ind w:firstLine="319"/>
        <w:spacing w:after="0" w:line="309" w:lineRule="auto"/>
        <w:rPr>
          <w:sz w:val="20"/>
          <w:szCs w:val="20"/>
          <w:color w:val="auto"/>
        </w:rPr>
      </w:pPr>
      <w:r>
        <w:rPr>
          <w:rFonts w:ascii="Arial" w:cs="Arial" w:eastAsia="Arial" w:hAnsi="Arial"/>
          <w:sz w:val="15"/>
          <w:szCs w:val="15"/>
          <w:i w:val="1"/>
          <w:iCs w:val="1"/>
          <w:color w:val="auto"/>
        </w:rPr>
        <w:t xml:space="preserve">Divestiture of Energy Systems Group. </w:t>
      </w:r>
      <w:r>
        <w:rPr>
          <w:rFonts w:ascii="Arial" w:cs="Arial" w:eastAsia="Arial" w:hAnsi="Arial"/>
          <w:sz w:val="15"/>
          <w:szCs w:val="15"/>
          <w:color w:val="auto"/>
        </w:rPr>
        <w:t>On May 21, 2023, CenterPoint Energy, through its subsidiary Vectren Energy Services, entered into an Equity</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Agreement to sell all of the outstanding limited liability company interests of Energy Systems Group to ESG Holdings Group, for a purchase price of $157 million, subject to customary adjustments set forth in the Equity Purchase Agreement, including adjustments based on Energy Systems Group’s net working capital at closing, indebtedness, cash and cash equivalents and transaction expenses. The transaction closed on June 30, 2023, and CenterPoint Energy received $154 million in cash, subject to finalization of the purchase price adjustment. Additionally, as of June 30, 2023, CenterPoint Energy had a payable to ESG Holdings Group for working capital and other adjustments set forth in the Equity Purchase Agreement.</w:t>
      </w:r>
    </w:p>
    <w:p>
      <w:pPr>
        <w:spacing w:after="0" w:line="182"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During the three months ended June 30, 2023, certain assets and liabilities of Energy Systems Group met the held for sale criteria. The divestiture of Energy Systems Group reflects CenterPoint Energy’s continued strategic focus on its core utility businesses. The historical annual revenues, net income and total assets of Energy Systems Groups did not have a sufficient effect, quantitatively or qualitatively, on CenterPoint Energy’s financial results to be considered a strategic shift. Therefore, the income and expenses associated with Energy Systems Group were not reflected as discontinued operations on CenterPoint Energy’s Condensed Statements of Consolidated Income. For disposal groups that are classified as held for sale but that do not meet the criteria for discontinued operations reporting, the assets and liabilities of the disposal group are required to be separately presented on the face of the balance sheet only in the initial period in which it is classified as held for sale. Therefore, CenterPoint Energy’s Condensed Consolidated Balance Sheet as of December 31, 2022 was not recast to reflect Energy Systems Group’s assets and liabilities as held for sale. Depreciation and amortization of long-lived assets ceases at the end of the quarter in which the held for sale criteria is met. Additionally, as a result of the completion of the sale of Energy Systems Group in June 2023, there were no assets or liabilities classified as held for sale as of June 30, 2023. For a discussion of guarantees and product warranties related to Energy Systems Group prior to the sale, see Note 13(b).</w:t>
      </w:r>
    </w:p>
    <w:p>
      <w:pPr>
        <w:spacing w:after="0" w:line="211"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CenterPoint Energy recognized a loss on sale of approximately $12 million, including $3 million of transaction costs, during the three and six months ended June 30, 2023, in connection with the closing of the sale of Energy Systems Group. Additionally, CenterPoint Energy recognized a current tax expense of $33 million during the three and six months ended June 30, 2023, as a result of the cash taxes payable upon the closing of the sale.</w:t>
      </w:r>
    </w:p>
    <w:p>
      <w:pPr>
        <w:spacing w:after="0" w:line="163"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The pre-tax income (loss) for Energy Systems Group, excluding interest and corporate allocations, included in CenterPoint Energy’s Condensed Statements of Consolidated Income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500" w:type="dxa"/>
            <w:vAlign w:val="bottom"/>
            <w:gridSpan w:val="3"/>
          </w:tcPr>
          <w:p>
            <w:pPr>
              <w:ind w:left="560"/>
              <w:spacing w:after="0"/>
              <w:rPr>
                <w:sz w:val="20"/>
                <w:szCs w:val="20"/>
                <w:color w:val="auto"/>
              </w:rPr>
            </w:pPr>
            <w:r>
              <w:rPr>
                <w:rFonts w:ascii="Arial" w:cs="Arial" w:eastAsia="Arial" w:hAnsi="Arial"/>
                <w:sz w:val="14"/>
                <w:szCs w:val="14"/>
                <w:b w:val="1"/>
                <w:bCs w:val="1"/>
                <w:color w:val="auto"/>
                <w:w w:val="96"/>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8"/>
        </w:trPr>
        <w:tc>
          <w:tcPr>
            <w:tcW w:w="5260" w:type="dxa"/>
            <w:vAlign w:val="bottom"/>
          </w:tcPr>
          <w:p>
            <w:pPr>
              <w:spacing w:after="0"/>
              <w:rPr>
                <w:sz w:val="15"/>
                <w:szCs w:val="15"/>
                <w:color w:val="auto"/>
              </w:rPr>
            </w:pP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r>
      <w:tr>
        <w:trPr>
          <w:trHeight w:val="186"/>
        </w:trPr>
        <w:tc>
          <w:tcPr>
            <w:tcW w:w="5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60" w:type="dxa"/>
            <w:vAlign w:val="bottom"/>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Divestiture of Arkansas and Oklahoma Natural Gas Businesses. </w:t>
      </w:r>
      <w:r>
        <w:rPr>
          <w:rFonts w:ascii="Arial" w:cs="Arial" w:eastAsia="Arial" w:hAnsi="Arial"/>
          <w:sz w:val="18"/>
          <w:szCs w:val="18"/>
          <w:color w:val="auto"/>
        </w:rPr>
        <w:t>On April 29, 2021, CenterPoint Energy, through 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subsidiary CERC Corp., entered into an Asset Purchase Agreement to sell its Arkansas and Oklahoma Natural Gas businesses for $2.15 billion in cash, including recovery of approximately $425 million in natural gas costs, including storm-related incremental natural gas costs associated with the February 2021 Winter Storm Event, subject to certain adjustments set forth in the Asset Purchase Agreement. The assets included approximately 17,000 miles of main pipeline in Arkansas, Oklahoma and certain portions of Bowie County, Texas serving more than half a million customers. The transaction closed on January 10, 2022.</w:t>
      </w:r>
    </w:p>
    <w:p>
      <w:pPr>
        <w:spacing w:after="0" w:line="219" w:lineRule="exact"/>
        <w:rPr>
          <w:sz w:val="20"/>
          <w:szCs w:val="20"/>
          <w:color w:val="auto"/>
        </w:rPr>
      </w:pPr>
    </w:p>
    <w:p>
      <w:pPr>
        <w:jc w:val="both"/>
        <w:ind w:firstLine="319"/>
        <w:spacing w:after="0" w:line="366" w:lineRule="auto"/>
        <w:rPr>
          <w:sz w:val="20"/>
          <w:szCs w:val="20"/>
          <w:color w:val="auto"/>
        </w:rPr>
      </w:pPr>
      <w:r>
        <w:rPr>
          <w:rFonts w:ascii="Arial" w:cs="Arial" w:eastAsia="Arial" w:hAnsi="Arial"/>
          <w:sz w:val="15"/>
          <w:szCs w:val="15"/>
          <w:color w:val="auto"/>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2022.</w:t>
      </w:r>
    </w:p>
    <w:p>
      <w:pPr>
        <w:spacing w:after="0" w:line="13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Although the Arkansas and Oklahoma Natural Gas businesses met the held for sale criteria, their disposals did not represent a strategic shift to CenterPoint Energy and CERC, as both retained significant operations in, and continued to invest in, their natural gas businesses. Therefore, the income and expenses associated with the disposed businesses were not reflected as discontinued operations on CenterPoint Energy’s and CERC’s Condensed Statements of Consolidated Income, as applicable. Since the depreciation on the Arkansas and Oklahoma Natural Gas assets continued to be reflected in revenues through customer rates until the closing of the transaction and will be reflected in the carryover basis of the rate-regulated assets, CenterPoint Energy and CERC continued to record depreciation on those assets through the closing of the transaction. The Registrants record assets and liabilities held for sale at the lower of their carrying value or their estimated fair value less cost to sell.</w:t>
      </w:r>
    </w:p>
    <w:p>
      <w:pPr>
        <w:spacing w:after="0" w:line="210"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CenterPoint Energy and CERC recognized gains of $303 million and $557 million, respectively, net of transaction costs of $59 million, in connection with the closing of the disposition of the Arkansas and Oklahoma Natural Gas businesses during the year ended December 31, 2022. CenterPoint Energy and CERC collected a receivable of $15 million in May 2022 for full and final settlement of the working capital adjustment under the Asset Purchase Agreement.</w:t>
      </w:r>
    </w:p>
    <w:p>
      <w:pPr>
        <w:spacing w:after="0" w:line="163"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The pre-tax income for the Arkansas and Oklahoma Natural Gas businesses, excluding interest and corporate allocations, included in CenterPoint Energy’s and CERC’s Condensed Statements of Consolidated Income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Three Months Ended June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Six Months Ended June 30,</w:t>
            </w:r>
          </w:p>
        </w:tc>
      </w:tr>
      <w:tr>
        <w:trPr>
          <w:trHeight w:val="210"/>
        </w:trPr>
        <w:tc>
          <w:tcPr>
            <w:tcW w:w="7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30, 2022</w:t>
            </w:r>
          </w:p>
        </w:tc>
        <w:tc>
          <w:tcPr>
            <w:tcW w:w="6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636"/>
              <w:spacing w:after="0"/>
              <w:rPr>
                <w:sz w:val="20"/>
                <w:szCs w:val="20"/>
                <w:color w:val="auto"/>
              </w:rPr>
            </w:pPr>
            <w:r>
              <w:rPr>
                <w:rFonts w:ascii="Arial" w:cs="Arial" w:eastAsia="Arial" w:hAnsi="Arial"/>
                <w:sz w:val="16"/>
                <w:szCs w:val="16"/>
                <w:b w:val="1"/>
                <w:bCs w:val="1"/>
                <w:color w:val="auto"/>
              </w:rPr>
              <w:t xml:space="preserve">2022 </w:t>
            </w:r>
            <w:r>
              <w:rPr>
                <w:rFonts w:ascii="Arial" w:cs="Arial" w:eastAsia="Arial" w:hAnsi="Arial"/>
                <w:sz w:val="12"/>
                <w:szCs w:val="12"/>
                <w:b w:val="1"/>
                <w:bCs w:val="1"/>
                <w:color w:val="auto"/>
              </w:rPr>
              <w:t>(1)</w:t>
            </w:r>
          </w:p>
        </w:tc>
      </w:tr>
      <w:tr>
        <w:trPr>
          <w:trHeight w:val="187"/>
        </w:trPr>
        <w:tc>
          <w:tcPr>
            <w:tcW w:w="7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6"/>
                <w:szCs w:val="16"/>
                <w:color w:val="auto"/>
              </w:rPr>
            </w:pPr>
          </w:p>
        </w:tc>
      </w:tr>
      <w:tr>
        <w:trPr>
          <w:trHeight w:val="23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Reflects January 1, 2022 to January 9, 2022 results only due to the sale of the Arkansas and Oklahoma Natural Gas businesses.</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Effective on the date of the closing of the disposition of the Arkansas and Oklahoma Natural Gas businesses, a subsidiary of CenterPoint Energy entered into the Transition Services Agreement, whereby that subsidiary agreed to provide certain transition services such as accounting, customer operations, procurement, and technology functions for a term of up to twelve months. In November 2022, a significant majority of all services under the Transition Services Agreement were terminated, and on January 10, 2023, all remaining services were terminated.</w:t>
      </w:r>
    </w:p>
    <w:p>
      <w:pPr>
        <w:spacing w:after="0" w:line="203"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CenterPoint Energy’s charges to Southern Col Midco for reimbursement of transition services were $-0- and less than $1 million during the three and six months ended June 30, 2023 and were $10 million and $19 million during the three and six months ended June 30, 2022. Actual transitional services costs incurred are recorded net of amounts charged to Southern Col Midco. CenterPoint Energy had accounts receivable from Southern Col Midco of $-0- as of June 30, 2023 and $1 million as of December 31, 2022, for transition services.</w:t>
      </w:r>
    </w:p>
    <w:p>
      <w:pPr>
        <w:spacing w:after="0" w:line="214" w:lineRule="exact"/>
        <w:rPr>
          <w:sz w:val="20"/>
          <w:szCs w:val="20"/>
          <w:color w:val="auto"/>
        </w:rPr>
      </w:pPr>
    </w:p>
    <w:p>
      <w:pPr>
        <w:ind w:right="6900" w:firstLine="6"/>
        <w:spacing w:after="0" w:line="527" w:lineRule="auto"/>
        <w:tabs>
          <w:tab w:leader="none" w:pos="25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Allowance for Credit Losses Revenues from Contracts with Customers</w:t>
      </w:r>
    </w:p>
    <w:p>
      <w:pPr>
        <w:jc w:val="both"/>
        <w:ind w:firstLine="319"/>
        <w:spacing w:after="0" w:line="256" w:lineRule="auto"/>
        <w:rPr>
          <w:sz w:val="20"/>
          <w:szCs w:val="20"/>
          <w:color w:val="auto"/>
        </w:rPr>
      </w:pPr>
      <w:r>
        <w:rPr>
          <w:rFonts w:ascii="Arial" w:cs="Arial" w:eastAsia="Arial" w:hAnsi="Arial"/>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214"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ARPs are contracts between the utility and its regulators, not between the utility and a customer. The Registrants recognize ARP revenue as other revenues when the regulator-specified conditions for recognition have been met. Upon recovery of ARP</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right="204"/>
              <w:spacing w:after="0"/>
              <w:rPr>
                <w:sz w:val="20"/>
                <w:szCs w:val="20"/>
                <w:color w:val="auto"/>
              </w:rPr>
            </w:pPr>
            <w:r>
              <w:rPr>
                <w:rFonts w:ascii="Arial" w:cs="Arial" w:eastAsia="Arial" w:hAnsi="Arial"/>
                <w:sz w:val="14"/>
                <w:szCs w:val="14"/>
                <w:b w:val="1"/>
                <w:bCs w:val="1"/>
                <w:color w:val="auto"/>
                <w:w w:val="91"/>
              </w:rPr>
              <w:t>Three Months Ended June 30, 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940" w:type="dxa"/>
            <w:vAlign w:val="bottom"/>
          </w:tcPr>
          <w:p>
            <w:pPr>
              <w:spacing w:after="0"/>
              <w:rPr>
                <w:sz w:val="11"/>
                <w:szCs w:val="11"/>
                <w:color w:val="auto"/>
              </w:rPr>
            </w:pPr>
          </w:p>
        </w:tc>
        <w:tc>
          <w:tcPr>
            <w:tcW w:w="11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Electric</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Natural Gas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tcPr>
          <w:p>
            <w:pPr>
              <w:ind w:left="120"/>
              <w:spacing w:after="0" w:line="136"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shd w:val="clear" w:color="auto" w:fill="CCEEFF"/>
          </w:tcPr>
          <w:p>
            <w:pPr>
              <w:jc w:val="center"/>
              <w:ind w:right="2637"/>
              <w:spacing w:after="0"/>
              <w:rPr>
                <w:sz w:val="20"/>
                <w:szCs w:val="20"/>
                <w:color w:val="auto"/>
              </w:rPr>
            </w:pPr>
            <w:r>
              <w:rPr>
                <w:rFonts w:ascii="Arial" w:cs="Arial" w:eastAsia="Arial" w:hAnsi="Arial"/>
                <w:sz w:val="16"/>
                <w:szCs w:val="16"/>
                <w:color w:val="auto"/>
                <w:w w:val="88"/>
              </w:rPr>
              <w:t>Total revenues</w:t>
            </w:r>
          </w:p>
        </w:tc>
        <w:tc>
          <w:tcPr>
            <w:tcW w:w="1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4"/>
          </w:tcPr>
          <w:p>
            <w:pPr>
              <w:jc w:val="center"/>
              <w:ind w:right="204"/>
              <w:spacing w:after="0"/>
              <w:rPr>
                <w:sz w:val="20"/>
                <w:szCs w:val="20"/>
                <w:color w:val="auto"/>
              </w:rPr>
            </w:pPr>
            <w:r>
              <w:rPr>
                <w:rFonts w:ascii="Arial" w:cs="Arial" w:eastAsia="Arial" w:hAnsi="Arial"/>
                <w:sz w:val="14"/>
                <w:szCs w:val="14"/>
                <w:b w:val="1"/>
                <w:bCs w:val="1"/>
                <w:color w:val="auto"/>
                <w:w w:val="91"/>
              </w:rPr>
              <w:t>Six Months Ended June 30, 2023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11"/>
                <w:szCs w:val="11"/>
                <w:color w:val="auto"/>
              </w:rPr>
            </w:pPr>
          </w:p>
        </w:tc>
        <w:tc>
          <w:tcPr>
            <w:tcW w:w="11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Electric</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Natural Gas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tcPr>
          <w:p>
            <w:pPr>
              <w:ind w:left="120"/>
              <w:spacing w:after="0" w:line="130"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and Other</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shd w:val="clear" w:color="auto" w:fill="CCEEFF"/>
          </w:tcPr>
          <w:p>
            <w:pPr>
              <w:jc w:val="center"/>
              <w:ind w:right="2637"/>
              <w:spacing w:after="0"/>
              <w:rPr>
                <w:sz w:val="20"/>
                <w:szCs w:val="20"/>
                <w:color w:val="auto"/>
              </w:rPr>
            </w:pPr>
            <w:r>
              <w:rPr>
                <w:rFonts w:ascii="Arial" w:cs="Arial" w:eastAsia="Arial" w:hAnsi="Arial"/>
                <w:sz w:val="16"/>
                <w:szCs w:val="16"/>
                <w:color w:val="auto"/>
                <w:w w:val="88"/>
              </w:rPr>
              <w:t>Total revenues</w:t>
            </w:r>
          </w:p>
        </w:tc>
        <w:tc>
          <w:tcPr>
            <w:tcW w:w="1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9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00" w:type="dxa"/>
            <w:vAlign w:val="bottom"/>
            <w:gridSpan w:val="4"/>
          </w:tcPr>
          <w:p>
            <w:pPr>
              <w:jc w:val="center"/>
              <w:ind w:right="204"/>
              <w:spacing w:after="0"/>
              <w:rPr>
                <w:sz w:val="20"/>
                <w:szCs w:val="20"/>
                <w:color w:val="auto"/>
              </w:rPr>
            </w:pPr>
            <w:r>
              <w:rPr>
                <w:rFonts w:ascii="Arial" w:cs="Arial" w:eastAsia="Arial" w:hAnsi="Arial"/>
                <w:sz w:val="14"/>
                <w:szCs w:val="14"/>
                <w:b w:val="1"/>
                <w:bCs w:val="1"/>
                <w:color w:val="auto"/>
                <w:w w:val="91"/>
              </w:rPr>
              <w:t>Three Months Ended June 30, 2022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11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Electric</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Natural Gas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and Other</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shd w:val="clear" w:color="auto" w:fill="CCEEFF"/>
          </w:tcPr>
          <w:p>
            <w:pPr>
              <w:jc w:val="center"/>
              <w:ind w:right="2617"/>
              <w:spacing w:after="0"/>
              <w:rPr>
                <w:sz w:val="20"/>
                <w:szCs w:val="20"/>
                <w:color w:val="auto"/>
              </w:rPr>
            </w:pPr>
            <w:r>
              <w:rPr>
                <w:rFonts w:ascii="Arial" w:cs="Arial" w:eastAsia="Arial" w:hAnsi="Arial"/>
                <w:sz w:val="18"/>
                <w:szCs w:val="18"/>
                <w:color w:val="auto"/>
                <w:w w:val="87"/>
              </w:rPr>
              <w:t>Total revenues</w:t>
            </w:r>
          </w:p>
        </w:tc>
        <w:tc>
          <w:tcPr>
            <w:tcW w:w="1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9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center"/>
              <w:ind w:right="204"/>
              <w:spacing w:after="0"/>
              <w:rPr>
                <w:sz w:val="20"/>
                <w:szCs w:val="20"/>
                <w:color w:val="auto"/>
              </w:rPr>
            </w:pPr>
            <w:r>
              <w:rPr>
                <w:rFonts w:ascii="Arial" w:cs="Arial" w:eastAsia="Arial" w:hAnsi="Arial"/>
                <w:sz w:val="14"/>
                <w:szCs w:val="14"/>
                <w:b w:val="1"/>
                <w:bCs w:val="1"/>
                <w:color w:val="auto"/>
                <w:w w:val="91"/>
              </w:rPr>
              <w:t>Six Months Ended June 30, 2022</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940" w:type="dxa"/>
            <w:vAlign w:val="bottom"/>
          </w:tcPr>
          <w:p>
            <w:pPr>
              <w:spacing w:after="0"/>
              <w:rPr>
                <w:sz w:val="11"/>
                <w:szCs w:val="11"/>
                <w:color w:val="auto"/>
              </w:rPr>
            </w:pPr>
          </w:p>
        </w:tc>
        <w:tc>
          <w:tcPr>
            <w:tcW w:w="11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Electric</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Natural Gas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tcPr>
          <w:p>
            <w:pPr>
              <w:ind w:left="120"/>
              <w:spacing w:after="0" w:line="136"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4,747</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jc w:val="center"/>
              <w:ind w:right="2617"/>
              <w:spacing w:after="0"/>
              <w:rPr>
                <w:sz w:val="20"/>
                <w:szCs w:val="20"/>
                <w:color w:val="auto"/>
              </w:rPr>
            </w:pPr>
            <w:r>
              <w:rPr>
                <w:rFonts w:ascii="Arial" w:cs="Arial" w:eastAsia="Arial" w:hAnsi="Arial"/>
                <w:sz w:val="18"/>
                <w:szCs w:val="18"/>
                <w:color w:val="auto"/>
                <w:w w:val="87"/>
              </w:rPr>
              <w:t>Total revenues</w:t>
            </w: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5"/>
        <w:spacing w:after="0" w:line="26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Total lease income was $2 million and $3 million for the three months ended June 30, 2023 and 2022, respectively, and $4 million and $4 million for the six months ended June 30, 2023 and 2022,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30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3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8"/>
        </w:trPr>
        <w:tc>
          <w:tcPr>
            <w:tcW w:w="3940" w:type="dxa"/>
            <w:vAlign w:val="bottom"/>
          </w:tcPr>
          <w:p>
            <w:pPr>
              <w:spacing w:after="0"/>
              <w:rPr>
                <w:sz w:val="15"/>
                <w:szCs w:val="15"/>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r>
      <w:tr>
        <w:trPr>
          <w:trHeight w:val="186"/>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00" w:type="dxa"/>
            <w:vAlign w:val="bottom"/>
            <w:shd w:val="clear" w:color="auto" w:fill="CCEEFF"/>
          </w:tcPr>
          <w:p>
            <w:pPr>
              <w:jc w:val="right"/>
              <w:ind w:right="10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3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892</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38"/>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7"/>
              </w:rPr>
              <w:t>(11)</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0"/>
        </w:trPr>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200" w:type="dxa"/>
            <w:vAlign w:val="bottom"/>
            <w:shd w:val="clear" w:color="auto" w:fill="CCEEFF"/>
          </w:tcPr>
          <w:p>
            <w:pPr>
              <w:jc w:val="right"/>
              <w:ind w:right="10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3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881</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ind w:left="5540" w:right="240" w:hanging="5215"/>
        <w:spacing w:after="0" w:line="758"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Lease income was not significant for the three and six months ended June 30, 2023 and 2022.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-227330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Six Months Ended June 30,</w:t>
            </w:r>
          </w:p>
        </w:tc>
      </w:tr>
      <w:tr>
        <w:trPr>
          <w:trHeight w:val="191"/>
        </w:trPr>
        <w:tc>
          <w:tcPr>
            <w:tcW w:w="3940" w:type="dxa"/>
            <w:vAlign w:val="bottom"/>
          </w:tcPr>
          <w:p>
            <w:pPr>
              <w:spacing w:after="0"/>
              <w:rPr>
                <w:sz w:val="16"/>
                <w:szCs w:val="16"/>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r>
      <w:tr>
        <w:trPr>
          <w:trHeight w:val="192"/>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00" w:type="dxa"/>
            <w:vAlign w:val="bottom"/>
            <w:shd w:val="clear" w:color="auto" w:fill="CCEEFF"/>
          </w:tcPr>
          <w:p>
            <w:pPr>
              <w:jc w:val="right"/>
              <w:ind w:right="10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3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r>
      <w:tr>
        <w:trPr>
          <w:trHeight w:val="225"/>
        </w:trPr>
        <w:tc>
          <w:tcPr>
            <w:tcW w:w="3940" w:type="dxa"/>
            <w:vAlign w:val="bottom"/>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00" w:type="dxa"/>
            <w:vAlign w:val="bottom"/>
            <w:shd w:val="clear" w:color="auto" w:fill="CCEEFF"/>
          </w:tcPr>
          <w:p>
            <w:pPr>
              <w:jc w:val="right"/>
              <w:ind w:right="10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3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  Primarily consists of income from ARPs and leases. Lease income was not significant for the three and six months ended June 30, 2023 and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1" w:lineRule="exact"/>
        <w:rPr>
          <w:sz w:val="20"/>
          <w:szCs w:val="20"/>
          <w:color w:val="auto"/>
        </w:rPr>
      </w:pPr>
    </w:p>
    <w:p>
      <w:pPr>
        <w:jc w:val="both"/>
        <w:ind w:firstLine="319"/>
        <w:spacing w:after="0" w:line="304" w:lineRule="auto"/>
        <w:rPr>
          <w:sz w:val="20"/>
          <w:szCs w:val="20"/>
          <w:color w:val="auto"/>
        </w:rPr>
      </w:pPr>
      <w:r>
        <w:rPr>
          <w:rFonts w:ascii="Arial" w:cs="Arial" w:eastAsia="Arial" w:hAnsi="Arial"/>
          <w:sz w:val="15"/>
          <w:szCs w:val="15"/>
          <w:b w:val="1"/>
          <w:bCs w:val="1"/>
          <w:i w:val="1"/>
          <w:iCs w:val="1"/>
          <w:color w:val="auto"/>
        </w:rPr>
        <w:t xml:space="preserve">Electric (CenterPoint Energy and Houston Electric). </w:t>
      </w:r>
      <w:r>
        <w:rPr>
          <w:rFonts w:ascii="Arial" w:cs="Arial" w:eastAsia="Arial" w:hAnsi="Arial"/>
          <w:sz w:val="15"/>
          <w:szCs w:val="15"/>
          <w:color w:val="auto"/>
        </w:rPr>
        <w:t>Houston Electric distributes electricity to customers over time, and customers consume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electricity when delivered. Indiana Electric generates, transmits and distributes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18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b w:val="1"/>
          <w:bCs w:val="1"/>
          <w:i w:val="1"/>
          <w:iCs w:val="1"/>
          <w:color w:val="auto"/>
        </w:rPr>
        <w:t xml:space="preserve">Natural Gas (CenterPoint Energy and CERC). </w:t>
      </w:r>
      <w:r>
        <w:rPr>
          <w:rFonts w:ascii="Arial" w:cs="Arial" w:eastAsia="Arial" w:hAnsi="Arial"/>
          <w:sz w:val="17"/>
          <w:szCs w:val="17"/>
          <w:color w:val="auto"/>
        </w:rPr>
        <w:t>CenterPoint Energy and CERC distribute and transport natural gas to customers over time,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206"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b w:val="1"/>
          <w:bCs w:val="1"/>
          <w:i w:val="1"/>
          <w:iCs w:val="1"/>
          <w:color w:val="221F1F"/>
        </w:rPr>
        <w:t xml:space="preserve">Contract Balances. </w:t>
      </w:r>
      <w:r>
        <w:rPr>
          <w:rFonts w:ascii="Arial" w:cs="Arial" w:eastAsia="Arial" w:hAnsi="Arial"/>
          <w:sz w:val="18"/>
          <w:szCs w:val="18"/>
          <w:color w:val="221F1F"/>
        </w:rPr>
        <w:t>When the timing of delivery of service is different from the timing of the payments made by customers and when the right to</w:t>
      </w:r>
      <w:r>
        <w:rPr>
          <w:rFonts w:ascii="Arial" w:cs="Arial" w:eastAsia="Arial" w:hAnsi="Arial"/>
          <w:sz w:val="18"/>
          <w:szCs w:val="18"/>
          <w:b w:val="1"/>
          <w:bCs w:val="1"/>
          <w:i w:val="1"/>
          <w:iCs w:val="1"/>
          <w:color w:val="221F1F"/>
        </w:rPr>
        <w:t xml:space="preserve"> </w:t>
      </w:r>
      <w:r>
        <w:rPr>
          <w:rFonts w:ascii="Arial" w:cs="Arial" w:eastAsia="Arial" w:hAnsi="Arial"/>
          <w:sz w:val="18"/>
          <w:szCs w:val="18"/>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and contract liabilities are included in Accounts payable and Other current liabilities in their Condensed Consolidated Balance Sheets. CenterPoint Energy’s contract assets and contract liabilities primarily related to Energy Systems Group contracts where revenue was recognized using the input method prior to the sale of Energy Systems Group that was completed on June 30, 2023.</w:t>
      </w:r>
    </w:p>
    <w:p>
      <w:pPr>
        <w:spacing w:after="0" w:line="223"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221F1F"/>
        </w:rPr>
        <w:t>The opening and closing balances of accounts receivable, other accrued unbilled revenue, contract assets and contract liabilities from contracts with customers are as follows:</w:t>
      </w:r>
    </w:p>
    <w:p>
      <w:pPr>
        <w:sectPr>
          <w:pgSz w:w="11900" w:h="16838" w:orient="portrait"/>
          <w:cols w:equalWidth="0" w:num="1">
            <w:col w:w="11240"/>
          </w:cols>
          <w:pgMar w:left="320" w:top="127" w:right="3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right="940"/>
        <w:spacing w:after="0" w:line="351" w:lineRule="auto"/>
        <w:rPr>
          <w:sz w:val="20"/>
          <w:szCs w:val="20"/>
          <w:color w:val="auto"/>
        </w:rPr>
      </w:pPr>
      <w:r>
        <w:rPr>
          <w:rFonts w:ascii="Arial" w:cs="Arial" w:eastAsia="Arial" w:hAnsi="Arial"/>
          <w:sz w:val="15"/>
          <w:szCs w:val="15"/>
          <w:color w:val="auto"/>
        </w:rPr>
        <w:t>Opening balance as of December 31, 2022 Closing balance as of June 30, 2023</w:t>
      </w:r>
    </w:p>
    <w:p>
      <w:pPr>
        <w:ind w:left="340"/>
        <w:spacing w:after="0"/>
        <w:rPr>
          <w:sz w:val="20"/>
          <w:szCs w:val="20"/>
          <w:color w:val="auto"/>
        </w:rPr>
      </w:pPr>
      <w:r>
        <w:rPr>
          <w:rFonts w:ascii="Arial" w:cs="Arial" w:eastAsia="Arial" w:hAnsi="Arial"/>
          <w:sz w:val="18"/>
          <w:szCs w:val="18"/>
          <w:color w:val="auto"/>
        </w:rPr>
        <w:t>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3"/>
              </w:rPr>
              <w:t>Accounts Receivable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Other Accrued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Contract</w:t>
            </w:r>
          </w:p>
        </w:tc>
        <w:tc>
          <w:tcPr>
            <w:tcW w:w="120" w:type="dxa"/>
            <w:vAlign w:val="bottom"/>
          </w:tcPr>
          <w:p>
            <w:pPr>
              <w:spacing w:after="0"/>
              <w:rPr>
                <w:sz w:val="14"/>
                <w:szCs w:val="14"/>
                <w:color w:val="auto"/>
              </w:rPr>
            </w:pPr>
          </w:p>
        </w:tc>
        <w:tc>
          <w:tcPr>
            <w:tcW w:w="16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Contract Liabilities</w:t>
            </w:r>
          </w:p>
        </w:tc>
        <w:tc>
          <w:tcPr>
            <w:tcW w:w="0" w:type="dxa"/>
            <w:vAlign w:val="bottom"/>
          </w:tcPr>
          <w:p>
            <w:pPr>
              <w:spacing w:after="0"/>
              <w:rPr>
                <w:sz w:val="1"/>
                <w:szCs w:val="1"/>
                <w:color w:val="auto"/>
              </w:rPr>
            </w:pPr>
          </w:p>
        </w:tc>
      </w:tr>
      <w:tr>
        <w:trPr>
          <w:trHeight w:val="190"/>
        </w:trPr>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Unbilled Revenues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3"/>
          </w:tcPr>
          <w:p>
            <w:pPr>
              <w:jc w:val="center"/>
              <w:ind w:left="1000"/>
              <w:spacing w:after="0"/>
              <w:rPr>
                <w:sz w:val="20"/>
                <w:szCs w:val="20"/>
                <w:color w:val="auto"/>
              </w:rPr>
            </w:pPr>
            <w:r>
              <w:rPr>
                <w:rFonts w:ascii="Arial" w:cs="Arial" w:eastAsia="Arial" w:hAnsi="Arial"/>
                <w:sz w:val="14"/>
                <w:szCs w:val="14"/>
                <w:b w:val="1"/>
                <w:bCs w:val="1"/>
                <w:color w:val="auto"/>
                <w:w w:val="94"/>
              </w:rPr>
              <w:t>(in millions)</w:t>
            </w:r>
          </w:p>
        </w:tc>
        <w:tc>
          <w:tcPr>
            <w:tcW w:w="10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60" w:type="dxa"/>
            <w:vAlign w:val="bottom"/>
          </w:tcPr>
          <w:p>
            <w:pPr>
              <w:jc w:val="right"/>
              <w:ind w:right="377"/>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351"/>
              <w:spacing w:after="0"/>
              <w:rPr>
                <w:sz w:val="20"/>
                <w:szCs w:val="20"/>
                <w:color w:val="auto"/>
              </w:rPr>
            </w:pPr>
            <w:r>
              <w:rPr>
                <w:rFonts w:ascii="Arial" w:cs="Arial" w:eastAsia="Arial" w:hAnsi="Arial"/>
                <w:sz w:val="18"/>
                <w:szCs w:val="18"/>
                <w:color w:val="auto"/>
                <w:w w:val="86"/>
              </w:rPr>
              <w:t>858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center"/>
              <w:ind w:left="800"/>
              <w:spacing w:after="0"/>
              <w:rPr>
                <w:sz w:val="20"/>
                <w:szCs w:val="20"/>
                <w:color w:val="auto"/>
              </w:rPr>
            </w:pPr>
            <w:r>
              <w:rPr>
                <w:rFonts w:ascii="Arial" w:cs="Arial" w:eastAsia="Arial" w:hAnsi="Arial"/>
                <w:sz w:val="18"/>
                <w:szCs w:val="18"/>
                <w:color w:val="auto"/>
                <w:w w:val="93"/>
              </w:rPr>
              <w:t>764</w:t>
            </w:r>
          </w:p>
        </w:tc>
        <w:tc>
          <w:tcPr>
            <w:tcW w:w="540" w:type="dxa"/>
            <w:vAlign w:val="bottom"/>
            <w:gridSpan w:val="2"/>
          </w:tcPr>
          <w:p>
            <w:pPr>
              <w:jc w:val="center"/>
              <w:ind w:right="1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86"/>
              </w:rPr>
              <w:t>608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800"/>
              <w:spacing w:after="0"/>
              <w:rPr>
                <w:sz w:val="20"/>
                <w:szCs w:val="20"/>
                <w:color w:val="auto"/>
              </w:rPr>
            </w:pPr>
            <w:r>
              <w:rPr>
                <w:rFonts w:ascii="Arial" w:cs="Arial" w:eastAsia="Arial" w:hAnsi="Arial"/>
                <w:sz w:val="18"/>
                <w:szCs w:val="18"/>
                <w:color w:val="auto"/>
                <w:w w:val="93"/>
              </w:rPr>
              <w:t>289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60" w:type="dxa"/>
            <w:vAlign w:val="bottom"/>
          </w:tcPr>
          <w:p>
            <w:pPr>
              <w:jc w:val="right"/>
              <w:ind w:right="377"/>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311"/>
              <w:spacing w:after="0"/>
              <w:rPr>
                <w:sz w:val="20"/>
                <w:szCs w:val="20"/>
                <w:color w:val="auto"/>
              </w:rPr>
            </w:pPr>
            <w:r>
              <w:rPr>
                <w:rFonts w:ascii="Arial" w:cs="Arial" w:eastAsia="Arial" w:hAnsi="Arial"/>
                <w:sz w:val="18"/>
                <w:szCs w:val="18"/>
                <w:color w:val="auto"/>
                <w:w w:val="90"/>
              </w:rPr>
              <w:t>(250)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center"/>
              <w:ind w:left="780"/>
              <w:spacing w:after="0"/>
              <w:rPr>
                <w:sz w:val="20"/>
                <w:szCs w:val="20"/>
                <w:color w:val="auto"/>
              </w:rPr>
            </w:pPr>
            <w:r>
              <w:rPr>
                <w:rFonts w:ascii="Arial" w:cs="Arial" w:eastAsia="Arial" w:hAnsi="Arial"/>
                <w:sz w:val="18"/>
                <w:szCs w:val="18"/>
                <w:color w:val="auto"/>
                <w:w w:val="90"/>
              </w:rPr>
              <w:t>(475)</w:t>
            </w:r>
          </w:p>
        </w:tc>
        <w:tc>
          <w:tcPr>
            <w:tcW w:w="540" w:type="dxa"/>
            <w:vAlign w:val="bottom"/>
            <w:gridSpan w:val="2"/>
          </w:tcPr>
          <w:p>
            <w:pPr>
              <w:jc w:val="center"/>
              <w:ind w:right="18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4"/>
                <w:szCs w:val="14"/>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-480060</wp:posOffset>
            </wp:positionV>
            <wp:extent cx="7134860" cy="143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4351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-184785</wp:posOffset>
            </wp:positionV>
            <wp:extent cx="7134860" cy="168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891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3980" w:space="720"/>
            <w:col w:w="6540"/>
          </w:cols>
          <w:pgMar w:left="320" w:top="127" w:right="339" w:bottom="1440" w:gutter="0" w:footer="0" w:header="0"/>
          <w:type w:val="continuous"/>
        </w:sectPr>
      </w:pPr>
    </w:p>
    <w:p>
      <w:pPr>
        <w:ind w:left="320"/>
        <w:spacing w:after="0"/>
        <w:rPr>
          <w:sz w:val="20"/>
          <w:szCs w:val="20"/>
          <w:color w:val="auto"/>
        </w:rPr>
      </w:pPr>
      <w:r>
        <w:rPr>
          <w:rFonts w:ascii="Arial" w:cs="Arial" w:eastAsia="Arial" w:hAnsi="Arial"/>
          <w:sz w:val="18"/>
          <w:szCs w:val="18"/>
          <w:color w:val="auto"/>
        </w:rPr>
        <w:t>(1)  Decrease primarily related to the completed sale of Energy Systems Group on June 30, 2023.</w:t>
      </w:r>
    </w:p>
    <w:p>
      <w:pPr>
        <w:spacing w:after="0" w:line="9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221F1F"/>
        </w:rPr>
        <w:t>The amount of revenue recognized during the three-month period ended June 30, 2023 that was included in the opening contract liability was $2 million. The difference between the opening and closing balances of the contract liabilities primarily results from the timing difference between CenterPoint Energy’s performance and the customer’s payment.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Opening balance as of December 31, 2022</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Closing balance as of June 30, 2023</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5"/>
              </w:rPr>
              <w:t>Accounts Receivable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Other Accrued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Unbilled Revenues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20" w:type="dxa"/>
            <w:vAlign w:val="bottom"/>
          </w:tcPr>
          <w:p>
            <w:pPr>
              <w:jc w:val="right"/>
              <w:ind w:right="417"/>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620" w:type="dxa"/>
            <w:vAlign w:val="bottom"/>
          </w:tcPr>
          <w:p>
            <w:pPr>
              <w:jc w:val="right"/>
              <w:ind w:right="417"/>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-480060</wp:posOffset>
            </wp:positionV>
            <wp:extent cx="7134860" cy="143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4351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-184785</wp:posOffset>
            </wp:positionV>
            <wp:extent cx="7134860" cy="168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560"/>
          </w:cols>
          <w:pgMar w:left="320" w:top="127" w:right="339" w:bottom="1440" w:gutter="0" w:footer="0" w:header="0"/>
        </w:sectPr>
      </w:pPr>
    </w:p>
    <w:p>
      <w:pPr>
        <w:spacing w:after="0" w:line="1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221F1F"/>
        </w:rPr>
        <w:t>The amount of revenue recognized during the three-month period ended June 30, 2023 that was included in the opening contract liability was $1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127" w:right="3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436880</wp:posOffset>
            </wp:positionV>
            <wp:extent cx="7134860" cy="143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Opening balance as of December 31, 2022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Closing balance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8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8910"/>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Decrease</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15"/>
          <w:szCs w:val="15"/>
          <w:color w:val="221F1F"/>
        </w:rPr>
        <w:t>CERC does not have any opening or closing contract asset or contract liability balances.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Other Accrued Unbilled</w:t>
            </w:r>
          </w:p>
        </w:tc>
        <w:tc>
          <w:tcPr>
            <w:tcW w:w="0" w:type="dxa"/>
            <w:vAlign w:val="bottom"/>
          </w:tcPr>
          <w:p>
            <w:pPr>
              <w:spacing w:after="0"/>
              <w:rPr>
                <w:sz w:val="1"/>
                <w:szCs w:val="1"/>
                <w:color w:val="auto"/>
              </w:rPr>
            </w:pPr>
          </w:p>
        </w:tc>
      </w:tr>
      <w:tr>
        <w:trPr>
          <w:trHeight w:val="190"/>
        </w:trPr>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460" w:type="dxa"/>
            <w:vAlign w:val="bottom"/>
            <w:gridSpan w:val="4"/>
          </w:tcPr>
          <w:p>
            <w:pPr>
              <w:ind w:left="12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center"/>
              <w:ind w:left="1099"/>
              <w:spacing w:after="0"/>
              <w:rPr>
                <w:sz w:val="20"/>
                <w:szCs w:val="20"/>
                <w:color w:val="auto"/>
              </w:rPr>
            </w:pPr>
            <w:r>
              <w:rPr>
                <w:rFonts w:ascii="Arial" w:cs="Arial" w:eastAsia="Arial" w:hAnsi="Arial"/>
                <w:sz w:val="18"/>
                <w:szCs w:val="18"/>
                <w:color w:val="auto"/>
                <w:w w:val="93"/>
              </w:rPr>
              <w:t>478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Pr>
          <w:p>
            <w:pPr>
              <w:jc w:val="center"/>
              <w:ind w:left="1139"/>
              <w:spacing w:after="0"/>
              <w:rPr>
                <w:sz w:val="20"/>
                <w:szCs w:val="20"/>
                <w:color w:val="auto"/>
              </w:rPr>
            </w:pPr>
            <w:r>
              <w:rPr>
                <w:rFonts w:ascii="Arial" w:cs="Arial" w:eastAsia="Arial" w:hAnsi="Arial"/>
                <w:sz w:val="18"/>
                <w:szCs w:val="18"/>
                <w:color w:val="auto"/>
                <w:w w:val="86"/>
              </w:rPr>
              <w:t>573</w:t>
            </w:r>
          </w:p>
        </w:tc>
        <w:tc>
          <w:tcPr>
            <w:tcW w:w="0" w:type="dxa"/>
            <w:vAlign w:val="bottom"/>
          </w:tcPr>
          <w:p>
            <w:pPr>
              <w:spacing w:after="0"/>
              <w:rPr>
                <w:sz w:val="1"/>
                <w:szCs w:val="1"/>
                <w:color w:val="auto"/>
              </w:rPr>
            </w:pPr>
          </w:p>
        </w:tc>
      </w:tr>
      <w:tr>
        <w:trPr>
          <w:trHeight w:val="233"/>
        </w:trPr>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1099"/>
              <w:spacing w:after="0"/>
              <w:rPr>
                <w:sz w:val="20"/>
                <w:szCs w:val="20"/>
                <w:color w:val="auto"/>
              </w:rPr>
            </w:pPr>
            <w:r>
              <w:rPr>
                <w:rFonts w:ascii="Arial" w:cs="Arial" w:eastAsia="Arial" w:hAnsi="Arial"/>
                <w:sz w:val="18"/>
                <w:szCs w:val="18"/>
                <w:color w:val="auto"/>
                <w:w w:val="93"/>
              </w:rPr>
              <w:t>267</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left="1159"/>
              <w:spacing w:after="0"/>
              <w:rPr>
                <w:sz w:val="20"/>
                <w:szCs w:val="20"/>
                <w:color w:val="auto"/>
              </w:rPr>
            </w:pPr>
            <w:r>
              <w:rPr>
                <w:rFonts w:ascii="Arial" w:cs="Arial" w:eastAsia="Arial" w:hAnsi="Arial"/>
                <w:sz w:val="18"/>
                <w:szCs w:val="18"/>
                <w:color w:val="auto"/>
                <w:w w:val="79"/>
              </w:rPr>
              <w:t>117</w:t>
            </w:r>
          </w:p>
        </w:tc>
        <w:tc>
          <w:tcPr>
            <w:tcW w:w="0" w:type="dxa"/>
            <w:vAlign w:val="bottom"/>
          </w:tcPr>
          <w:p>
            <w:pPr>
              <w:spacing w:after="0"/>
              <w:rPr>
                <w:sz w:val="1"/>
                <w:szCs w:val="1"/>
                <w:color w:val="auto"/>
              </w:rPr>
            </w:pPr>
          </w:p>
        </w:tc>
      </w:tr>
      <w:tr>
        <w:trPr>
          <w:trHeight w:val="22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center"/>
              <w:ind w:left="1079"/>
              <w:spacing w:after="0"/>
              <w:rPr>
                <w:sz w:val="20"/>
                <w:szCs w:val="20"/>
                <w:color w:val="auto"/>
              </w:rPr>
            </w:pPr>
            <w:r>
              <w:rPr>
                <w:rFonts w:ascii="Arial" w:cs="Arial" w:eastAsia="Arial" w:hAnsi="Arial"/>
                <w:sz w:val="18"/>
                <w:szCs w:val="18"/>
                <w:color w:val="auto"/>
                <w:w w:val="90"/>
              </w:rPr>
              <w:t>(211)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Pr>
          <w:p>
            <w:pPr>
              <w:jc w:val="center"/>
              <w:ind w:left="1139"/>
              <w:spacing w:after="0"/>
              <w:rPr>
                <w:sz w:val="20"/>
                <w:szCs w:val="20"/>
                <w:color w:val="auto"/>
              </w:rPr>
            </w:pPr>
            <w:r>
              <w:rPr>
                <w:rFonts w:ascii="Arial" w:cs="Arial" w:eastAsia="Arial" w:hAnsi="Arial"/>
                <w:sz w:val="18"/>
                <w:szCs w:val="18"/>
                <w:color w:val="auto"/>
                <w:w w:val="90"/>
              </w:rPr>
              <w:t>(456)</w:t>
            </w: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2" w:lineRule="exact"/>
        <w:rPr>
          <w:sz w:val="20"/>
          <w:szCs w:val="20"/>
          <w:color w:val="auto"/>
        </w:rPr>
      </w:pPr>
    </w:p>
    <w:p>
      <w:pPr>
        <w:sectPr>
          <w:pgSz w:w="11900" w:h="16838" w:orient="portrait"/>
          <w:cols w:equalWidth="0" w:num="2">
            <w:col w:w="6880" w:space="720"/>
            <w:col w:w="3640"/>
          </w:cols>
          <w:pgMar w:left="320" w:top="127" w:right="339" w:bottom="1440" w:gutter="0" w:footer="0" w:header="0"/>
          <w:type w:val="continuous"/>
        </w:sectPr>
      </w:pPr>
    </w:p>
    <w:p>
      <w:pPr>
        <w:spacing w:after="0" w:line="79"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E1F"/>
        </w:rPr>
        <w:t>Following the completed sale of Energy Systems Group on June 30, 2023, CenterPoint</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E1F"/>
        </w:rPr>
        <w:t>Energy had no remaining performance obligations.</w:t>
      </w:r>
    </w:p>
    <w:p>
      <w:pPr>
        <w:spacing w:after="0" w:line="20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which revenue from the satisfaction of the performance obligations is recognized in the amount invoiced, the practical expedient was elected and revenue expected to be recognized on these contracts has not been disclosed.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Allowance for Credit Losses</w:t>
      </w:r>
    </w:p>
    <w:p>
      <w:pPr>
        <w:spacing w:after="0" w:line="251" w:lineRule="exact"/>
        <w:rPr>
          <w:sz w:val="20"/>
          <w:szCs w:val="20"/>
          <w:color w:val="auto"/>
        </w:rPr>
      </w:pPr>
    </w:p>
    <w:p>
      <w:pPr>
        <w:jc w:val="both"/>
        <w:ind w:firstLine="319"/>
        <w:spacing w:after="0" w:line="307" w:lineRule="auto"/>
        <w:rPr>
          <w:sz w:val="20"/>
          <w:szCs w:val="20"/>
          <w:color w:val="auto"/>
        </w:rPr>
      </w:pPr>
      <w:r>
        <w:rPr>
          <w:rFonts w:ascii="Arial" w:cs="Arial" w:eastAsia="Arial" w:hAnsi="Arial"/>
          <w:sz w:val="15"/>
          <w:szCs w:val="15"/>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 For a discussion of regulatory deferrals, including those related to COVID-19, see Note 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51"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191"/>
        </w:trPr>
        <w:tc>
          <w:tcPr>
            <w:tcW w:w="5220" w:type="dxa"/>
            <w:vAlign w:val="bottom"/>
          </w:tcPr>
          <w:p>
            <w:pPr>
              <w:spacing w:after="0"/>
              <w:rPr>
                <w:sz w:val="16"/>
                <w:szCs w:val="16"/>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192"/>
        </w:trPr>
        <w:tc>
          <w:tcPr>
            <w:tcW w:w="5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596"/>
              <w:spacing w:after="0"/>
              <w:rPr>
                <w:sz w:val="20"/>
                <w:szCs w:val="20"/>
                <w:color w:val="auto"/>
              </w:rPr>
            </w:pPr>
            <w:r>
              <w:rPr>
                <w:rFonts w:ascii="Arial" w:cs="Arial" w:eastAsia="Arial" w:hAnsi="Arial"/>
                <w:sz w:val="18"/>
                <w:szCs w:val="18"/>
                <w:color w:val="auto"/>
                <w:w w:val="89"/>
              </w:rPr>
              <w:t>13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674"/>
              <w:spacing w:after="0"/>
              <w:rPr>
                <w:sz w:val="20"/>
                <w:szCs w:val="20"/>
                <w:color w:val="auto"/>
              </w:rPr>
            </w:pPr>
            <w:r>
              <w:rPr>
                <w:rFonts w:ascii="Arial" w:cs="Arial" w:eastAsia="Arial" w:hAnsi="Arial"/>
                <w:sz w:val="18"/>
                <w:szCs w:val="18"/>
                <w:color w:val="auto"/>
                <w:w w:val="79"/>
              </w:rPr>
              <w:t>16</w:t>
            </w:r>
          </w:p>
        </w:tc>
      </w:tr>
      <w:tr>
        <w:trPr>
          <w:trHeight w:val="238"/>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center"/>
              <w:ind w:left="596"/>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center"/>
              <w:ind w:left="674"/>
              <w:spacing w:after="0"/>
              <w:rPr>
                <w:sz w:val="20"/>
                <w:szCs w:val="20"/>
                <w:color w:val="auto"/>
              </w:rPr>
            </w:pPr>
            <w:r>
              <w:rPr>
                <w:rFonts w:ascii="Arial" w:cs="Arial" w:eastAsia="Arial" w:hAnsi="Arial"/>
                <w:sz w:val="18"/>
                <w:szCs w:val="18"/>
                <w:color w:val="auto"/>
                <w:w w:val="79"/>
              </w:rPr>
              <w:t>32</w:t>
            </w:r>
          </w:p>
        </w:tc>
      </w:tr>
      <w:tr>
        <w:trPr>
          <w:trHeight w:val="24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93"/>
              </w:rPr>
              <w:t>(38)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93"/>
              </w:rPr>
              <w:t>(48)</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center"/>
              <w:ind w:left="596"/>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center"/>
              <w:ind w:left="674"/>
              <w:spacing w:after="0"/>
              <w:rPr>
                <w:sz w:val="20"/>
                <w:szCs w:val="20"/>
                <w:color w:val="auto"/>
              </w:rPr>
            </w:pPr>
            <w:r>
              <w:rPr>
                <w:rFonts w:ascii="Arial" w:cs="Arial" w:eastAsia="Arial" w:hAnsi="Arial"/>
                <w:sz w:val="18"/>
                <w:szCs w:val="18"/>
                <w:color w:val="auto"/>
                <w:w w:val="79"/>
              </w:rPr>
              <w:t>14</w:t>
            </w:r>
          </w:p>
        </w:tc>
      </w:tr>
      <w:tr>
        <w:trPr>
          <w:trHeight w:val="22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Settlement cost </w:t>
            </w:r>
            <w:r>
              <w:rPr>
                <w:rFonts w:ascii="Arial" w:cs="Arial" w:eastAsia="Arial" w:hAnsi="Arial"/>
                <w:sz w:val="14"/>
                <w:szCs w:val="14"/>
                <w:color w:val="auto"/>
              </w:rPr>
              <w:t>(2) (3)</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59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79"/>
              </w:rPr>
              <w:t>30</w:t>
            </w:r>
          </w:p>
        </w:tc>
      </w:tr>
      <w:tr>
        <w:trPr>
          <w:trHeight w:val="232"/>
        </w:trPr>
        <w:tc>
          <w:tcPr>
            <w:tcW w:w="5220" w:type="dxa"/>
            <w:vAlign w:val="bottom"/>
          </w:tcPr>
          <w:p>
            <w:pPr>
              <w:ind w:left="20"/>
              <w:spacing w:after="0"/>
              <w:rPr>
                <w:sz w:val="20"/>
                <w:szCs w:val="20"/>
                <w:color w:val="auto"/>
              </w:rPr>
            </w:pPr>
            <w:r>
              <w:rPr>
                <w:rFonts w:ascii="Arial" w:cs="Arial" w:eastAsia="Arial" w:hAnsi="Arial"/>
                <w:sz w:val="18"/>
                <w:szCs w:val="18"/>
                <w:color w:val="auto"/>
              </w:rPr>
              <w:t>Net periodic cost</w:t>
            </w:r>
          </w:p>
        </w:tc>
        <w:tc>
          <w:tcPr>
            <w:tcW w:w="980" w:type="dxa"/>
            <w:vAlign w:val="bottom"/>
          </w:tcPr>
          <w:p>
            <w:pPr>
              <w:jc w:val="right"/>
              <w:ind w:right="8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596"/>
              <w:spacing w:after="0"/>
              <w:rPr>
                <w:sz w:val="20"/>
                <w:szCs w:val="20"/>
                <w:color w:val="auto"/>
              </w:rPr>
            </w:pPr>
            <w:r>
              <w:rPr>
                <w:rFonts w:ascii="Arial" w:cs="Arial" w:eastAsia="Arial" w:hAnsi="Arial"/>
                <w:sz w:val="18"/>
                <w:szCs w:val="18"/>
                <w:color w:val="auto"/>
                <w:w w:val="89"/>
              </w:rPr>
              <w:t>27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674"/>
              <w:spacing w:after="0"/>
              <w:rPr>
                <w:sz w:val="20"/>
                <w:szCs w:val="20"/>
                <w:color w:val="auto"/>
              </w:rPr>
            </w:pPr>
            <w:r>
              <w:rPr>
                <w:rFonts w:ascii="Arial" w:cs="Arial" w:eastAsia="Arial" w:hAnsi="Arial"/>
                <w:sz w:val="18"/>
                <w:szCs w:val="18"/>
                <w:color w:val="auto"/>
                <w:w w:val="79"/>
              </w:rPr>
              <w:t>44</w:t>
            </w:r>
          </w:p>
        </w:tc>
      </w:tr>
      <w:tr>
        <w:trPr>
          <w:trHeight w:val="20"/>
        </w:trPr>
        <w:tc>
          <w:tcPr>
            <w:tcW w:w="5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40" w:hanging="315"/>
        <w:spacing w:after="0" w:line="25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CenterPoint Energy’s Condensed Statements of Consolidated Income, net of amounts capitalized and regulatory deferrals.</w:t>
      </w:r>
    </w:p>
    <w:p>
      <w:pPr>
        <w:spacing w:after="0" w:line="1"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net in CenterPoint Energy’s Condensed Statements of Consolidated Income, net of regulatory deferrals.</w:t>
      </w:r>
    </w:p>
    <w:p>
      <w:pPr>
        <w:jc w:val="both"/>
        <w:ind w:left="640" w:hanging="315"/>
        <w:spacing w:after="0" w:line="24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presented represent a one-time, non-cash settlement cost, prior to regulatory deferrals, which are required when the total lump sum distributions or other settlements of plan benefit obligations during a plan year exceed the service cost and interest cost components of the net periodic cost for that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91"/>
              </w:rPr>
              <w:t>Three Months Ended June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6"/>
              <w:spacing w:after="0" w:line="131" w:lineRule="exact"/>
              <w:rPr>
                <w:sz w:val="20"/>
                <w:szCs w:val="20"/>
                <w:color w:val="auto"/>
              </w:rPr>
            </w:pPr>
            <w:r>
              <w:rPr>
                <w:rFonts w:ascii="Arial" w:cs="Arial" w:eastAsia="Arial" w:hAnsi="Arial"/>
                <w:sz w:val="14"/>
                <w:szCs w:val="14"/>
                <w:b w:val="1"/>
                <w:bCs w:val="1"/>
                <w:color w:val="auto"/>
                <w:w w:val="93"/>
              </w:rPr>
              <w:t>CenterPoint</w:t>
            </w:r>
          </w:p>
        </w:tc>
        <w:tc>
          <w:tcPr>
            <w:tcW w:w="10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Houston Electric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6"/>
              <w:spacing w:after="0" w:line="131" w:lineRule="exact"/>
              <w:rPr>
                <w:sz w:val="20"/>
                <w:szCs w:val="20"/>
                <w:color w:val="auto"/>
              </w:rPr>
            </w:pPr>
            <w:r>
              <w:rPr>
                <w:rFonts w:ascii="Arial" w:cs="Arial" w:eastAsia="Arial" w:hAnsi="Arial"/>
                <w:sz w:val="14"/>
                <w:szCs w:val="14"/>
                <w:b w:val="1"/>
                <w:bCs w:val="1"/>
                <w:color w:val="auto"/>
                <w:w w:val="93"/>
              </w:rPr>
              <w:t>CenterPoint</w:t>
            </w:r>
          </w:p>
        </w:tc>
        <w:tc>
          <w:tcPr>
            <w:tcW w:w="12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Houston Electric</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79"/>
              </w:rPr>
              <w:t>1</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406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80" w:type="dxa"/>
            <w:vAlign w:val="bottom"/>
          </w:tcPr>
          <w:p>
            <w:pPr>
              <w:jc w:val="center"/>
              <w:ind w:left="656"/>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80" w:type="dxa"/>
            <w:vAlign w:val="bottom"/>
          </w:tcPr>
          <w:p>
            <w:pPr>
              <w:jc w:val="center"/>
              <w:ind w:left="616"/>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616"/>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center"/>
              <w:ind w:left="616"/>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91"/>
              </w:rPr>
              <w:t>Six Months Ended June 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0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Houston Electric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Houston Electric</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79"/>
              </w:rPr>
              <w:t>1</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80" w:type="dxa"/>
            <w:vAlign w:val="bottom"/>
          </w:tcPr>
          <w:p>
            <w:pPr>
              <w:jc w:val="center"/>
              <w:ind w:left="656"/>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cost (credit)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980" w:type="dxa"/>
            <w:vAlign w:val="bottom"/>
          </w:tcPr>
          <w:p>
            <w:pPr>
              <w:jc w:val="center"/>
              <w:ind w:left="616"/>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ind w:left="616"/>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616"/>
              <w:spacing w:after="0"/>
              <w:rPr>
                <w:sz w:val="20"/>
                <w:szCs w:val="20"/>
                <w:color w:val="auto"/>
              </w:rPr>
            </w:pPr>
            <w:r>
              <w:rPr>
                <w:rFonts w:ascii="Arial" w:cs="Arial" w:eastAsia="Arial" w:hAnsi="Arial"/>
                <w:sz w:val="18"/>
                <w:szCs w:val="18"/>
                <w:color w:val="auto"/>
                <w:w w:val="90"/>
              </w:rPr>
              <w:t>(1)</w:t>
            </w:r>
          </w:p>
        </w:tc>
        <w:tc>
          <w:tcPr>
            <w:tcW w:w="3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5"/>
        <w:spacing w:after="0" w:line="25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spacing w:after="0" w:line="1" w:lineRule="exact"/>
        <w:rPr>
          <w:rFonts w:ascii="Arial" w:cs="Arial" w:eastAsia="Arial" w:hAnsi="Arial"/>
          <w:sz w:val="18"/>
          <w:szCs w:val="18"/>
          <w:color w:val="auto"/>
        </w:rPr>
      </w:pPr>
    </w:p>
    <w:p>
      <w:pPr>
        <w:ind w:left="640" w:hanging="315"/>
        <w:spacing w:after="0" w:line="25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expected minimum contributions to be made to the pension and postretirement benefit plans during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CenterPoint Energy</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80"/>
              <w:spacing w:after="0"/>
              <w:rPr>
                <w:sz w:val="20"/>
                <w:szCs w:val="20"/>
                <w:color w:val="auto"/>
              </w:rPr>
            </w:pPr>
            <w:r>
              <w:rPr>
                <w:rFonts w:ascii="Arial" w:cs="Arial" w:eastAsia="Arial" w:hAnsi="Arial"/>
                <w:sz w:val="14"/>
                <w:szCs w:val="14"/>
                <w:b w:val="1"/>
                <w:bCs w:val="1"/>
                <w:color w:val="auto"/>
                <w:w w:val="91"/>
              </w:rPr>
              <w:t>Houston Electric</w:t>
            </w: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CERC</w:t>
            </w:r>
          </w:p>
        </w:tc>
      </w:tr>
      <w:tr>
        <w:trPr>
          <w:trHeight w:val="191"/>
        </w:trPr>
        <w:tc>
          <w:tcPr>
            <w:tcW w:w="6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ind w:right="540"/>
              <w:spacing w:after="0"/>
              <w:rPr>
                <w:sz w:val="20"/>
                <w:szCs w:val="20"/>
                <w:color w:val="auto"/>
              </w:rPr>
            </w:pPr>
            <w:r>
              <w:rPr>
                <w:rFonts w:ascii="Arial" w:cs="Arial" w:eastAsia="Arial" w:hAnsi="Arial"/>
                <w:sz w:val="14"/>
                <w:szCs w:val="14"/>
                <w:b w:val="1"/>
                <w:bCs w:val="1"/>
                <w:color w:val="auto"/>
                <w:w w:val="91"/>
              </w:rPr>
              <w:t>(in millions)</w:t>
            </w:r>
          </w:p>
        </w:tc>
        <w:tc>
          <w:tcPr>
            <w:tcW w:w="1120" w:type="dxa"/>
            <w:vAlign w:val="bottom"/>
          </w:tcPr>
          <w:p>
            <w:pPr>
              <w:spacing w:after="0"/>
              <w:rPr>
                <w:sz w:val="16"/>
                <w:szCs w:val="16"/>
                <w:color w:val="auto"/>
              </w:rPr>
            </w:pPr>
          </w:p>
        </w:tc>
      </w:tr>
      <w:tr>
        <w:trPr>
          <w:trHeight w:val="23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minimum contribution to pension plans during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Expected minimum contribution to postretirement benefit plans in 2023</w:t>
            </w:r>
          </w:p>
        </w:tc>
        <w:tc>
          <w:tcPr>
            <w:tcW w:w="120" w:type="dxa"/>
            <w:vAlign w:val="bottom"/>
          </w:tcPr>
          <w:p>
            <w:pPr>
              <w:spacing w:after="0"/>
              <w:rPr>
                <w:sz w:val="19"/>
                <w:szCs w:val="19"/>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700" w:type="dxa"/>
            <w:vAlign w:val="bottom"/>
          </w:tcPr>
          <w:p>
            <w:pPr>
              <w:jc w:val="right"/>
              <w:ind w:right="400"/>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contributions made to the pension and postretirement benefit plans: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4"/>
              </w:rPr>
              <w:t>Three Months Ended June 30, 2023</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6"/>
              </w:rPr>
              <w:t>Six Months Ended June 30, 2023</w:t>
            </w:r>
          </w:p>
        </w:tc>
        <w:tc>
          <w:tcPr>
            <w:tcW w:w="960" w:type="dxa"/>
            <w:vAlign w:val="bottom"/>
            <w:tcBorders>
              <w:bottom w:val="single" w:sz="8" w:color="auto"/>
            </w:tcBorders>
          </w:tcPr>
          <w:p>
            <w:pPr>
              <w:spacing w:after="0"/>
              <w:rPr>
                <w:sz w:val="16"/>
                <w:szCs w:val="16"/>
                <w:color w:val="auto"/>
              </w:rPr>
            </w:pPr>
          </w:p>
        </w:tc>
      </w:tr>
      <w:tr>
        <w:trPr>
          <w:trHeight w:val="191"/>
        </w:trPr>
        <w:tc>
          <w:tcPr>
            <w:tcW w:w="286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CenterPoint Energy</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Houston Electric</w:t>
            </w: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auto"/>
                <w:w w:val="96"/>
              </w:rPr>
              <w:t>CenterPoint Energy</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Houston Electric</w:t>
            </w: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CERC</w:t>
            </w:r>
          </w:p>
        </w:tc>
      </w:tr>
      <w:tr>
        <w:trPr>
          <w:trHeight w:val="192"/>
        </w:trPr>
        <w:tc>
          <w:tcPr>
            <w:tcW w:w="2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20" w:type="dxa"/>
            <w:vAlign w:val="bottom"/>
            <w:gridSpan w:val="3"/>
          </w:tcPr>
          <w:p>
            <w:pPr>
              <w:jc w:val="right"/>
              <w:ind w:right="309"/>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plans</w:t>
            </w: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0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86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54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60" w:type="dxa"/>
            <w:vAlign w:val="bottom"/>
          </w:tcPr>
          <w:p>
            <w:pPr>
              <w:ind w:left="9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600" w:type="dxa"/>
            <w:vAlign w:val="bottom"/>
          </w:tcPr>
          <w:p>
            <w:pPr>
              <w:ind w:left="9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Regulatory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Return</w:t>
      </w:r>
    </w:p>
    <w:p>
      <w:pPr>
        <w:spacing w:after="0" w:line="245"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52"/>
              <w:spacing w:after="0"/>
              <w:rPr>
                <w:sz w:val="20"/>
                <w:szCs w:val="20"/>
                <w:color w:val="auto"/>
              </w:rPr>
            </w:pPr>
            <w:r>
              <w:rPr>
                <w:rFonts w:ascii="Arial" w:cs="Arial" w:eastAsia="Arial" w:hAnsi="Arial"/>
                <w:sz w:val="14"/>
                <w:szCs w:val="14"/>
                <w:b w:val="1"/>
                <w:bCs w:val="1"/>
                <w:color w:val="auto"/>
                <w:w w:val="87"/>
              </w:rPr>
              <w:t>June 30, 2023</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106"/>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Houston Electric</w:t>
            </w:r>
          </w:p>
        </w:tc>
        <w:tc>
          <w:tcPr>
            <w:tcW w:w="240" w:type="dxa"/>
            <w:vAlign w:val="bottom"/>
          </w:tcPr>
          <w:p>
            <w:pPr>
              <w:spacing w:after="0"/>
              <w:rPr>
                <w:sz w:val="13"/>
                <w:szCs w:val="13"/>
                <w:color w:val="auto"/>
              </w:rPr>
            </w:pPr>
          </w:p>
        </w:tc>
        <w:tc>
          <w:tcPr>
            <w:tcW w:w="900" w:type="dxa"/>
            <w:vAlign w:val="bottom"/>
            <w:vMerge w:val="restart"/>
          </w:tcPr>
          <w:p>
            <w:pPr>
              <w:jc w:val="right"/>
              <w:ind w:right="186"/>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86"/>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3"/>
                <w:szCs w:val="13"/>
                <w:color w:val="auto"/>
              </w:rPr>
            </w:pPr>
          </w:p>
        </w:tc>
        <w:tc>
          <w:tcPr>
            <w:tcW w:w="90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1"/>
              </w:rPr>
              <w:t xml:space="preserve">Energy </w:t>
            </w:r>
            <w:r>
              <w:rPr>
                <w:rFonts w:ascii="Arial" w:cs="Arial" w:eastAsia="Arial" w:hAnsi="Arial"/>
                <w:sz w:val="10"/>
                <w:szCs w:val="10"/>
                <w:b w:val="1"/>
                <w:bCs w:val="1"/>
                <w:color w:val="auto"/>
                <w:w w:val="91"/>
              </w:rPr>
              <w:t>(1)</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94"/>
              <w:spacing w:after="0"/>
              <w:rPr>
                <w:sz w:val="20"/>
                <w:szCs w:val="20"/>
                <w:color w:val="auto"/>
              </w:rPr>
            </w:pPr>
            <w:r>
              <w:rPr>
                <w:rFonts w:ascii="Arial" w:cs="Arial" w:eastAsia="Arial" w:hAnsi="Arial"/>
                <w:sz w:val="11"/>
                <w:szCs w:val="11"/>
                <w:b w:val="1"/>
                <w:bCs w:val="1"/>
                <w:color w:val="auto"/>
                <w:w w:val="88"/>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right"/>
              <w:ind w:right="746"/>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not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210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188</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6"/>
                <w:szCs w:val="16"/>
                <w:color w:val="auto"/>
              </w:rPr>
              <w:t>82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40" w:hanging="315"/>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to the amounts described in (2) and (3) below, represents CenterPoint Energy’s allowed equity return on post in-service carrying cost, including investments at SIGECO and securitized qualified costs associated with the planned retirements of Indiana Electric’s A.B. Brown coal-fired generation facilities.</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Houston Electric’s allowed equity return on its true-up balance of stranded costs, other changes and related interest resulting from the formerly integrated electric utilities prior to Texas deregulation to be recovered in rates through 2024 and certain storm restoration, TEEEF and LLTF balances pending recovery in the next rate proceeding. The actual amounts recognized are adjusted at least annually to correct any over-collections or under-collections during the preceding 12 months.</w:t>
      </w:r>
    </w:p>
    <w:p>
      <w:pPr>
        <w:spacing w:after="0" w:line="1" w:lineRule="exact"/>
        <w:rPr>
          <w:rFonts w:ascii="Arial" w:cs="Arial" w:eastAsia="Arial" w:hAnsi="Arial"/>
          <w:sz w:val="18"/>
          <w:szCs w:val="18"/>
          <w:color w:val="auto"/>
        </w:rPr>
      </w:pPr>
    </w:p>
    <w:p>
      <w:pPr>
        <w:ind w:left="640" w:hanging="315"/>
        <w:spacing w:after="0" w:line="25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CERC’s allowed equity return on post in-service carrying cost associated with certain distribution facilities replacements expenditures in Texas and costs associated with investments in Indiana.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below reflects the amount of allowed equity return recognized by each Registrant in its Condensed Statements of Consolidated Income: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center"/>
              <w:ind w:right="166"/>
              <w:spacing w:after="0"/>
              <w:rPr>
                <w:sz w:val="20"/>
                <w:szCs w:val="20"/>
                <w:color w:val="auto"/>
              </w:rPr>
            </w:pPr>
            <w:r>
              <w:rPr>
                <w:rFonts w:ascii="Arial" w:cs="Arial" w:eastAsia="Arial" w:hAnsi="Arial"/>
                <w:sz w:val="14"/>
                <w:szCs w:val="14"/>
                <w:b w:val="1"/>
                <w:bCs w:val="1"/>
                <w:color w:val="auto"/>
                <w:w w:val="91"/>
              </w:rPr>
              <w:t>Three Months Ended June 30,</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86"/>
              <w:spacing w:after="0" w:line="131"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right"/>
              <w:ind w:right="5"/>
              <w:spacing w:after="0"/>
              <w:rPr>
                <w:sz w:val="20"/>
                <w:szCs w:val="20"/>
                <w:color w:val="auto"/>
              </w:rPr>
            </w:pPr>
            <w:r>
              <w:rPr>
                <w:rFonts w:ascii="Arial" w:cs="Arial" w:eastAsia="Arial" w:hAnsi="Arial"/>
                <w:sz w:val="14"/>
                <w:szCs w:val="14"/>
                <w:b w:val="1"/>
                <w:bCs w:val="1"/>
                <w:color w:val="auto"/>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06"/>
              <w:spacing w:after="0" w:line="131"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right"/>
              <w:ind w:right="5"/>
              <w:spacing w:after="0"/>
              <w:rPr>
                <w:sz w:val="20"/>
                <w:szCs w:val="20"/>
                <w:color w:val="auto"/>
              </w:rPr>
            </w:pPr>
            <w:r>
              <w:rPr>
                <w:rFonts w:ascii="Arial" w:cs="Arial" w:eastAsia="Arial" w:hAnsi="Arial"/>
                <w:sz w:val="14"/>
                <w:szCs w:val="14"/>
                <w:b w:val="1"/>
                <w:bCs w:val="1"/>
                <w:color w:val="auto"/>
              </w:rPr>
              <w:t>Houston Electric</w:t>
            </w:r>
          </w:p>
        </w:tc>
        <w:tc>
          <w:tcPr>
            <w:tcW w:w="300" w:type="dxa"/>
            <w:vAlign w:val="bottom"/>
          </w:tcPr>
          <w:p>
            <w:pPr>
              <w:spacing w:after="0"/>
              <w:rPr>
                <w:sz w:val="11"/>
                <w:szCs w:val="11"/>
                <w:color w:val="auto"/>
              </w:rPr>
            </w:pPr>
          </w:p>
        </w:tc>
        <w:tc>
          <w:tcPr>
            <w:tcW w:w="86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2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center"/>
              <w:ind w:right="166"/>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40"/>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center"/>
              <w:ind w:right="166"/>
              <w:spacing w:after="0"/>
              <w:rPr>
                <w:sz w:val="20"/>
                <w:szCs w:val="20"/>
                <w:color w:val="auto"/>
              </w:rPr>
            </w:pPr>
            <w:r>
              <w:rPr>
                <w:rFonts w:ascii="Arial" w:cs="Arial" w:eastAsia="Arial" w:hAnsi="Arial"/>
                <w:sz w:val="14"/>
                <w:szCs w:val="14"/>
                <w:b w:val="1"/>
                <w:bCs w:val="1"/>
                <w:color w:val="auto"/>
                <w:w w:val="91"/>
              </w:rPr>
              <w:t>Six Months Ended June 30,</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right"/>
              <w:ind w:right="5"/>
              <w:spacing w:after="0"/>
              <w:rPr>
                <w:sz w:val="20"/>
                <w:szCs w:val="20"/>
                <w:color w:val="auto"/>
              </w:rPr>
            </w:pPr>
            <w:r>
              <w:rPr>
                <w:rFonts w:ascii="Arial" w:cs="Arial" w:eastAsia="Arial" w:hAnsi="Arial"/>
                <w:sz w:val="14"/>
                <w:szCs w:val="14"/>
                <w:b w:val="1"/>
                <w:bCs w:val="1"/>
                <w:color w:val="auto"/>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right"/>
              <w:ind w:right="5"/>
              <w:spacing w:after="0"/>
              <w:rPr>
                <w:sz w:val="20"/>
                <w:szCs w:val="20"/>
                <w:color w:val="auto"/>
              </w:rPr>
            </w:pPr>
            <w:r>
              <w:rPr>
                <w:rFonts w:ascii="Arial" w:cs="Arial" w:eastAsia="Arial" w:hAnsi="Arial"/>
                <w:sz w:val="14"/>
                <w:szCs w:val="14"/>
                <w:b w:val="1"/>
                <w:bCs w:val="1"/>
                <w:color w:val="auto"/>
              </w:rPr>
              <w:t>Houston Electric</w:t>
            </w:r>
          </w:p>
        </w:tc>
        <w:tc>
          <w:tcPr>
            <w:tcW w:w="300" w:type="dxa"/>
            <w:vAlign w:val="bottom"/>
          </w:tcPr>
          <w:p>
            <w:pPr>
              <w:spacing w:after="0"/>
              <w:rPr>
                <w:sz w:val="11"/>
                <w:szCs w:val="11"/>
                <w:color w:val="auto"/>
              </w:rPr>
            </w:pPr>
          </w:p>
        </w:tc>
        <w:tc>
          <w:tcPr>
            <w:tcW w:w="86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2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center"/>
              <w:ind w:right="166"/>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22</w:t>
            </w:r>
          </w:p>
        </w:tc>
        <w:tc>
          <w:tcPr>
            <w:tcW w:w="3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5"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5"/>
          <w:szCs w:val="15"/>
          <w:color w:val="auto"/>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Mississippi, Indiana and Texas discussed further below, and continue to recover the natural gas cost in Louisiana and Minnesota. As of June 30, 2023, CenterPoint Energy and CERC have each recorded current regulatory assets of $104 million and non-current regulatory assets of $140 million associated with the February 2021 Winter Storm Event. As of December 31, 2022, CenterPoint Energy and CERC have each recorded current regulatory assets of $1,175 million and non-current regulatory assets of $202 million associated with the February 2021 Winter Storm Event.</w:t>
      </w:r>
    </w:p>
    <w:p>
      <w:pPr>
        <w:spacing w:after="0" w:line="18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Minnesota, the MPUC issued its written order on October 19, 2022 disallowing CERC’s recovery of approximately $36 million of the $409 million incurred, and CERC’s regulatory asset balance was reduced to reflect the disallowance. CERC filed a petition for reconsideration on November 8, 2022 and a written order denying the petition for reconsideration was issued on January 6, 2023.</w:t>
      </w:r>
    </w:p>
    <w:p>
      <w:pPr>
        <w:spacing w:after="0" w:line="214"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CenterPoint Energy and CERC have approximately $75 million of the total $2 billion of natural gas costs incurred during the February 2021 Winter Storm Event remaining under prudence review. Recovery of natural gas costs within the regulatory assets as of June 30, 2023 are probable and only natural gas costs in Louisiana are still subject to customary regulatory prudence reviews, which may impact the amount ultimately recovered in Louisiana.</w:t>
      </w:r>
    </w:p>
    <w:p>
      <w:pPr>
        <w:spacing w:after="0" w:line="163"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As of both June 30, 2023 and December 31, 2022, as authorized by the PUCT, both CenterPoint Energy and Houston Electric recorded a regulatory asset of $8 million for bad debt expenses resulting from REPs’ default on their obligation to pay delivery charges to Houston Electric net of collateral. Additionally, both CenterPoint Energy and Houston Electric recorded a regulatory asset of $17 million and $16 million as of both June 30, 2023 and December 31, 2022, to defer operations and maintenance costs associated with the February 2021 Winter Storm Event.</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13(c) for further information regarding litigation related to the February 2021 Winter Storm Event.</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i w:val="1"/>
          <w:iCs w:val="1"/>
          <w:color w:val="auto"/>
        </w:rPr>
        <w:t xml:space="preserve">Texas Public Securitization. </w:t>
      </w:r>
      <w:r>
        <w:rPr>
          <w:rFonts w:ascii="Arial" w:cs="Arial" w:eastAsia="Arial" w:hAnsi="Arial"/>
          <w:sz w:val="18"/>
          <w:szCs w:val="18"/>
          <w:color w:val="auto"/>
        </w:rPr>
        <w:t>The Texas Natural Gas Securitization Finance Corporation issued customer rate relief bonds in March 2023, and on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23, 2023, CenterPoint Energy and CERC, collectively, received approximately $1.1 billion in cash proceeds from the state’s customer rate relief bonds. The proceeds from the state’s customer rate relief bonds included carrying costs incurred through August 2022. Incremental carrying costs incurred after August 2022 until the date the proceeds were received are recorded in a separate regulatory asset to be included for recovery in a subsequent rate proceeding. As CenterPoint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Energy and CERC have no future financial obligations for the repayment of the state’s customer rate relief bonds, the customer rate relief bonds are not recorded on CenterPoint Energy’s or CERC’s balance sheets. The $1.1 billion in cash proceeds from the customer rate relief bonds is considered to be a government grant. The state’s customer rate relief bonds are backed in part by customer rate relief property, including customer rate relief charges, which are non-bypassable uniform monthly volumetric charges to be paid by all existing and future customers as a component of each regulated utility’s gas cost or in another manner that the Railroad Commission determines reasonable,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to the financing entity set up by the Railroad Commission. Therefore, the collection and servicing of customer rate relief charges have no impact on the respective Condensed Statements of Consolidated Income of CenterPoint Energy or CERC.</w:t>
      </w:r>
    </w:p>
    <w:p>
      <w:pPr>
        <w:spacing w:after="0" w:line="200" w:lineRule="exact"/>
        <w:rPr>
          <w:sz w:val="20"/>
          <w:szCs w:val="20"/>
          <w:color w:val="auto"/>
        </w:rPr>
      </w:pPr>
    </w:p>
    <w:p>
      <w:pPr>
        <w:spacing w:after="0" w:line="202"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As U.S. generally accepted accounting principles have no specific accounting guidance for government grants or assistance, the cash proceeds from the state’s customer rate relief bonds were accounted for as a government grant by analogy to the grant model under IAS 20—Accounting for Government Grants and Disclosures of Government Assistance. CenterPoint Energy and CERC reflect the proceeds from the grant as a deduction to natural gas costs and recognized the $1.1 billion of cash proceeds from the state’s customer rate relief bonds within Utility natural gas expense on their respective Condensed Statements of Consolidated Income in the six months ended June 30, 2023, net of the recognition of natural gas cost related to relieving CenterPoint Energy and CERC’s regulatory assets related to the February 2021 Winter Storm Event in the same period.</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Securitization of Planned Generation Retirements (CenterPoint Energy)</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January 4, 2023, the IURC issued an order in accordance with Indiana Senate Enrolled Act 386 authorizing the issuance of up to $350 million in</w:t>
      </w:r>
    </w:p>
    <w:p>
      <w:pPr>
        <w:spacing w:after="0" w:line="8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securitization bonds to securitize qualified costs associated with the planned retirements of Indiana Electric’s A.B. Brown coal-fired generation facilities. Accordingly, CenterPoint Energy determined that the retirement of property, plant and equipment became probable upon the issuance of the order. No loss on abandonment was recognized in connection with issuance of the order as there was no disallowance of all or part of the cost of the abandoned property, plant and equipment. In the first quarter of 2023, upon receipt of the order, CenterPoint Energy reclassified property, plant and equipment to be recovered through securitization to a regulatory asset and such amounts continued to earn a full return until recovered through securitization.</w:t>
      </w:r>
    </w:p>
    <w:p>
      <w:pPr>
        <w:spacing w:after="0" w:line="177" w:lineRule="exact"/>
        <w:rPr>
          <w:sz w:val="20"/>
          <w:szCs w:val="20"/>
          <w:color w:val="auto"/>
        </w:rPr>
      </w:pPr>
    </w:p>
    <w:p>
      <w:pPr>
        <w:jc w:val="both"/>
        <w:ind w:firstLine="319"/>
        <w:spacing w:after="0" w:line="313" w:lineRule="auto"/>
        <w:rPr>
          <w:sz w:val="20"/>
          <w:szCs w:val="20"/>
          <w:color w:val="auto"/>
        </w:rPr>
      </w:pPr>
      <w:r>
        <w:rPr>
          <w:rFonts w:ascii="Arial" w:cs="Arial" w:eastAsia="Arial" w:hAnsi="Arial"/>
          <w:sz w:val="15"/>
          <w:szCs w:val="15"/>
          <w:color w:val="auto"/>
        </w:rPr>
        <w:t>On March 24, 2023, SIGECO and the Securitization Subsidiary filed a registration statement on Form SF-1, amended on May 16, 2023, under the Securities Act of 1933, as amended, with the SEC registering the public offering and sale of approximately $341 million aggregate principal amount of the SIGECO Securitization Bonds. The registration statement became effective on June 12, 2023. The Securitization Subsidiary issued $341 million aggregate principal amount of the SIGECO Securitization Bonds on June 29, 2023. See Note 11 for further details of the issuance. The Securitization Subsidiary used the net proceeds from the issuance to purchase the securitization property from SIGECO. No gain or loss was recognized.</w:t>
      </w:r>
    </w:p>
    <w:p>
      <w:pPr>
        <w:spacing w:after="0" w:line="177"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SIGECO Securitization Bonds are secured by the securitization property, which includes the right to recover, through non-bypassable securitization charges payable by SIGECO’s retail electric customers, the qualified costs of SIGECO authorized by the IURC order. SIGECO has no payment obligations with respect to the SIGECO Securitization Bonds except to remit collections of securitization charges as set forth in a servicing agreement between SIGECO and the Securitization Subsidiary. The non-bypassable securitization charges are subject to a true-up mechanism.</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Houston Electric TEEEF</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Houston Electric continues to review the effects of legislation passed in 2021 and is working with the PUCT regarding proposed rulemakings and pursuing implementation of these items where applicable. For example, pursuant to legislation passed in 2021, Houston Electric entered into two leases for TEEEF (mobile generation) which are detailed in Note 19. Houston Electric initially sought recovery of deferred costs and the applicable return as of December 31, 2021 under these lease agreements of approximately $200 million in its DCRF application filed with the PUCT on April 5, 2022, and subsequently amended on July 1, 2022, to show mobile generation in a separate Rider TEEEF. The annual revenue increase requested for these lease agreements was approximately $57 million. A final order was issued on April 5, 2023 approving a reduced revenue requirement of $39 million that results in full recovery of costs requested but lengthens the amortization period for the short-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term lease to be collected over 82.5 months. On April 28, 2023, and May 1, 2023, certain intervenors filed motions for rehearing of the PUCT’s April 5, 2023 order. On May 25, 2023, the PUCT issued its order on rehearing which clarified some of the findings, but did not change the approval of TEEEF cost recovery. On June 19, 2023, certain intervenors filed motions for rehearing of the PUCT’s May 25, 2023 Order on Rehearing; the PUCT voted to add the motions for rehearing to the August 3, 2023 open meeting agenda for consideration of the merits. The ultimate outcome of these proceedings cannot be predicted at this time.</w:t>
      </w:r>
    </w:p>
    <w:p>
      <w:pPr>
        <w:spacing w:after="0" w:line="219" w:lineRule="exact"/>
        <w:rPr>
          <w:sz w:val="20"/>
          <w:szCs w:val="20"/>
          <w:color w:val="auto"/>
        </w:rPr>
      </w:pPr>
    </w:p>
    <w:p>
      <w:pPr>
        <w:jc w:val="both"/>
        <w:ind w:firstLine="319"/>
        <w:spacing w:after="0" w:line="270" w:lineRule="auto"/>
        <w:rPr>
          <w:sz w:val="20"/>
          <w:szCs w:val="20"/>
          <w:color w:val="auto"/>
        </w:rPr>
      </w:pPr>
      <w:r>
        <w:rPr>
          <w:rFonts w:ascii="Arial" w:cs="Arial" w:eastAsia="Arial" w:hAnsi="Arial"/>
          <w:sz w:val="17"/>
          <w:szCs w:val="17"/>
          <w:color w:val="auto"/>
        </w:rPr>
        <w:t>On April 5, 2023, Houston Electric made its second TEEEF filing requesting recovery of TEEEF related costs incurred through December 31, 2022. Houston Electric is requesting a new annual revenue requirement of approximately $188 million using 78 months to amortize the related deferred costs for proposed rates beginning September 2023, a net increase in TEEEF revenues of approximately $149 million. On June 7, 2023, intervenors jointly requested a hearing, and on June 14, 2023, the PUCT staff indicated that it does not oppose a hearing in this docket. On June 21, 2023 Houston Electric made a filing that a hearing is not necessary given the PUCT’s decision in the TEEEF docket filed in 2022 and indicated that if the PUCT does refer this case to the State Office of Administrative Hearings, any preliminary order issued by the PUCT should be limited. On July 18, 2023 the PUCT referred the case to the State Office of Administrative Hearings and, on July 20, 2023, the PUCT issued a preliminary order identifying the issues to be addressed. The ultimate outcome of these proceedings cannot be predicted at this time.</w:t>
      </w:r>
    </w:p>
    <w:p>
      <w:pPr>
        <w:spacing w:after="0" w:line="206"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Houston Electric defers costs associated with the short-term and long-term leases that are probable of recovery and would otherwise be charged to expense in a regulatory asset, including allowed debt returns, and determined that such regulatory assets remain probable of recovery as of June 30, 2023. 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continues to monitor the on-going proceedings and has not recorded any impairments on its right of use assets in the year ended December 31, 2022 or the six months ended June 30, 2023. See Note 19 for further information.</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45" w:lineRule="exact"/>
        <w:rPr>
          <w:sz w:val="20"/>
          <w:szCs w:val="20"/>
          <w:color w:val="auto"/>
        </w:rPr>
      </w:pPr>
    </w:p>
    <w:p>
      <w:pPr>
        <w:jc w:val="both"/>
        <w:ind w:firstLine="319"/>
        <w:spacing w:after="0" w:line="309" w:lineRule="auto"/>
        <w:rPr>
          <w:sz w:val="20"/>
          <w:szCs w:val="20"/>
          <w:color w:val="auto"/>
        </w:rPr>
      </w:pPr>
      <w:r>
        <w:rPr>
          <w:rFonts w:ascii="Arial" w:cs="Arial" w:eastAsia="Arial" w:hAnsi="Arial"/>
          <w:sz w:val="15"/>
          <w:szCs w:val="15"/>
          <w:color w:val="auto"/>
        </w:rPr>
        <w:t>Regulatory commissions in Indiana Electric’s and CenterPoint Energy’s and CERC’s Natural Gas service territories have either (1) issued orders to record a regulatory asset for incremental bad debt expenses related to COVID-19, including costs associated with the suspension of disconnections and payment plans, or (2) provided authority to recover bad debt expense through an existing tracking mechanism. CenterPoint Energy and CERC have recorded estimated incremental uncollectible receivables to the associated regulatory asset of $18 million and $17 million, respectively, as of both June 30, 2023 and December 31, 2022. CenterPoint Energy and CERC both have $7 million remaining to recover through rates and other sources as of June 30, 2023, and $11 million and $10 million, respectively, remaining to recover through rates and other sources as of December 31,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4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i w:val="1"/>
          <w:iCs w:val="1"/>
          <w:color w:val="auto"/>
        </w:rPr>
        <w:t xml:space="preserve">Commodity Derivative Instruments (CenterPoint Energy and CERC). </w:t>
      </w:r>
      <w:r>
        <w:rPr>
          <w:rFonts w:ascii="Arial" w:cs="Arial" w:eastAsia="Arial" w:hAnsi="Arial"/>
          <w:sz w:val="17"/>
          <w:szCs w:val="17"/>
          <w:color w:val="auto"/>
        </w:rPr>
        <w:t>CenterPoint Energy and CERC, through the Indiana Utilities they respectively own,</w:t>
      </w:r>
      <w:r>
        <w:rPr>
          <w:rFonts w:ascii="Arial" w:cs="Arial" w:eastAsia="Arial" w:hAnsi="Arial"/>
          <w:sz w:val="17"/>
          <w:szCs w:val="17"/>
          <w:i w:val="1"/>
          <w:iCs w:val="1"/>
          <w:color w:val="auto"/>
        </w:rPr>
        <w:t xml:space="preserve"> </w:t>
      </w:r>
      <w:r>
        <w:rPr>
          <w:rFonts w:ascii="Arial" w:cs="Arial" w:eastAsia="Arial" w:hAnsi="Arial"/>
          <w:sz w:val="17"/>
          <w:szCs w:val="17"/>
          <w:color w:val="auto"/>
        </w:rPr>
        <w:t>enter into certain derivative instruments 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 All other financial instruments do not qualify or are not designated as cash flow or fair value hedges.</w:t>
      </w:r>
    </w:p>
    <w:p>
      <w:pPr>
        <w:spacing w:after="0" w:line="206"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i w:val="1"/>
          <w:iCs w:val="1"/>
          <w:color w:val="auto"/>
        </w:rPr>
        <w:t xml:space="preserve">Interest Rate Risk Derivative Instruments. </w:t>
      </w:r>
      <w:r>
        <w:rPr>
          <w:rFonts w:ascii="Arial" w:cs="Arial" w:eastAsia="Arial" w:hAnsi="Arial"/>
          <w:sz w:val="15"/>
          <w:szCs w:val="15"/>
          <w:color w:val="auto"/>
        </w:rPr>
        <w:t>From time to time, the Registrants may enter into interest rate derivatives that are designated as economic or</w:t>
      </w:r>
      <w:r>
        <w:rPr>
          <w:rFonts w:ascii="Arial" w:cs="Arial" w:eastAsia="Arial" w:hAnsi="Arial"/>
          <w:sz w:val="15"/>
          <w:szCs w:val="15"/>
          <w:i w:val="1"/>
          <w:iCs w:val="1"/>
          <w:color w:val="auto"/>
        </w:rPr>
        <w:t xml:space="preserve"> </w:t>
      </w:r>
      <w:r>
        <w:rPr>
          <w:rFonts w:ascii="Arial" w:cs="Arial" w:eastAsia="Arial" w:hAnsi="Arial"/>
          <w:sz w:val="15"/>
          <w:szCs w:val="15"/>
          <w:color w:val="auto"/>
        </w:rPr>
        <w:t>cash flow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Energy’s outstanding interest rate hedging activity: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b w:val="1"/>
                <w:bCs w:val="1"/>
                <w:color w:val="auto"/>
                <w:w w:val="90"/>
              </w:rPr>
              <w:t>June 30, 2023</w:t>
            </w:r>
          </w:p>
        </w:tc>
        <w:tc>
          <w:tcPr>
            <w:tcW w:w="1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42"/>
              <w:spacing w:after="0"/>
              <w:rPr>
                <w:sz w:val="20"/>
                <w:szCs w:val="20"/>
                <w:color w:val="auto"/>
              </w:rPr>
            </w:pPr>
            <w:r>
              <w:rPr>
                <w:rFonts w:ascii="Arial" w:cs="Arial" w:eastAsia="Arial" w:hAnsi="Arial"/>
                <w:sz w:val="14"/>
                <w:szCs w:val="14"/>
                <w:b w:val="1"/>
                <w:bCs w:val="1"/>
                <w:color w:val="auto"/>
                <w:w w:val="90"/>
              </w:rPr>
              <w:t>December 31, 2022</w:t>
            </w:r>
          </w:p>
        </w:tc>
      </w:tr>
      <w:tr>
        <w:trPr>
          <w:trHeight w:val="191"/>
        </w:trPr>
        <w:tc>
          <w:tcPr>
            <w:tcW w:w="2020" w:type="dxa"/>
            <w:vAlign w:val="bottom"/>
          </w:tcPr>
          <w:p>
            <w:pPr>
              <w:spacing w:after="0"/>
              <w:rPr>
                <w:sz w:val="16"/>
                <w:szCs w:val="16"/>
                <w:color w:val="auto"/>
              </w:rPr>
            </w:pPr>
          </w:p>
        </w:tc>
        <w:tc>
          <w:tcPr>
            <w:tcW w:w="4660" w:type="dxa"/>
            <w:vAlign w:val="bottom"/>
            <w:gridSpan w:val="2"/>
          </w:tcPr>
          <w:p>
            <w:pPr>
              <w:ind w:left="580"/>
              <w:spacing w:after="0"/>
              <w:rPr>
                <w:sz w:val="20"/>
                <w:szCs w:val="20"/>
                <w:color w:val="auto"/>
              </w:rPr>
            </w:pPr>
            <w:r>
              <w:rPr>
                <w:rFonts w:ascii="Arial" w:cs="Arial" w:eastAsia="Arial" w:hAnsi="Arial"/>
                <w:sz w:val="14"/>
                <w:szCs w:val="14"/>
                <w:b w:val="1"/>
                <w:bCs w:val="1"/>
                <w:color w:val="auto"/>
              </w:rPr>
              <w:t>Hedging Classification</w:t>
            </w:r>
          </w:p>
        </w:tc>
        <w:tc>
          <w:tcPr>
            <w:tcW w:w="16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Notional Principal</w:t>
            </w:r>
          </w:p>
        </w:tc>
        <w:tc>
          <w:tcPr>
            <w:tcW w:w="1700" w:type="dxa"/>
            <w:vAlign w:val="bottom"/>
          </w:tcPr>
          <w:p>
            <w:pPr>
              <w:spacing w:after="0"/>
              <w:rPr>
                <w:sz w:val="16"/>
                <w:szCs w:val="16"/>
                <w:color w:val="auto"/>
              </w:rPr>
            </w:pPr>
          </w:p>
        </w:tc>
      </w:tr>
      <w:tr>
        <w:trPr>
          <w:trHeight w:val="137"/>
        </w:trPr>
        <w:tc>
          <w:tcPr>
            <w:tcW w:w="2020" w:type="dxa"/>
            <w:vAlign w:val="bottom"/>
            <w:tcBorders>
              <w:top w:val="single" w:sz="8" w:color="auto"/>
            </w:tcBorders>
          </w:tcPr>
          <w:p>
            <w:pPr>
              <w:spacing w:after="0"/>
              <w:rPr>
                <w:sz w:val="11"/>
                <w:szCs w:val="11"/>
                <w:color w:val="auto"/>
              </w:rPr>
            </w:pPr>
          </w:p>
        </w:tc>
        <w:tc>
          <w:tcPr>
            <w:tcW w:w="4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Borders>
              <w:top w:val="single" w:sz="8" w:color="auto"/>
            </w:tcBorders>
          </w:tcPr>
          <w:p>
            <w:pPr>
              <w:jc w:val="center"/>
              <w:ind w:left="529"/>
              <w:spacing w:after="0" w:line="137"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jc w:val="center"/>
              <w:ind w:right="442"/>
              <w:spacing w:after="0" w:line="137" w:lineRule="exact"/>
              <w:rPr>
                <w:sz w:val="20"/>
                <w:szCs w:val="20"/>
                <w:color w:val="auto"/>
              </w:rPr>
            </w:pPr>
            <w:r>
              <w:rPr>
                <w:rFonts w:ascii="Arial" w:cs="Arial" w:eastAsia="Arial" w:hAnsi="Arial"/>
                <w:sz w:val="14"/>
                <w:szCs w:val="14"/>
                <w:b w:val="1"/>
                <w:bCs w:val="1"/>
                <w:color w:val="auto"/>
                <w:w w:val="93"/>
              </w:rPr>
              <w:t>CenterPoint</w:t>
            </w:r>
          </w:p>
        </w:tc>
      </w:tr>
      <w:tr>
        <w:trPr>
          <w:trHeight w:val="190"/>
        </w:trPr>
        <w:tc>
          <w:tcPr>
            <w:tcW w:w="20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center"/>
              <w:ind w:left="549"/>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22"/>
              <w:spacing w:after="0"/>
              <w:rPr>
                <w:sz w:val="20"/>
                <w:szCs w:val="20"/>
                <w:color w:val="auto"/>
              </w:rPr>
            </w:pPr>
            <w:r>
              <w:rPr>
                <w:rFonts w:ascii="Arial" w:cs="Arial" w:eastAsia="Arial" w:hAnsi="Arial"/>
                <w:sz w:val="14"/>
                <w:szCs w:val="14"/>
                <w:b w:val="1"/>
                <w:bCs w:val="1"/>
                <w:color w:val="auto"/>
                <w:w w:val="92"/>
              </w:rPr>
              <w:t>Energy</w:t>
            </w:r>
          </w:p>
        </w:tc>
      </w:tr>
      <w:tr>
        <w:trPr>
          <w:trHeight w:val="191"/>
        </w:trPr>
        <w:tc>
          <w:tcPr>
            <w:tcW w:w="20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700" w:type="dxa"/>
            <w:vAlign w:val="bottom"/>
          </w:tcPr>
          <w:p>
            <w:pPr>
              <w:spacing w:after="0"/>
              <w:rPr>
                <w:sz w:val="16"/>
                <w:szCs w:val="16"/>
                <w:color w:val="auto"/>
              </w:rPr>
            </w:pPr>
          </w:p>
        </w:tc>
      </w:tr>
      <w:tr>
        <w:trPr>
          <w:trHeight w:val="247"/>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Economic hedge </w:t>
            </w:r>
            <w:r>
              <w:rPr>
                <w:rFonts w:ascii="Arial" w:cs="Arial" w:eastAsia="Arial" w:hAnsi="Arial"/>
                <w:sz w:val="14"/>
                <w:szCs w:val="14"/>
                <w:color w:val="auto"/>
              </w:rPr>
              <w:t>(1)</w:t>
            </w:r>
          </w:p>
        </w:tc>
        <w:tc>
          <w:tcPr>
            <w:tcW w:w="6280" w:type="dxa"/>
            <w:vAlign w:val="bottom"/>
            <w:gridSpan w:val="3"/>
            <w:shd w:val="clear" w:color="auto" w:fill="CCEEFF"/>
          </w:tcPr>
          <w:p>
            <w:pPr>
              <w:jc w:val="right"/>
              <w:ind w:right="144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84</w:t>
            </w:r>
          </w:p>
        </w:tc>
      </w:tr>
      <w:tr>
        <w:trPr>
          <w:trHeight w:val="225"/>
        </w:trPr>
        <w:tc>
          <w:tcPr>
            <w:tcW w:w="2020" w:type="dxa"/>
            <w:vAlign w:val="bottom"/>
          </w:tcPr>
          <w:p>
            <w:pPr>
              <w:ind w:left="20"/>
              <w:spacing w:after="0"/>
              <w:rPr>
                <w:sz w:val="20"/>
                <w:szCs w:val="20"/>
                <w:color w:val="auto"/>
              </w:rPr>
            </w:pPr>
            <w:r>
              <w:rPr>
                <w:rFonts w:ascii="Arial" w:cs="Arial" w:eastAsia="Arial" w:hAnsi="Arial"/>
                <w:sz w:val="18"/>
                <w:szCs w:val="18"/>
                <w:color w:val="auto"/>
              </w:rPr>
              <w:t xml:space="preserve">Cash flow hedge </w:t>
            </w:r>
            <w:r>
              <w:rPr>
                <w:rFonts w:ascii="Arial" w:cs="Arial" w:eastAsia="Arial" w:hAnsi="Arial"/>
                <w:sz w:val="14"/>
                <w:szCs w:val="14"/>
                <w:color w:val="auto"/>
              </w:rPr>
              <w:t>(2)</w:t>
            </w:r>
          </w:p>
        </w:tc>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ind w:left="360"/>
              <w:spacing w:after="0"/>
              <w:rPr>
                <w:sz w:val="20"/>
                <w:szCs w:val="20"/>
                <w:color w:val="auto"/>
              </w:rPr>
            </w:pPr>
            <w:r>
              <w:rPr>
                <w:rFonts w:ascii="Arial" w:cs="Arial" w:eastAsia="Arial" w:hAnsi="Arial"/>
                <w:sz w:val="18"/>
                <w:szCs w:val="18"/>
                <w:color w:val="auto"/>
              </w:rPr>
              <w:t>75</w:t>
            </w:r>
          </w:p>
        </w:tc>
        <w:tc>
          <w:tcPr>
            <w:tcW w:w="1700" w:type="dxa"/>
            <w:vAlign w:val="bottom"/>
          </w:tcPr>
          <w:p>
            <w:pPr>
              <w:jc w:val="right"/>
              <w:ind w:right="2"/>
              <w:spacing w:after="0"/>
              <w:rPr>
                <w:sz w:val="20"/>
                <w:szCs w:val="20"/>
                <w:color w:val="auto"/>
              </w:rPr>
            </w:pPr>
            <w:r>
              <w:rPr>
                <w:rFonts w:ascii="Arial" w:cs="Arial" w:eastAsia="Arial" w:hAnsi="Arial"/>
                <w:sz w:val="18"/>
                <w:szCs w:val="18"/>
                <w:color w:val="auto"/>
              </w:rPr>
              <w:t>—</w:t>
            </w:r>
          </w:p>
        </w:tc>
      </w:tr>
    </w:tbl>
    <w:p>
      <w:pPr>
        <w:spacing w:after="0" w:line="307" w:lineRule="exact"/>
        <w:rPr>
          <w:sz w:val="20"/>
          <w:szCs w:val="20"/>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Relates to interest rate derivative instruments at SIGECO that terminated on May 1, 2023.</w:t>
      </w:r>
    </w:p>
    <w:p>
      <w:pPr>
        <w:spacing w:after="0" w:line="6" w:lineRule="exact"/>
        <w:rPr>
          <w:rFonts w:ascii="Arial" w:cs="Arial" w:eastAsia="Arial" w:hAnsi="Arial"/>
          <w:sz w:val="18"/>
          <w:szCs w:val="18"/>
          <w:color w:val="auto"/>
        </w:rPr>
      </w:pPr>
    </w:p>
    <w:p>
      <w:pPr>
        <w:jc w:val="both"/>
        <w:ind w:left="640" w:hanging="315"/>
        <w:spacing w:after="0" w:line="233"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Relates to an interest rate derivative instrument at CenterPoint Energy with a termination date of August 29, 2023. The interest rate swap contract was designated as a cash flow hedge of a forecasted transaction. CenterPoint Energy records all changes in the fair value of cash flow hedges in accumulated other comprehensive income (loss) until the underlying hedged transaction occurs, when it reclassifies that amount into earnings. The effect of cash flow hedge accounting in accumulated other comprehensive income (loss) for the three and six months ended June 30, 2023, was immaterial.</w:t>
      </w:r>
    </w:p>
    <w:p>
      <w:pPr>
        <w:spacing w:after="0" w:line="216"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i w:val="1"/>
          <w:iCs w:val="1"/>
          <w:color w:val="auto"/>
        </w:rPr>
        <w:t xml:space="preserve">Weather Normalization (CenterPoint Energy and CERC). </w:t>
      </w:r>
      <w:r>
        <w:rPr>
          <w:rFonts w:ascii="Arial" w:cs="Arial" w:eastAsia="Arial" w:hAnsi="Arial"/>
          <w:sz w:val="17"/>
          <w:szCs w:val="17"/>
          <w:color w:val="auto"/>
        </w:rPr>
        <w:t>CenterPoint Energy and CERC have weather normalization or other rate mechanisms that</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mitigate the impact of weather on Natural Gas in Indiana, Louisiana, Mississippi, Minnesota and Ohio, as applicable. CenterPoint Energy’s and CERC’s Natural Gas in Texas and CenterPoint Energy’s electric operations in Texas and Indiana do not have such mechanisms, although fixed customer charges are historically higher in Texas for Natural Gas compared to its other jurisdictions. As a result, fluctuations from normal weather may have a positive or negative effect on CenterPoint Energy’s and CERC’s Natural Gas’ results in Texas and on CenterPoint Energy’s electric operations’ results in its Texas and Indiana service territories. The Registrants do not currently enter into weather hedges.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Derivative Fair Values and Income Statement Impacts (CenterPoint Energy and CERC)</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table provides a balance sheet overview of derivative assets and liabilities, while the last table provides a breakdown of the related income statement impacts.</w:t>
      </w:r>
    </w:p>
    <w:p>
      <w:pPr>
        <w:sectPr>
          <w:pgSz w:w="11900" w:h="16838" w:orient="portrait"/>
          <w:cols w:equalWidth="0" w:num="1">
            <w:col w:w="11240"/>
          </w:cols>
          <w:pgMar w:left="320" w:top="127" w:right="3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2760" w:type="dxa"/>
            <w:vAlign w:val="bottom"/>
          </w:tcPr>
          <w:p>
            <w:pPr>
              <w:ind w:left="1360"/>
              <w:spacing w:after="0"/>
              <w:rPr>
                <w:sz w:val="20"/>
                <w:szCs w:val="20"/>
                <w:color w:val="auto"/>
              </w:rPr>
            </w:pPr>
            <w:r>
              <w:rPr>
                <w:rFonts w:ascii="Arial" w:cs="Arial" w:eastAsia="Arial" w:hAnsi="Arial"/>
                <w:sz w:val="14"/>
                <w:szCs w:val="14"/>
                <w:b w:val="1"/>
                <w:bCs w:val="1"/>
                <w:color w:val="auto"/>
                <w:w w:val="87"/>
              </w:rPr>
              <w:t>Balance Sheet Location</w:t>
            </w:r>
          </w:p>
        </w:tc>
      </w:tr>
      <w:tr>
        <w:trPr>
          <w:trHeight w:val="199"/>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r>
      <w:tr>
        <w:trPr>
          <w:trHeight w:val="199"/>
        </w:trPr>
        <w:tc>
          <w:tcPr>
            <w:tcW w:w="24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2760" w:type="dxa"/>
            <w:vAlign w:val="bottom"/>
          </w:tcPr>
          <w:p>
            <w:pPr>
              <w:ind w:left="340"/>
              <w:spacing w:after="0"/>
              <w:rPr>
                <w:sz w:val="20"/>
                <w:szCs w:val="20"/>
                <w:color w:val="auto"/>
              </w:rPr>
            </w:pPr>
            <w:r>
              <w:rPr>
                <w:rFonts w:ascii="Arial" w:cs="Arial" w:eastAsia="Arial" w:hAnsi="Arial"/>
                <w:sz w:val="12"/>
                <w:szCs w:val="12"/>
                <w:color w:val="auto"/>
                <w:w w:val="99"/>
              </w:rPr>
              <w:t>Current Assets: Non-trading derivative assets</w:t>
            </w:r>
          </w:p>
        </w:tc>
      </w:tr>
      <w:tr>
        <w:trPr>
          <w:trHeight w:val="212"/>
        </w:trPr>
        <w:tc>
          <w:tcPr>
            <w:tcW w:w="24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2760" w:type="dxa"/>
            <w:vAlign w:val="bottom"/>
          </w:tcPr>
          <w:p>
            <w:pPr>
              <w:ind w:left="340"/>
              <w:spacing w:after="0"/>
              <w:rPr>
                <w:sz w:val="20"/>
                <w:szCs w:val="20"/>
                <w:color w:val="auto"/>
              </w:rPr>
            </w:pPr>
            <w:r>
              <w:rPr>
                <w:rFonts w:ascii="Arial" w:cs="Arial" w:eastAsia="Arial" w:hAnsi="Arial"/>
                <w:sz w:val="12"/>
                <w:szCs w:val="12"/>
                <w:color w:val="auto"/>
              </w:rPr>
              <w:t>Other Assets: Non-trading derivative assets</w:t>
            </w:r>
          </w:p>
        </w:tc>
      </w:tr>
      <w:tr>
        <w:trPr>
          <w:trHeight w:val="212"/>
        </w:trPr>
        <w:tc>
          <w:tcPr>
            <w:tcW w:w="2420" w:type="dxa"/>
            <w:vAlign w:val="bottom"/>
          </w:tcPr>
          <w:p>
            <w:pPr>
              <w:spacing w:after="0"/>
              <w:rPr>
                <w:sz w:val="20"/>
                <w:szCs w:val="20"/>
                <w:color w:val="auto"/>
              </w:rPr>
            </w:pPr>
            <w:r>
              <w:rPr>
                <w:rFonts w:ascii="Arial" w:cs="Arial" w:eastAsia="Arial" w:hAnsi="Arial"/>
                <w:sz w:val="14"/>
                <w:szCs w:val="14"/>
                <w:color w:val="auto"/>
              </w:rPr>
              <w:t>Interest rate derivatives</w:t>
            </w:r>
          </w:p>
        </w:tc>
        <w:tc>
          <w:tcPr>
            <w:tcW w:w="2760" w:type="dxa"/>
            <w:vAlign w:val="bottom"/>
          </w:tcPr>
          <w:p>
            <w:pPr>
              <w:ind w:left="340"/>
              <w:spacing w:after="0"/>
              <w:rPr>
                <w:sz w:val="20"/>
                <w:szCs w:val="20"/>
                <w:color w:val="auto"/>
              </w:rPr>
            </w:pPr>
            <w:r>
              <w:rPr>
                <w:rFonts w:ascii="Arial" w:cs="Arial" w:eastAsia="Arial" w:hAnsi="Arial"/>
                <w:sz w:val="12"/>
                <w:szCs w:val="12"/>
                <w:color w:val="auto"/>
                <w:w w:val="99"/>
              </w:rPr>
              <w:t>Current Assets: Non-trading derivative assets</w:t>
            </w:r>
          </w:p>
        </w:tc>
      </w:tr>
      <w:tr>
        <w:trPr>
          <w:trHeight w:val="212"/>
        </w:trPr>
        <w:tc>
          <w:tcPr>
            <w:tcW w:w="2420" w:type="dxa"/>
            <w:vAlign w:val="bottom"/>
          </w:tcPr>
          <w:p>
            <w:pPr>
              <w:spacing w:after="0"/>
              <w:rPr>
                <w:sz w:val="20"/>
                <w:szCs w:val="20"/>
                <w:color w:val="auto"/>
              </w:rPr>
            </w:pPr>
            <w:r>
              <w:rPr>
                <w:rFonts w:ascii="Arial" w:cs="Arial" w:eastAsia="Arial" w:hAnsi="Arial"/>
                <w:sz w:val="14"/>
                <w:szCs w:val="14"/>
                <w:color w:val="auto"/>
              </w:rPr>
              <w:t xml:space="preserve">Indexed debt securities derivative </w:t>
            </w:r>
            <w:r>
              <w:rPr>
                <w:rFonts w:ascii="Arial" w:cs="Arial" w:eastAsia="Arial" w:hAnsi="Arial"/>
                <w:sz w:val="10"/>
                <w:szCs w:val="10"/>
                <w:color w:val="auto"/>
              </w:rPr>
              <w:t>(2)</w:t>
            </w:r>
          </w:p>
        </w:tc>
        <w:tc>
          <w:tcPr>
            <w:tcW w:w="2760" w:type="dxa"/>
            <w:vAlign w:val="bottom"/>
          </w:tcPr>
          <w:p>
            <w:pPr>
              <w:ind w:left="340"/>
              <w:spacing w:after="0"/>
              <w:rPr>
                <w:sz w:val="20"/>
                <w:szCs w:val="20"/>
                <w:color w:val="auto"/>
              </w:rPr>
            </w:pPr>
            <w:r>
              <w:rPr>
                <w:rFonts w:ascii="Arial" w:cs="Arial" w:eastAsia="Arial" w:hAnsi="Arial"/>
                <w:sz w:val="12"/>
                <w:szCs w:val="12"/>
                <w:color w:val="auto"/>
              </w:rPr>
              <w:t>Current 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-514985</wp:posOffset>
            </wp:positionV>
            <wp:extent cx="7134860" cy="13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-245110</wp:posOffset>
            </wp:positionV>
            <wp:extent cx="7134860" cy="134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151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180" w:type="dxa"/>
            <w:vAlign w:val="bottom"/>
            <w:gridSpan w:val="4"/>
          </w:tcPr>
          <w:p>
            <w:pPr>
              <w:jc w:val="right"/>
              <w:ind w:right="684"/>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26"/>
        </w:trPr>
        <w:tc>
          <w:tcPr>
            <w:tcW w:w="180" w:type="dxa"/>
            <w:vAlign w:val="bottom"/>
          </w:tcPr>
          <w:p>
            <w:pPr>
              <w:spacing w:after="0"/>
              <w:rPr>
                <w:sz w:val="10"/>
                <w:szCs w:val="10"/>
                <w:color w:val="auto"/>
              </w:rPr>
            </w:pPr>
          </w:p>
        </w:tc>
        <w:tc>
          <w:tcPr>
            <w:tcW w:w="960" w:type="dxa"/>
            <w:vAlign w:val="bottom"/>
          </w:tcPr>
          <w:p>
            <w:pPr>
              <w:jc w:val="center"/>
              <w:ind w:right="104"/>
              <w:spacing w:after="0" w:line="126" w:lineRule="exact"/>
              <w:rPr>
                <w:sz w:val="20"/>
                <w:szCs w:val="20"/>
                <w:color w:val="auto"/>
              </w:rPr>
            </w:pPr>
            <w:r>
              <w:rPr>
                <w:rFonts w:ascii="Arial" w:cs="Arial" w:eastAsia="Arial" w:hAnsi="Arial"/>
                <w:sz w:val="14"/>
                <w:szCs w:val="14"/>
                <w:b w:val="1"/>
                <w:bCs w:val="1"/>
                <w:color w:val="auto"/>
                <w:w w:val="92"/>
              </w:rPr>
              <w:t>Derivative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ind w:left="80"/>
              <w:spacing w:after="0" w:line="126"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4"/>
              <w:spacing w:after="0" w:line="126"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ind w:left="60"/>
              <w:spacing w:after="0" w:line="126" w:lineRule="exact"/>
              <w:rPr>
                <w:sz w:val="20"/>
                <w:szCs w:val="20"/>
                <w:color w:val="auto"/>
              </w:rPr>
            </w:pPr>
            <w:r>
              <w:rPr>
                <w:rFonts w:ascii="Arial" w:cs="Arial" w:eastAsia="Arial" w:hAnsi="Arial"/>
                <w:sz w:val="14"/>
                <w:szCs w:val="14"/>
                <w:b w:val="1"/>
                <w:bCs w:val="1"/>
                <w:color w:val="auto"/>
              </w:rPr>
              <w:t>Derivative</w:t>
            </w:r>
          </w:p>
        </w:tc>
      </w:tr>
      <w:tr>
        <w:trPr>
          <w:trHeight w:val="137"/>
        </w:trPr>
        <w:tc>
          <w:tcPr>
            <w:tcW w:w="180" w:type="dxa"/>
            <w:vAlign w:val="bottom"/>
          </w:tcPr>
          <w:p>
            <w:pPr>
              <w:spacing w:after="0"/>
              <w:rPr>
                <w:sz w:val="11"/>
                <w:szCs w:val="11"/>
                <w:color w:val="auto"/>
              </w:rPr>
            </w:pPr>
          </w:p>
        </w:tc>
        <w:tc>
          <w:tcPr>
            <w:tcW w:w="960" w:type="dxa"/>
            <w:vAlign w:val="bottom"/>
          </w:tcPr>
          <w:p>
            <w:pPr>
              <w:jc w:val="center"/>
              <w:ind w:right="104"/>
              <w:spacing w:after="0" w:line="137"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04"/>
              <w:spacing w:after="0" w:line="137"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Liabilities</w:t>
            </w:r>
          </w:p>
        </w:tc>
      </w:tr>
      <w:tr>
        <w:trPr>
          <w:trHeight w:val="190"/>
        </w:trPr>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744"/>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2"/>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9</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1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1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r>
      <w:tr>
        <w:trPr>
          <w:trHeight w:val="203"/>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583</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12</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2"/>
        </w:trPr>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720"/>
            <w:col w:w="4900"/>
          </w:cols>
          <w:pgMar w:left="320" w:top="127" w:right="33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3060" w:type="dxa"/>
            <w:vAlign w:val="bottom"/>
          </w:tcPr>
          <w:p>
            <w:pPr>
              <w:ind w:left="1640"/>
              <w:spacing w:after="0"/>
              <w:rPr>
                <w:sz w:val="20"/>
                <w:szCs w:val="20"/>
                <w:color w:val="auto"/>
              </w:rPr>
            </w:pPr>
            <w:r>
              <w:rPr>
                <w:rFonts w:ascii="Arial" w:cs="Arial" w:eastAsia="Arial" w:hAnsi="Arial"/>
                <w:sz w:val="14"/>
                <w:szCs w:val="14"/>
                <w:b w:val="1"/>
                <w:bCs w:val="1"/>
                <w:color w:val="auto"/>
                <w:w w:val="88"/>
              </w:rPr>
              <w:t>Balance Sheet Location</w:t>
            </w:r>
          </w:p>
        </w:tc>
      </w:tr>
      <w:tr>
        <w:trPr>
          <w:trHeight w:val="199"/>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r>
      <w:tr>
        <w:trPr>
          <w:trHeight w:val="199"/>
        </w:trPr>
        <w:tc>
          <w:tcPr>
            <w:tcW w:w="21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3060" w:type="dxa"/>
            <w:vAlign w:val="bottom"/>
          </w:tcPr>
          <w:p>
            <w:pPr>
              <w:ind w:left="640"/>
              <w:spacing w:after="0"/>
              <w:rPr>
                <w:sz w:val="20"/>
                <w:szCs w:val="20"/>
                <w:color w:val="auto"/>
              </w:rPr>
            </w:pPr>
            <w:r>
              <w:rPr>
                <w:rFonts w:ascii="Arial" w:cs="Arial" w:eastAsia="Arial" w:hAnsi="Arial"/>
                <w:sz w:val="12"/>
                <w:szCs w:val="12"/>
                <w:color w:val="auto"/>
                <w:w w:val="99"/>
              </w:rPr>
              <w:t>Current Assets: Non-trading derivative assets</w:t>
            </w:r>
          </w:p>
        </w:tc>
      </w:tr>
      <w:tr>
        <w:trPr>
          <w:trHeight w:val="212"/>
        </w:trPr>
        <w:tc>
          <w:tcPr>
            <w:tcW w:w="21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3060" w:type="dxa"/>
            <w:vAlign w:val="bottom"/>
          </w:tcPr>
          <w:p>
            <w:pPr>
              <w:ind w:left="640"/>
              <w:spacing w:after="0"/>
              <w:rPr>
                <w:sz w:val="20"/>
                <w:szCs w:val="20"/>
                <w:color w:val="auto"/>
              </w:rPr>
            </w:pPr>
            <w:r>
              <w:rPr>
                <w:rFonts w:ascii="Arial" w:cs="Arial" w:eastAsia="Arial" w:hAnsi="Arial"/>
                <w:sz w:val="12"/>
                <w:szCs w:val="12"/>
                <w:color w:val="auto"/>
              </w:rPr>
              <w:t>Other Assets: Non-trading derivative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-245110</wp:posOffset>
            </wp:positionV>
            <wp:extent cx="7134860" cy="134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160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57"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20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30"/>
        </w:trPr>
        <w:tc>
          <w:tcPr>
            <w:tcW w:w="180" w:type="dxa"/>
            <w:vAlign w:val="bottom"/>
          </w:tcPr>
          <w:p>
            <w:pPr>
              <w:spacing w:after="0"/>
              <w:rPr>
                <w:sz w:val="11"/>
                <w:szCs w:val="11"/>
                <w:color w:val="auto"/>
              </w:rPr>
            </w:pPr>
          </w:p>
        </w:tc>
        <w:tc>
          <w:tcPr>
            <w:tcW w:w="960" w:type="dxa"/>
            <w:vAlign w:val="bottom"/>
          </w:tcPr>
          <w:p>
            <w:pPr>
              <w:jc w:val="center"/>
              <w:ind w:right="85"/>
              <w:spacing w:after="0" w:line="130"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85"/>
              <w:spacing w:after="0" w:line="130" w:lineRule="exact"/>
              <w:rPr>
                <w:sz w:val="20"/>
                <w:szCs w:val="20"/>
                <w:color w:val="auto"/>
              </w:rPr>
            </w:pPr>
            <w:r>
              <w:rPr>
                <w:rFonts w:ascii="Arial" w:cs="Arial" w:eastAsia="Arial" w:hAnsi="Arial"/>
                <w:sz w:val="14"/>
                <w:szCs w:val="14"/>
                <w:b w:val="1"/>
                <w:bCs w:val="1"/>
                <w:color w:val="auto"/>
                <w:w w:val="92"/>
              </w:rPr>
              <w:t>Derivative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4"/>
                <w:szCs w:val="14"/>
                <w:b w:val="1"/>
                <w:bCs w:val="1"/>
                <w:color w:val="auto"/>
              </w:rPr>
              <w:t>Derivative</w:t>
            </w:r>
          </w:p>
        </w:tc>
      </w:tr>
      <w:tr>
        <w:trPr>
          <w:trHeight w:val="142"/>
        </w:trPr>
        <w:tc>
          <w:tcPr>
            <w:tcW w:w="180" w:type="dxa"/>
            <w:vAlign w:val="bottom"/>
          </w:tcPr>
          <w:p>
            <w:pPr>
              <w:spacing w:after="0"/>
              <w:rPr>
                <w:sz w:val="12"/>
                <w:szCs w:val="12"/>
                <w:color w:val="auto"/>
              </w:rPr>
            </w:pPr>
          </w:p>
        </w:tc>
        <w:tc>
          <w:tcPr>
            <w:tcW w:w="960" w:type="dxa"/>
            <w:vAlign w:val="bottom"/>
          </w:tcPr>
          <w:p>
            <w:pPr>
              <w:jc w:val="center"/>
              <w:ind w:right="105"/>
              <w:spacing w:after="0" w:line="142"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85"/>
              <w:spacing w:after="0" w:line="142"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Liabilities</w:t>
            </w:r>
          </w:p>
        </w:tc>
      </w:tr>
      <w:tr>
        <w:trPr>
          <w:trHeight w:val="185"/>
        </w:trPr>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78"/>
        </w:trPr>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4"/>
          </w:tcPr>
          <w:p>
            <w:pPr>
              <w:ind w:left="6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2"/>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r>
      <w:tr>
        <w:trPr>
          <w:trHeight w:val="206"/>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r>
      <w:tr>
        <w:trPr>
          <w:trHeight w:val="22"/>
        </w:trPr>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00" w:space="720"/>
            <w:col w:w="492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left="640" w:hanging="315"/>
        <w:spacing w:after="0" w:line="25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an asset position with no offsetting amounts.</w:t>
      </w:r>
    </w:p>
    <w:p>
      <w:pPr>
        <w:spacing w:after="0" w:line="1" w:lineRule="exact"/>
        <w:rPr>
          <w:rFonts w:ascii="Arial" w:cs="Arial" w:eastAsia="Arial" w:hAnsi="Arial"/>
          <w:sz w:val="18"/>
          <w:szCs w:val="18"/>
          <w:color w:val="auto"/>
        </w:rPr>
      </w:pPr>
    </w:p>
    <w:p>
      <w:pPr>
        <w:ind w:left="640" w:hanging="315"/>
        <w:spacing w:after="0" w:line="25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Derivative component of the ZENS obligation that represents the ZENS holder’s option to receive the appreciated value of the reference shares at maturity. See Note 10 for further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2"/>
        </w:trPr>
        <w:tc>
          <w:tcPr>
            <w:tcW w:w="3960" w:type="dxa"/>
            <w:vAlign w:val="bottom"/>
          </w:tcPr>
          <w:p>
            <w:pPr>
              <w:spacing w:after="0"/>
              <w:rPr>
                <w:sz w:val="16"/>
                <w:szCs w:val="16"/>
                <w:color w:val="auto"/>
              </w:rPr>
            </w:pPr>
          </w:p>
        </w:tc>
        <w:tc>
          <w:tcPr>
            <w:tcW w:w="2760" w:type="dxa"/>
            <w:vAlign w:val="bottom"/>
            <w:gridSpan w:val="2"/>
          </w:tcPr>
          <w:p>
            <w:pPr>
              <w:ind w:left="500"/>
              <w:spacing w:after="0"/>
              <w:rPr>
                <w:sz w:val="20"/>
                <w:szCs w:val="20"/>
                <w:color w:val="auto"/>
              </w:rPr>
            </w:pPr>
            <w:r>
              <w:rPr>
                <w:rFonts w:ascii="Arial" w:cs="Arial" w:eastAsia="Arial" w:hAnsi="Arial"/>
                <w:sz w:val="14"/>
                <w:szCs w:val="14"/>
                <w:b w:val="1"/>
                <w:bCs w:val="1"/>
                <w:color w:val="auto"/>
              </w:rPr>
              <w:t>Income Statement Location</w:t>
            </w:r>
          </w:p>
        </w:tc>
        <w:tc>
          <w:tcPr>
            <w:tcW w:w="160" w:type="dxa"/>
            <w:vAlign w:val="bottom"/>
          </w:tcPr>
          <w:p>
            <w:pPr>
              <w:spacing w:after="0"/>
              <w:rPr>
                <w:sz w:val="16"/>
                <w:szCs w:val="16"/>
                <w:color w:val="auto"/>
              </w:rPr>
            </w:pPr>
          </w:p>
        </w:tc>
        <w:tc>
          <w:tcPr>
            <w:tcW w:w="920" w:type="dxa"/>
            <w:vAlign w:val="bottom"/>
          </w:tcPr>
          <w:p>
            <w:pPr>
              <w:jc w:val="right"/>
              <w:ind w:right="326"/>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820" w:type="dxa"/>
            <w:vAlign w:val="bottom"/>
          </w:tcPr>
          <w:p>
            <w:pPr>
              <w:jc w:val="right"/>
              <w:ind w:right="32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6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800" w:type="dxa"/>
            <w:vAlign w:val="bottom"/>
          </w:tcPr>
          <w:p>
            <w:pPr>
              <w:jc w:val="right"/>
              <w:ind w:right="305"/>
              <w:spacing w:after="0"/>
              <w:rPr>
                <w:sz w:val="20"/>
                <w:szCs w:val="20"/>
                <w:color w:val="auto"/>
              </w:rPr>
            </w:pPr>
            <w:r>
              <w:rPr>
                <w:rFonts w:ascii="Arial" w:cs="Arial" w:eastAsia="Arial" w:hAnsi="Arial"/>
                <w:sz w:val="14"/>
                <w:szCs w:val="14"/>
                <w:b w:val="1"/>
                <w:bCs w:val="1"/>
                <w:color w:val="auto"/>
              </w:rPr>
              <w:t>2022</w:t>
            </w:r>
          </w:p>
        </w:tc>
      </w:tr>
      <w:tr>
        <w:trPr>
          <w:trHeight w:val="192"/>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4"/>
          </w:tcPr>
          <w:p>
            <w:pPr>
              <w:jc w:val="right"/>
              <w:ind w:right="726"/>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2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Indexed debt securities derivative </w:t>
            </w:r>
            <w:r>
              <w:rPr>
                <w:rFonts w:ascii="Arial" w:cs="Arial" w:eastAsia="Arial" w:hAnsi="Arial"/>
                <w:sz w:val="12"/>
                <w:szCs w:val="12"/>
                <w:color w:val="auto"/>
              </w:rPr>
              <w:t>(1)</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(loss) on indexed debt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34</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bl>
    <w:p>
      <w:pPr>
        <w:spacing w:after="0" w:line="320" w:lineRule="exact"/>
        <w:rPr>
          <w:sz w:val="20"/>
          <w:szCs w:val="20"/>
          <w:color w:val="auto"/>
        </w:rPr>
      </w:pPr>
    </w:p>
    <w:p>
      <w:pPr>
        <w:ind w:left="640" w:hanging="315"/>
        <w:spacing w:after="0" w:line="265" w:lineRule="auto"/>
        <w:tabs>
          <w:tab w:leader="none" w:pos="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indexed debt securities derivative is recorded at fair value and changes in the fair value are recorded in CenterPoint Energy’s Condensed Statements of Consolidated Income.</w:t>
      </w:r>
    </w:p>
    <w:p>
      <w:pPr>
        <w:spacing w:after="0" w:line="286" w:lineRule="exact"/>
        <w:rPr>
          <w:rFonts w:ascii="Arial" w:cs="Arial" w:eastAsia="Arial" w:hAnsi="Arial"/>
          <w:sz w:val="18"/>
          <w:szCs w:val="18"/>
          <w:color w:val="auto"/>
        </w:rPr>
      </w:pPr>
    </w:p>
    <w:p>
      <w:pPr>
        <w:ind w:left="400" w:hanging="234"/>
        <w:spacing w:after="0"/>
        <w:tabs>
          <w:tab w:leader="none" w:pos="4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Risk Contingent Features (CenterPoint Energy)</w:t>
      </w:r>
    </w:p>
    <w:p>
      <w:pPr>
        <w:spacing w:after="0" w:line="2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7"/>
          <w:szCs w:val="17"/>
          <w:color w:val="auto"/>
        </w:rPr>
        <w:t>Certain of CenterPoint Energy’s derivative instruments contain provisions that require CenterPoint Energy’s debt to maintain an investment grade credit rating on its long-term unsecured unsubordinated debt from S&amp;P and Moody’s. If CenterPoint Energy’s debt were to fall below investment grade, it would be in violation of these provisions, and the counterparties to the derivative instruments could request immediate payment. As of June 30, 2023 and December 31, 2022, all derivatives with credit risk-related contingent features were in an asset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14" w:lineRule="exact"/>
        <w:rPr>
          <w:sz w:val="20"/>
          <w:szCs w:val="20"/>
          <w:color w:val="auto"/>
        </w:rPr>
      </w:pPr>
    </w:p>
    <w:p>
      <w:pPr>
        <w:jc w:val="both"/>
        <w:ind w:left="320"/>
        <w:spacing w:after="0" w:line="265"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207" w:lineRule="exact"/>
        <w:rPr>
          <w:sz w:val="20"/>
          <w:szCs w:val="20"/>
          <w:color w:val="auto"/>
        </w:rPr>
      </w:pPr>
    </w:p>
    <w:p>
      <w:pPr>
        <w:jc w:val="both"/>
        <w:ind w:left="320"/>
        <w:spacing w:after="0" w:line="266"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10" w:lineRule="exact"/>
        <w:rPr>
          <w:sz w:val="20"/>
          <w:szCs w:val="20"/>
          <w:color w:val="auto"/>
        </w:rPr>
      </w:pPr>
    </w:p>
    <w:p>
      <w:pPr>
        <w:jc w:val="both"/>
        <w:ind w:left="320"/>
        <w:spacing w:after="0" w:line="278"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determine the appropriate level for each financial asset and liability on a quarterly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319"/>
        <w:spacing w:after="0" w:line="295" w:lineRule="auto"/>
        <w:rPr>
          <w:sz w:val="20"/>
          <w:szCs w:val="20"/>
          <w:color w:val="auto"/>
        </w:rPr>
      </w:pPr>
      <w:r>
        <w:rPr>
          <w:rFonts w:ascii="Arial" w:cs="Arial" w:eastAsia="Arial" w:hAnsi="Arial"/>
          <w:sz w:val="17"/>
          <w:szCs w:val="17"/>
          <w:color w:val="auto"/>
        </w:rPr>
        <w:t>The following tables present information about the Registrants’ assets and liabilities measured at fair value on a recurring basis as of June 30, 2023 and December 31, 2022 and indicate the fair value hierarchy of the valuation techniques utilized by the Registrants to determine such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Level 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Level 2</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Level 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Level 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90"/>
        </w:trPr>
        <w:tc>
          <w:tcPr>
            <w:tcW w:w="400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5"/>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 derivatives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Natural gas derivatives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1"/>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Indexed debt securities derivative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95"/>
        </w:trPr>
        <w:tc>
          <w:tcPr>
            <w:tcW w:w="400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583</w:t>
            </w:r>
          </w:p>
        </w:tc>
        <w:tc>
          <w:tcPr>
            <w:tcW w:w="720" w:type="dxa"/>
            <w:vAlign w:val="bottom"/>
            <w:gridSpan w:val="2"/>
          </w:tcPr>
          <w:p>
            <w:pPr>
              <w:jc w:val="right"/>
              <w:ind w:right="4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583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578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9"/>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Level 1</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2</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Level 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86"/>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5"/>
        </w:trPr>
        <w:tc>
          <w:tcPr>
            <w:tcW w:w="40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34"/>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Investments, including money market funds </w:t>
      </w:r>
      <w:r>
        <w:rPr>
          <w:rFonts w:ascii="Arial" w:cs="Arial" w:eastAsia="Arial" w:hAnsi="Arial"/>
          <w:sz w:val="9"/>
          <w:szCs w:val="9"/>
          <w:color w:val="auto"/>
        </w:rPr>
        <w:t>(1)</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Natural gas derivatives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4"/>
          </w:tcPr>
          <w:p>
            <w:pPr>
              <w:ind w:left="300"/>
              <w:spacing w:after="0"/>
              <w:rPr>
                <w:sz w:val="20"/>
                <w:szCs w:val="20"/>
                <w:color w:val="auto"/>
              </w:rPr>
            </w:pPr>
            <w:r>
              <w:rPr>
                <w:rFonts w:ascii="Arial" w:cs="Arial" w:eastAsia="Arial" w:hAnsi="Arial"/>
                <w:sz w:val="14"/>
                <w:szCs w:val="14"/>
                <w:b w:val="1"/>
                <w:bCs w:val="1"/>
                <w:color w:val="auto"/>
              </w:rPr>
              <w:t>June 30, 2023</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6"/>
          </w:tcPr>
          <w:p>
            <w:pPr>
              <w:jc w:val="right"/>
              <w:ind w:right="489"/>
              <w:spacing w:after="0"/>
              <w:rPr>
                <w:sz w:val="20"/>
                <w:szCs w:val="20"/>
                <w:color w:val="auto"/>
              </w:rPr>
            </w:pPr>
            <w:r>
              <w:rPr>
                <w:rFonts w:ascii="Arial" w:cs="Arial" w:eastAsia="Arial" w:hAnsi="Arial"/>
                <w:sz w:val="14"/>
                <w:szCs w:val="14"/>
                <w:b w:val="1"/>
                <w:bCs w:val="1"/>
                <w:color w:val="auto"/>
                <w:w w:val="99"/>
              </w:rPr>
              <w:t>December 31, 2022</w:t>
            </w:r>
          </w:p>
        </w:tc>
        <w:tc>
          <w:tcPr>
            <w:tcW w:w="620" w:type="dxa"/>
            <w:vAlign w:val="bottom"/>
          </w:tcPr>
          <w:p>
            <w:pPr>
              <w:spacing w:after="0"/>
              <w:rPr>
                <w:sz w:val="16"/>
                <w:szCs w:val="16"/>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9"/>
        </w:trPr>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Level 1</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Level 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3</w:t>
            </w: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Level 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Level 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Level 3</w:t>
            </w: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Total</w:t>
            </w:r>
          </w:p>
        </w:tc>
      </w:tr>
      <w:tr>
        <w:trPr>
          <w:trHeight w:val="188"/>
        </w:trPr>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9"/>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920" w:type="dxa"/>
            <w:vAlign w:val="bottom"/>
          </w:tcPr>
          <w:p>
            <w:pPr>
              <w:ind w:left="44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940" w:type="dxa"/>
            <w:vAlign w:val="bottom"/>
            <w:gridSpan w:val="3"/>
          </w:tcPr>
          <w:p>
            <w:pPr>
              <w:ind w:left="44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6"/>
        </w:trPr>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
        </w:trPr>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6"/>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   $</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7"/>
        </w:trPr>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-412750</wp:posOffset>
            </wp:positionV>
            <wp:extent cx="7134860" cy="118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1811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-159385</wp:posOffset>
            </wp:positionV>
            <wp:extent cx="7134860" cy="143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160"/>
          </w:cols>
          <w:pgMar w:left="320" w:top="127" w:right="339" w:bottom="1440" w:gutter="0" w:footer="0" w:header="0"/>
          <w:type w:val="continuous"/>
        </w:sectPr>
      </w:pP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Amounts are included in Prepaid expenses and other current assets in the Condensed Consolidated Balance Sheets.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4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 xml:space="preserve">CenterPoint Energy </w:t>
            </w:r>
            <w:r>
              <w:rPr>
                <w:rFonts w:ascii="Arial" w:cs="Arial" w:eastAsia="Arial" w:hAnsi="Arial"/>
                <w:sz w:val="10"/>
                <w:szCs w:val="10"/>
                <w:b w:val="1"/>
                <w:bCs w:val="1"/>
                <w:color w:val="auto"/>
                <w:w w:val="98"/>
              </w:rPr>
              <w:t>(1)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2"/>
              </w:rPr>
              <w:t xml:space="preserve">Houston Electric </w:t>
            </w:r>
            <w:r>
              <w:rPr>
                <w:rFonts w:ascii="Arial" w:cs="Arial" w:eastAsia="Arial" w:hAnsi="Arial"/>
                <w:sz w:val="10"/>
                <w:szCs w:val="10"/>
                <w:b w:val="1"/>
                <w:bCs w:val="1"/>
                <w:color w:val="auto"/>
                <w:w w:val="92"/>
              </w:rPr>
              <w:t>(1)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 xml:space="preserve">CenterPoint Energy </w:t>
            </w:r>
            <w:r>
              <w:rPr>
                <w:rFonts w:ascii="Arial" w:cs="Arial" w:eastAsia="Arial" w:hAnsi="Arial"/>
                <w:sz w:val="10"/>
                <w:szCs w:val="10"/>
                <w:b w:val="1"/>
                <w:bCs w:val="1"/>
                <w:color w:val="auto"/>
                <w:w w:val="98"/>
              </w:rPr>
              <w:t>(1)</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Houston Electric </w:t>
            </w:r>
            <w:r>
              <w:rPr>
                <w:rFonts w:ascii="Arial" w:cs="Arial" w:eastAsia="Arial" w:hAnsi="Arial"/>
                <w:sz w:val="10"/>
                <w:szCs w:val="10"/>
                <w:b w:val="1"/>
                <w:bCs w:val="1"/>
                <w:color w:val="auto"/>
              </w:rPr>
              <w:t>(1)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23"/>
        </w:trPr>
        <w:tc>
          <w:tcPr>
            <w:tcW w:w="2260" w:type="dxa"/>
            <w:vAlign w:val="bottom"/>
          </w:tcPr>
          <w:p>
            <w:pPr>
              <w:ind w:left="20"/>
              <w:spacing w:after="0" w:line="124" w:lineRule="exact"/>
              <w:rPr>
                <w:sz w:val="20"/>
                <w:szCs w:val="20"/>
                <w:color w:val="auto"/>
              </w:rPr>
            </w:pPr>
            <w:r>
              <w:rPr>
                <w:rFonts w:ascii="Arial" w:cs="Arial" w:eastAsia="Arial" w:hAnsi="Arial"/>
                <w:sz w:val="14"/>
                <w:szCs w:val="14"/>
                <w:b w:val="1"/>
                <w:bCs w:val="1"/>
                <w:color w:val="auto"/>
                <w:w w:val="98"/>
              </w:rPr>
              <w:t>Long-term debt, including current</w:t>
            </w: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maturities</w:t>
            </w: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2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Carrying amount</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16,958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7,168</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4,242</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16,338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6,353</w:t>
            </w:r>
          </w:p>
        </w:tc>
        <w:tc>
          <w:tcPr>
            <w:tcW w:w="3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4,826</w:t>
            </w:r>
          </w:p>
        </w:tc>
        <w:tc>
          <w:tcPr>
            <w:tcW w:w="0" w:type="dxa"/>
            <w:vAlign w:val="bottom"/>
          </w:tcPr>
          <w:p>
            <w:pPr>
              <w:spacing w:after="0"/>
              <w:rPr>
                <w:sz w:val="1"/>
                <w:szCs w:val="1"/>
                <w:color w:val="auto"/>
              </w:rPr>
            </w:pPr>
          </w:p>
        </w:tc>
      </w:tr>
      <w:tr>
        <w:trPr>
          <w:trHeight w:val="180"/>
        </w:trPr>
        <w:tc>
          <w:tcPr>
            <w:tcW w:w="2260" w:type="dxa"/>
            <w:vAlign w:val="bottom"/>
          </w:tcPr>
          <w:p>
            <w:pPr>
              <w:ind w:left="340"/>
              <w:spacing w:after="0"/>
              <w:rPr>
                <w:sz w:val="20"/>
                <w:szCs w:val="20"/>
                <w:color w:val="auto"/>
              </w:rPr>
            </w:pPr>
            <w:r>
              <w:rPr>
                <w:rFonts w:ascii="Arial" w:cs="Arial" w:eastAsia="Arial" w:hAnsi="Arial"/>
                <w:sz w:val="14"/>
                <w:szCs w:val="14"/>
                <w:color w:val="auto"/>
              </w:rPr>
              <w:t>Fair value</w:t>
            </w:r>
          </w:p>
        </w:tc>
        <w:tc>
          <w:tcPr>
            <w:tcW w:w="52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15,694</w:t>
            </w:r>
          </w:p>
        </w:tc>
        <w:tc>
          <w:tcPr>
            <w:tcW w:w="14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6,340</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4,086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14,990</w:t>
            </w:r>
          </w:p>
        </w:tc>
        <w:tc>
          <w:tcPr>
            <w:tcW w:w="160" w:type="dxa"/>
            <w:vAlign w:val="bottom"/>
          </w:tcPr>
          <w:p>
            <w:pPr>
              <w:spacing w:after="0"/>
              <w:rPr>
                <w:sz w:val="15"/>
                <w:szCs w:val="15"/>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5,504</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4,637</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Securitization Bonds, as applicable.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Intangibles (CenterPoint Energy and CERC)</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 (CenterPoint Energy and CERC)</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goodwill by reportable segment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7"/>
              <w:spacing w:after="0"/>
              <w:rPr>
                <w:sz w:val="20"/>
                <w:szCs w:val="20"/>
                <w:color w:val="auto"/>
              </w:rPr>
            </w:pPr>
            <w:r>
              <w:rPr>
                <w:rFonts w:ascii="Arial" w:cs="Arial" w:eastAsia="Arial" w:hAnsi="Arial"/>
                <w:sz w:val="14"/>
                <w:szCs w:val="14"/>
                <w:b w:val="1"/>
                <w:bCs w:val="1"/>
                <w:color w:val="auto"/>
              </w:rPr>
              <w:t>Disposals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June 30, 2023</w:t>
            </w:r>
          </w:p>
        </w:tc>
      </w:tr>
      <w:tr>
        <w:trPr>
          <w:trHeight w:val="24"/>
        </w:trPr>
        <w:tc>
          <w:tcPr>
            <w:tcW w:w="6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77"/>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Electric </w:t>
            </w:r>
            <w:r>
              <w:rPr>
                <w:rFonts w:ascii="Arial" w:cs="Arial" w:eastAsia="Arial" w:hAnsi="Arial"/>
                <w:sz w:val="14"/>
                <w:szCs w:val="14"/>
                <w:color w:val="auto"/>
              </w:rPr>
              <w:t>(1)</w:t>
            </w: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32"/>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2,920</w:t>
            </w:r>
          </w:p>
        </w:tc>
      </w:tr>
      <w:tr>
        <w:trPr>
          <w:trHeight w:val="22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2"/>
        </w:trPr>
        <w:tc>
          <w:tcPr>
            <w:tcW w:w="6700" w:type="dxa"/>
            <w:vAlign w:val="bottom"/>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4,294</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4,160</w:t>
            </w:r>
          </w:p>
        </w:tc>
      </w:tr>
      <w:tr>
        <w:trPr>
          <w:trHeight w:val="20"/>
        </w:trPr>
        <w:tc>
          <w:tcPr>
            <w:tcW w:w="6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presented is net of the accumulated goodwill impairment charge of $185 million recorded in 2020.</w:t>
      </w:r>
    </w:p>
    <w:p>
      <w:pPr>
        <w:spacing w:after="0" w:line="125" w:lineRule="exact"/>
        <w:rPr>
          <w:rFonts w:ascii="Arial" w:cs="Arial" w:eastAsia="Arial" w:hAnsi="Arial"/>
          <w:sz w:val="18"/>
          <w:szCs w:val="18"/>
          <w:color w:val="auto"/>
        </w:rPr>
      </w:pPr>
    </w:p>
    <w:p>
      <w:pPr>
        <w:ind w:left="320" w:right="3040" w:firstLine="5"/>
        <w:spacing w:after="0" w:line="404" w:lineRule="auto"/>
        <w:tabs>
          <w:tab w:leader="none" w:pos="6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goodwill attributable to the sale of Energy Systems Group. For further information, see Note 3. CERC’s goodwill as of both June 30, 2023 and December 31, 2022 is as follows:</w:t>
      </w:r>
    </w:p>
    <w:p>
      <w:pPr>
        <w:spacing w:after="0" w:line="10"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151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5" w:lineRule="exact"/>
        <w:rPr>
          <w:sz w:val="20"/>
          <w:szCs w:val="20"/>
          <w:color w:val="auto"/>
        </w:rPr>
      </w:pPr>
    </w:p>
    <w:p>
      <w:pPr>
        <w:ind w:left="20"/>
        <w:spacing w:after="0"/>
        <w:tabs>
          <w:tab w:leader="none" w:pos="9480" w:val="left"/>
          <w:tab w:leader="none" w:pos="10760" w:val="left"/>
        </w:tabs>
        <w:rPr>
          <w:sz w:val="20"/>
          <w:szCs w:val="20"/>
          <w:color w:val="auto"/>
        </w:rPr>
      </w:pPr>
      <w:r>
        <w:rPr>
          <w:rFonts w:ascii="Arial" w:cs="Arial" w:eastAsia="Arial" w:hAnsi="Arial"/>
          <w:sz w:val="18"/>
          <w:szCs w:val="18"/>
          <w:color w:val="auto"/>
        </w:rPr>
        <w:t>Goodwill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1,583</w:t>
      </w:r>
    </w:p>
    <w:p>
      <w:pPr>
        <w:spacing w:after="0" w:line="23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When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As described further in Note 3, certain assets and liabilities of Energy Systems Group, including goodwill of $134 million at CenterPoint Energy, were disposed of upon consummation of the sale of Energy Systems Group in the second quarter of 2023. The disposal of goodwill attributable to Energy Systems Group was reflected in the loss on sale of $12 million during the three and six months ended June 30, 2023.</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Intangibles (CenterPoint Energy)</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tables below present information on CenterPoint Energy’s intangible assets, excluding goodwill, recorded in Other non-current assets on CenterPoint Energy’s Condensed Consolidated Balance Sheets and the related amortization expense included in Depreciation and amortization on CenterPoint Energy’s Condensed Statements of Consolidated Income. The intangible assets and associated amortization expense are primarily related to Energy Systems Group prior to the completion of the sale in June 2023 as indicated below. See Note 3 for further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120" w:type="dxa"/>
            <w:vAlign w:val="bottom"/>
          </w:tcPr>
          <w:p>
            <w:pPr>
              <w:spacing w:after="0"/>
              <w:rPr>
                <w:sz w:val="11"/>
                <w:szCs w:val="11"/>
                <w:color w:val="auto"/>
              </w:rPr>
            </w:pPr>
          </w:p>
        </w:tc>
        <w:tc>
          <w:tcPr>
            <w:tcW w:w="110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ind w:left="80"/>
              <w:spacing w:after="0" w:line="130"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89"/>
              </w:rPr>
              <w:t>Net Balance</w:t>
            </w:r>
          </w:p>
        </w:tc>
        <w:tc>
          <w:tcPr>
            <w:tcW w:w="120" w:type="dxa"/>
            <w:vAlign w:val="bottom"/>
          </w:tcPr>
          <w:p>
            <w:pPr>
              <w:spacing w:after="0"/>
              <w:rPr>
                <w:sz w:val="11"/>
                <w:szCs w:val="11"/>
                <w:color w:val="auto"/>
              </w:rPr>
            </w:pPr>
          </w:p>
        </w:tc>
        <w:tc>
          <w:tcPr>
            <w:tcW w:w="110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37"/>
              <w:spacing w:after="0" w:line="130"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right"/>
              <w:ind w:right="449"/>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4"/>
                <w:szCs w:val="14"/>
                <w:color w:val="auto"/>
              </w:rPr>
              <w:t>(1)</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4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Trade names </w:t>
            </w:r>
            <w:r>
              <w:rPr>
                <w:rFonts w:ascii="Arial" w:cs="Arial" w:eastAsia="Arial" w:hAnsi="Arial"/>
                <w:sz w:val="14"/>
                <w:szCs w:val="14"/>
                <w:color w:val="auto"/>
              </w:rPr>
              <w:t>(1)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 (2)</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3"/>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9"/>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64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5"/>
        <w:spacing w:after="0" w:line="265"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Related to Energy Systems Group prior to the completion of the sale in June 2023. Amortization ceased at June 30, 2023, the end of the quarter in which the held for sale criteria was met. See Note 3 for further information.</w:t>
      </w:r>
    </w:p>
    <w:p>
      <w:pPr>
        <w:spacing w:after="0" w:line="100"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is included in Non-utility cost of revenues, including natural gas on CenterPoint Energy’s Condensed Statements of Consolidated Income. Amortization ceased at June 30, 2023, the end of the quarter in which the held for sale criteria was met. See Note 3 for further information.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5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7"/>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w w:val="91"/>
              </w:rPr>
              <w:t>Amortization expense of intangible assets recorded in Depreciation and</w:t>
            </w:r>
          </w:p>
        </w:tc>
        <w:tc>
          <w:tcPr>
            <w:tcW w:w="1060" w:type="dxa"/>
            <w:vAlign w:val="bottom"/>
            <w:vMerge w:val="restart"/>
            <w:shd w:val="clear" w:color="auto" w:fill="CCEEFF"/>
          </w:tcPr>
          <w:p>
            <w:pPr>
              <w:jc w:val="right"/>
              <w:ind w:right="883"/>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80" w:type="dxa"/>
            <w:vAlign w:val="bottom"/>
            <w:vMerge w:val="restart"/>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8"/>
                <w:szCs w:val="18"/>
                <w:color w:val="auto"/>
              </w:rPr>
              <w:t>3</w:t>
            </w:r>
          </w:p>
        </w:tc>
        <w:tc>
          <w:tcPr>
            <w:tcW w:w="42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06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 estimates that amortization expense of intangible assets with finite lives for the next five years will not be significant.</w:t>
      </w:r>
    </w:p>
    <w:p>
      <w:pPr>
        <w:spacing w:after="0" w:line="239" w:lineRule="exact"/>
        <w:rPr>
          <w:sz w:val="20"/>
          <w:szCs w:val="20"/>
          <w:color w:val="auto"/>
        </w:rPr>
      </w:pPr>
    </w:p>
    <w:p>
      <w:pPr>
        <w:ind w:left="340" w:hanging="334"/>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 Securities and Indexed Debt Securities (ZENS) (CenterPoint Energy)</w:t>
      </w:r>
    </w:p>
    <w:p>
      <w:pPr>
        <w:spacing w:after="0" w:line="250" w:lineRule="exact"/>
        <w:rPr>
          <w:rFonts w:ascii="Arial" w:cs="Arial" w:eastAsia="Arial" w:hAnsi="Arial"/>
          <w:sz w:val="18"/>
          <w:szCs w:val="18"/>
          <w:b w:val="1"/>
          <w:bCs w:val="1"/>
          <w:color w:val="auto"/>
        </w:rPr>
      </w:pPr>
    </w:p>
    <w:p>
      <w:pPr>
        <w:ind w:left="580" w:hanging="255"/>
        <w:spacing w:after="0"/>
        <w:tabs>
          <w:tab w:leader="none" w:pos="580" w:val="left"/>
        </w:tabs>
        <w:numPr>
          <w:ilvl w:val="1"/>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Equity Securities</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During the six months ended June 30, 2022, CenterPoint Energy completed the execution of its previously announced plan to exit the midstream sector by selling the remaining Energy Transfer Common Units and Energy Transfer Series G Preferred Units it held.</w:t>
      </w:r>
    </w:p>
    <w:p>
      <w:pPr>
        <w:spacing w:after="0" w:line="207"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8"/>
          <w:szCs w:val="18"/>
          <w:color w:val="auto"/>
        </w:rPr>
        <w:t>Gains and losses on equity securities, net of transaction costs, are recorded in Gain (Loss) on Equity Securities in CenterPoint Energy’s Condensed Statements of Consolidated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Gains (Losses) on Equity Securities</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40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186"/>
        </w:trPr>
        <w:tc>
          <w:tcPr>
            <w:tcW w:w="4000" w:type="dxa"/>
            <w:vAlign w:val="bottom"/>
          </w:tcPr>
          <w:p>
            <w:pPr>
              <w:spacing w:after="0"/>
              <w:rPr>
                <w:sz w:val="16"/>
                <w:szCs w:val="16"/>
                <w:color w:val="auto"/>
              </w:rPr>
            </w:pPr>
          </w:p>
        </w:tc>
        <w:tc>
          <w:tcPr>
            <w:tcW w:w="3580" w:type="dxa"/>
            <w:vAlign w:val="bottom"/>
            <w:tcBorders>
              <w:bottom w:val="single" w:sz="8" w:color="auto"/>
            </w:tcBorders>
            <w:gridSpan w:val="5"/>
          </w:tcPr>
          <w:p>
            <w:pPr>
              <w:jc w:val="right"/>
              <w:ind w:right="797"/>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4000" w:type="dxa"/>
            <w:vAlign w:val="bottom"/>
          </w:tcPr>
          <w:p>
            <w:pPr>
              <w:spacing w:after="0"/>
              <w:rPr>
                <w:sz w:val="16"/>
                <w:szCs w:val="16"/>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r>
      <w:tr>
        <w:trPr>
          <w:trHeight w:val="186"/>
        </w:trPr>
        <w:tc>
          <w:tcPr>
            <w:tcW w:w="4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220" w:type="dxa"/>
            <w:vAlign w:val="bottom"/>
            <w:shd w:val="clear" w:color="auto" w:fill="CCEEFF"/>
          </w:tcPr>
          <w:p>
            <w:pPr>
              <w:jc w:val="right"/>
              <w:ind w:right="10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left="897"/>
              <w:spacing w:after="0"/>
              <w:rPr>
                <w:sz w:val="20"/>
                <w:szCs w:val="20"/>
                <w:color w:val="auto"/>
              </w:rPr>
            </w:pPr>
            <w:r>
              <w:rPr>
                <w:rFonts w:ascii="Arial" w:cs="Arial" w:eastAsia="Arial" w:hAnsi="Arial"/>
                <w:sz w:val="18"/>
                <w:szCs w:val="18"/>
                <w:color w:val="auto"/>
                <w:w w:val="93"/>
              </w:rPr>
              <w:t>(27)</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2"/>
        </w:trPr>
        <w:tc>
          <w:tcPr>
            <w:tcW w:w="400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center"/>
              <w:ind w:left="897"/>
              <w:spacing w:after="0"/>
              <w:rPr>
                <w:sz w:val="20"/>
                <w:szCs w:val="20"/>
                <w:color w:val="auto"/>
              </w:rPr>
            </w:pPr>
            <w:r>
              <w:rPr>
                <w:rFonts w:ascii="Arial" w:cs="Arial" w:eastAsia="Arial" w:hAnsi="Arial"/>
                <w:sz w:val="18"/>
                <w:szCs w:val="18"/>
                <w:color w:val="auto"/>
                <w:w w:val="93"/>
              </w:rPr>
              <w:t>(67)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WBD Common</w:t>
            </w:r>
          </w:p>
        </w:tc>
        <w:tc>
          <w:tcPr>
            <w:tcW w:w="12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left="937"/>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5"/>
        </w:trPr>
        <w:tc>
          <w:tcPr>
            <w:tcW w:w="4000" w:type="dxa"/>
            <w:vAlign w:val="bottom"/>
          </w:tcPr>
          <w:p>
            <w:pPr>
              <w:ind w:left="20"/>
              <w:spacing w:after="0"/>
              <w:rPr>
                <w:sz w:val="20"/>
                <w:szCs w:val="20"/>
                <w:color w:val="auto"/>
              </w:rPr>
            </w:pPr>
            <w:r>
              <w:rPr>
                <w:rFonts w:ascii="Arial" w:cs="Arial" w:eastAsia="Arial" w:hAnsi="Arial"/>
                <w:sz w:val="18"/>
                <w:szCs w:val="18"/>
                <w:color w:val="auto"/>
              </w:rPr>
              <w:t>Energy Transfer Common Units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center"/>
              <w:ind w:left="93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4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Transfer Series G Preferred Units</w:t>
            </w:r>
          </w:p>
        </w:tc>
        <w:tc>
          <w:tcPr>
            <w:tcW w:w="12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left="937"/>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93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jc w:val="right"/>
              <w:ind w:right="10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left="897"/>
              <w:spacing w:after="0"/>
              <w:rPr>
                <w:sz w:val="20"/>
                <w:szCs w:val="20"/>
                <w:color w:val="auto"/>
              </w:rPr>
            </w:pPr>
            <w:r>
              <w:rPr>
                <w:rFonts w:ascii="Arial" w:cs="Arial" w:eastAsia="Arial" w:hAnsi="Arial"/>
                <w:sz w:val="18"/>
                <w:szCs w:val="18"/>
                <w:color w:val="auto"/>
                <w:w w:val="93"/>
              </w:rPr>
              <w:t>(61)</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recorded net unrealized gains (losses) of $(31) million and $7 million for the three and six months ended June 30, 2023 and net unrealized losses of $61 million and $164 million for the three and six months ended June 30, 2022 respectively, for equity securities held as of June 30, 2023 and 2022.</w:t>
      </w:r>
    </w:p>
    <w:p>
      <w:pPr>
        <w:spacing w:after="0" w:line="21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Pr>
          <w:p>
            <w:pPr>
              <w:spacing w:after="0"/>
              <w:rPr>
                <w:sz w:val="18"/>
                <w:szCs w:val="18"/>
                <w:color w:val="auto"/>
              </w:rPr>
            </w:pPr>
          </w:p>
        </w:tc>
        <w:tc>
          <w:tcPr>
            <w:tcW w:w="3360" w:type="dxa"/>
            <w:vAlign w:val="bottom"/>
            <w:tcBorders>
              <w:bottom w:val="single" w:sz="8" w:color="auto"/>
            </w:tcBorders>
            <w:gridSpan w:val="3"/>
          </w:tcPr>
          <w:p>
            <w:pPr>
              <w:jc w:val="right"/>
              <w:ind w:right="1189"/>
              <w:spacing w:after="0"/>
              <w:rPr>
                <w:sz w:val="20"/>
                <w:szCs w:val="20"/>
                <w:color w:val="auto"/>
              </w:rPr>
            </w:pPr>
            <w:r>
              <w:rPr>
                <w:rFonts w:ascii="Arial" w:cs="Arial" w:eastAsia="Arial" w:hAnsi="Arial"/>
                <w:sz w:val="16"/>
                <w:szCs w:val="16"/>
                <w:b w:val="1"/>
                <w:bCs w:val="1"/>
                <w:color w:val="auto"/>
              </w:rPr>
              <w:t>Shares Held</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6"/>
                <w:szCs w:val="16"/>
                <w:b w:val="1"/>
                <w:bCs w:val="1"/>
                <w:color w:val="auto"/>
              </w:rPr>
              <w:t>Carrying Value</w:t>
            </w:r>
          </w:p>
        </w:tc>
      </w:tr>
      <w:tr>
        <w:trPr>
          <w:trHeight w:val="188"/>
        </w:trPr>
        <w:tc>
          <w:tcPr>
            <w:tcW w:w="4380" w:type="dxa"/>
            <w:vAlign w:val="bottom"/>
          </w:tcPr>
          <w:p>
            <w:pPr>
              <w:spacing w:after="0"/>
              <w:rPr>
                <w:sz w:val="16"/>
                <w:szCs w:val="16"/>
                <w:color w:val="auto"/>
              </w:rPr>
            </w:pPr>
          </w:p>
        </w:tc>
        <w:tc>
          <w:tcPr>
            <w:tcW w:w="16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2022</w:t>
            </w:r>
          </w:p>
        </w:tc>
      </w:tr>
      <w:tr>
        <w:trPr>
          <w:trHeight w:val="185"/>
        </w:trPr>
        <w:tc>
          <w:tcPr>
            <w:tcW w:w="4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millions)</w:t>
            </w:r>
          </w:p>
        </w:tc>
      </w:tr>
      <w:tr>
        <w:trPr>
          <w:trHeight w:val="227"/>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10,212,945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10,212,945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2"/>
        </w:trPr>
        <w:tc>
          <w:tcPr>
            <w:tcW w:w="438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620" w:type="dxa"/>
            <w:vAlign w:val="bottom"/>
          </w:tcPr>
          <w:p>
            <w:pPr>
              <w:jc w:val="right"/>
              <w:spacing w:after="0"/>
              <w:rPr>
                <w:sz w:val="20"/>
                <w:szCs w:val="20"/>
                <w:color w:val="auto"/>
              </w:rPr>
            </w:pPr>
            <w:r>
              <w:rPr>
                <w:rFonts w:ascii="Arial" w:cs="Arial" w:eastAsia="Arial" w:hAnsi="Arial"/>
                <w:sz w:val="18"/>
                <w:szCs w:val="18"/>
                <w:color w:val="auto"/>
              </w:rPr>
              <w:t>872,503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872,503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3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WBD Common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2,470,685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2,470,685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6"/>
        </w:trPr>
        <w:tc>
          <w:tcPr>
            <w:tcW w:w="4380" w:type="dxa"/>
            <w:vAlign w:val="bottom"/>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2"/>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 ZENS</w:t>
      </w:r>
    </w:p>
    <w:p>
      <w:pPr>
        <w:spacing w:after="0" w:line="245"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In September 1999, CenterPoint Energy issued ZENS having an original principal amount of $1.0 billion of which $828 million remained outstanding as of June 30, 2023.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16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June 30, 2023</w:t>
            </w: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0"/>
              </w:rPr>
              <w:t>December 31, 2022</w:t>
            </w:r>
          </w:p>
        </w:tc>
      </w:tr>
      <w:tr>
        <w:trPr>
          <w:trHeight w:val="191"/>
        </w:trPr>
        <w:tc>
          <w:tcPr>
            <w:tcW w:w="76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(in shares)</w:t>
            </w:r>
          </w:p>
        </w:tc>
        <w:tc>
          <w:tcPr>
            <w:tcW w:w="1480" w:type="dxa"/>
            <w:vAlign w:val="bottom"/>
          </w:tcPr>
          <w:p>
            <w:pPr>
              <w:spacing w:after="0"/>
              <w:rPr>
                <w:sz w:val="16"/>
                <w:szCs w:val="16"/>
                <w:color w:val="auto"/>
              </w:rPr>
            </w:pPr>
          </w:p>
        </w:tc>
      </w:tr>
      <w:tr>
        <w:trPr>
          <w:trHeight w:val="23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21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0.7185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0.7185</w:t>
            </w:r>
          </w:p>
        </w:tc>
      </w:tr>
      <w:tr>
        <w:trPr>
          <w:trHeight w:val="232"/>
        </w:trPr>
        <w:tc>
          <w:tcPr>
            <w:tcW w:w="760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2160" w:type="dxa"/>
            <w:vAlign w:val="bottom"/>
          </w:tcPr>
          <w:p>
            <w:pPr>
              <w:jc w:val="right"/>
              <w:ind w:right="379"/>
              <w:spacing w:after="0"/>
              <w:rPr>
                <w:sz w:val="20"/>
                <w:szCs w:val="20"/>
                <w:color w:val="auto"/>
              </w:rPr>
            </w:pPr>
            <w:r>
              <w:rPr>
                <w:rFonts w:ascii="Arial" w:cs="Arial" w:eastAsia="Arial" w:hAnsi="Arial"/>
                <w:sz w:val="18"/>
                <w:szCs w:val="18"/>
                <w:color w:val="auto"/>
              </w:rPr>
              <w:t>0.061382</w:t>
            </w:r>
          </w:p>
        </w:tc>
        <w:tc>
          <w:tcPr>
            <w:tcW w:w="1480" w:type="dxa"/>
            <w:vAlign w:val="bottom"/>
          </w:tcPr>
          <w:p>
            <w:pPr>
              <w:jc w:val="right"/>
              <w:spacing w:after="0"/>
              <w:rPr>
                <w:sz w:val="20"/>
                <w:szCs w:val="20"/>
                <w:color w:val="auto"/>
              </w:rPr>
            </w:pPr>
            <w:r>
              <w:rPr>
                <w:rFonts w:ascii="Arial" w:cs="Arial" w:eastAsia="Arial" w:hAnsi="Arial"/>
                <w:sz w:val="18"/>
                <w:szCs w:val="18"/>
                <w:color w:val="auto"/>
              </w:rPr>
              <w:t>0.061382</w:t>
            </w:r>
          </w:p>
        </w:tc>
      </w:tr>
      <w:tr>
        <w:trPr>
          <w:trHeight w:val="23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WBD Common</w:t>
            </w:r>
          </w:p>
        </w:tc>
        <w:tc>
          <w:tcPr>
            <w:tcW w:w="21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0.173817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0.173817</w:t>
            </w:r>
          </w:p>
        </w:tc>
      </w:tr>
    </w:tbl>
    <w:p>
      <w:pPr>
        <w:spacing w:after="0" w:line="320"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June 30, 2023, the ZENS, having an original principal amount of $828 million and a contingent principal amount of $22 million, were outstanding and were exchangeable, at the option of the holders, for cash equal to 95% of the market value of the reference shares attributable to the ZENS.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Short-term Borrowings and Long-term Debt</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i w:val="1"/>
          <w:iCs w:val="1"/>
          <w:color w:val="auto"/>
        </w:rPr>
        <w:t xml:space="preserve">Inventory Financing. </w:t>
      </w:r>
      <w:r>
        <w:rPr>
          <w:rFonts w:ascii="Arial" w:cs="Arial" w:eastAsia="Arial" w:hAnsi="Arial"/>
          <w:sz w:val="17"/>
          <w:szCs w:val="17"/>
          <w:color w:val="auto"/>
        </w:rPr>
        <w:t>CenterPoint Energy’s and CERC’s Natural Gas businesses have third-party AMAs associated with their utility distribution service in</w:t>
      </w:r>
      <w:r>
        <w:rPr>
          <w:rFonts w:ascii="Arial" w:cs="Arial" w:eastAsia="Arial" w:hAnsi="Arial"/>
          <w:sz w:val="17"/>
          <w:szCs w:val="17"/>
          <w:i w:val="1"/>
          <w:iCs w:val="1"/>
          <w:color w:val="auto"/>
        </w:rPr>
        <w:t xml:space="preserve"> </w:t>
      </w:r>
      <w:r>
        <w:rPr>
          <w:rFonts w:ascii="Arial" w:cs="Arial" w:eastAsia="Arial" w:hAnsi="Arial"/>
          <w:sz w:val="17"/>
          <w:szCs w:val="17"/>
          <w:color w:val="auto"/>
        </w:rPr>
        <w:t>Indiana, Louisiana, Minnesota, Mississippi and Texas.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Certain of these transactions are accounted for as an inventory financing. CenterPoint Energy and CERC had $2 million and $11 million outstanding obligations related to the AMAs as of June 30, 2023 and December 31, 2022, respectively, recorded in Short-term borrowings on CenterPoint Energy’s and CERC’s Condensed Consolidated Balance Sheets.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Debt Transactions. </w:t>
      </w:r>
      <w:r>
        <w:rPr>
          <w:rFonts w:ascii="Arial" w:cs="Arial" w:eastAsia="Arial" w:hAnsi="Arial"/>
          <w:sz w:val="18"/>
          <w:szCs w:val="18"/>
          <w:color w:val="auto"/>
        </w:rPr>
        <w:t>During the six months ended June 30, 2023, the following debt instruments were issued or incurred: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vMerge w:val="restart"/>
          </w:tcPr>
          <w:p>
            <w:pPr>
              <w:ind w:left="720"/>
              <w:spacing w:after="0"/>
              <w:rPr>
                <w:sz w:val="20"/>
                <w:szCs w:val="20"/>
                <w:color w:val="auto"/>
              </w:rPr>
            </w:pPr>
            <w:r>
              <w:rPr>
                <w:rFonts w:ascii="Arial" w:cs="Arial" w:eastAsia="Arial" w:hAnsi="Arial"/>
                <w:sz w:val="16"/>
                <w:szCs w:val="16"/>
                <w:b w:val="1"/>
                <w:bCs w:val="1"/>
                <w:color w:val="auto"/>
              </w:rPr>
              <w:t>Registrant</w:t>
            </w:r>
          </w:p>
        </w:tc>
        <w:tc>
          <w:tcPr>
            <w:tcW w:w="100" w:type="dxa"/>
            <w:vAlign w:val="bottom"/>
          </w:tcPr>
          <w:p>
            <w:pPr>
              <w:spacing w:after="0"/>
              <w:rPr>
                <w:sz w:val="16"/>
                <w:szCs w:val="16"/>
                <w:color w:val="auto"/>
              </w:rPr>
            </w:pPr>
          </w:p>
        </w:tc>
        <w:tc>
          <w:tcPr>
            <w:tcW w:w="1440" w:type="dxa"/>
            <w:vAlign w:val="bottom"/>
            <w:vMerge w:val="restart"/>
          </w:tcPr>
          <w:p>
            <w:pPr>
              <w:jc w:val="center"/>
              <w:ind w:left="20"/>
              <w:spacing w:after="0"/>
              <w:rPr>
                <w:sz w:val="20"/>
                <w:szCs w:val="20"/>
                <w:color w:val="auto"/>
              </w:rPr>
            </w:pPr>
            <w:r>
              <w:rPr>
                <w:rFonts w:ascii="Arial" w:cs="Arial" w:eastAsia="Arial" w:hAnsi="Arial"/>
                <w:sz w:val="16"/>
                <w:szCs w:val="16"/>
                <w:b w:val="1"/>
                <w:bCs w:val="1"/>
                <w:color w:val="auto"/>
                <w:w w:val="87"/>
              </w:rPr>
              <w:t>Issuance Date</w:t>
            </w:r>
          </w:p>
        </w:tc>
        <w:tc>
          <w:tcPr>
            <w:tcW w:w="268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Debt Instrument</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Aggregate Principal</w:t>
            </w:r>
          </w:p>
        </w:tc>
        <w:tc>
          <w:tcPr>
            <w:tcW w:w="2060" w:type="dxa"/>
            <w:vAlign w:val="bottom"/>
            <w:vMerge w:val="restart"/>
          </w:tcPr>
          <w:p>
            <w:pPr>
              <w:jc w:val="center"/>
              <w:ind w:left="180"/>
              <w:spacing w:after="0"/>
              <w:rPr>
                <w:sz w:val="20"/>
                <w:szCs w:val="20"/>
                <w:color w:val="auto"/>
              </w:rPr>
            </w:pPr>
            <w:r>
              <w:rPr>
                <w:rFonts w:ascii="Arial" w:cs="Arial" w:eastAsia="Arial" w:hAnsi="Arial"/>
                <w:sz w:val="16"/>
                <w:szCs w:val="16"/>
                <w:b w:val="1"/>
                <w:bCs w:val="1"/>
                <w:color w:val="auto"/>
                <w:w w:val="90"/>
              </w:rPr>
              <w:t>Interest Rate</w:t>
            </w:r>
          </w:p>
        </w:tc>
        <w:tc>
          <w:tcPr>
            <w:tcW w:w="1320" w:type="dxa"/>
            <w:vAlign w:val="bottom"/>
            <w:vMerge w:val="restart"/>
          </w:tcPr>
          <w:p>
            <w:pPr>
              <w:ind w:left="300"/>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0"/>
        </w:trPr>
        <w:tc>
          <w:tcPr>
            <w:tcW w:w="2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6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center"/>
              <w:ind w:left="382"/>
              <w:spacing w:after="0"/>
              <w:rPr>
                <w:sz w:val="20"/>
                <w:szCs w:val="20"/>
                <w:color w:val="auto"/>
              </w:rPr>
            </w:pPr>
            <w:r>
              <w:rPr>
                <w:rFonts w:ascii="Arial" w:cs="Arial" w:eastAsia="Arial" w:hAnsi="Arial"/>
                <w:sz w:val="16"/>
                <w:szCs w:val="16"/>
                <w:b w:val="1"/>
                <w:bCs w:val="1"/>
                <w:color w:val="auto"/>
                <w:w w:val="92"/>
              </w:rPr>
              <w:t>Amount</w:t>
            </w:r>
          </w:p>
        </w:tc>
        <w:tc>
          <w:tcPr>
            <w:tcW w:w="4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Houston Electric</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March 2023</w:t>
            </w:r>
          </w:p>
        </w:tc>
        <w:tc>
          <w:tcPr>
            <w:tcW w:w="2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General Mortgage Bonds </w:t>
            </w:r>
            <w:r>
              <w:rPr>
                <w:rFonts w:ascii="Arial" w:cs="Arial" w:eastAsia="Arial" w:hAnsi="Arial"/>
                <w:sz w:val="12"/>
                <w:szCs w:val="12"/>
                <w:color w:val="auto"/>
              </w:rPr>
              <w:t>(1)</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4.95%</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2033</w:t>
            </w:r>
          </w:p>
        </w:tc>
        <w:tc>
          <w:tcPr>
            <w:tcW w:w="0" w:type="dxa"/>
            <w:vAlign w:val="bottom"/>
          </w:tcPr>
          <w:p>
            <w:pPr>
              <w:spacing w:after="0"/>
              <w:rPr>
                <w:sz w:val="1"/>
                <w:szCs w:val="1"/>
                <w:color w:val="auto"/>
              </w:rPr>
            </w:pPr>
          </w:p>
        </w:tc>
      </w:tr>
      <w:tr>
        <w:trPr>
          <w:trHeight w:val="210"/>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Houston Electric</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center"/>
              <w:ind w:left="20"/>
              <w:spacing w:after="0"/>
              <w:rPr>
                <w:sz w:val="20"/>
                <w:szCs w:val="20"/>
                <w:color w:val="auto"/>
              </w:rPr>
            </w:pPr>
            <w:r>
              <w:rPr>
                <w:rFonts w:ascii="Arial" w:cs="Arial" w:eastAsia="Arial" w:hAnsi="Arial"/>
                <w:sz w:val="16"/>
                <w:szCs w:val="16"/>
                <w:color w:val="auto"/>
                <w:w w:val="92"/>
              </w:rPr>
              <w:t>March 2023</w:t>
            </w:r>
          </w:p>
        </w:tc>
        <w:tc>
          <w:tcPr>
            <w:tcW w:w="2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 xml:space="preserve">General Mortgage Bonds </w:t>
            </w:r>
            <w:r>
              <w:rPr>
                <w:rFonts w:ascii="Arial" w:cs="Arial" w:eastAsia="Arial" w:hAnsi="Arial"/>
                <w:sz w:val="12"/>
                <w:szCs w:val="12"/>
                <w:color w:val="auto"/>
              </w:rPr>
              <w:t>(1)</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2060" w:type="dxa"/>
            <w:vAlign w:val="bottom"/>
            <w:tcBorders>
              <w:bottom w:val="single" w:sz="8" w:color="CCEEFF"/>
            </w:tcBorders>
          </w:tcPr>
          <w:p>
            <w:pPr>
              <w:jc w:val="center"/>
              <w:ind w:left="200"/>
              <w:spacing w:after="0"/>
              <w:rPr>
                <w:sz w:val="20"/>
                <w:szCs w:val="20"/>
                <w:color w:val="auto"/>
              </w:rPr>
            </w:pPr>
            <w:r>
              <w:rPr>
                <w:rFonts w:ascii="Arial" w:cs="Arial" w:eastAsia="Arial" w:hAnsi="Arial"/>
                <w:sz w:val="16"/>
                <w:szCs w:val="16"/>
                <w:color w:val="auto"/>
                <w:w w:val="92"/>
              </w:rPr>
              <w:t>5.30%</w:t>
            </w:r>
          </w:p>
        </w:tc>
        <w:tc>
          <w:tcPr>
            <w:tcW w:w="1320" w:type="dxa"/>
            <w:vAlign w:val="bottom"/>
            <w:tcBorders>
              <w:bottom w:val="single" w:sz="8" w:color="CCEEFF"/>
            </w:tcBorders>
          </w:tcPr>
          <w:p>
            <w:pPr>
              <w:jc w:val="center"/>
              <w:ind w:left="200"/>
              <w:spacing w:after="0"/>
              <w:rPr>
                <w:sz w:val="20"/>
                <w:szCs w:val="20"/>
                <w:color w:val="auto"/>
              </w:rPr>
            </w:pPr>
            <w:r>
              <w:rPr>
                <w:rFonts w:ascii="Arial" w:cs="Arial" w:eastAsia="Arial" w:hAnsi="Arial"/>
                <w:sz w:val="16"/>
                <w:szCs w:val="16"/>
                <w:color w:val="auto"/>
                <w:w w:val="89"/>
              </w:rPr>
              <w:t>2053</w:t>
            </w:r>
          </w:p>
        </w:tc>
        <w:tc>
          <w:tcPr>
            <w:tcW w:w="0" w:type="dxa"/>
            <w:vAlign w:val="bottom"/>
          </w:tcPr>
          <w:p>
            <w:pPr>
              <w:spacing w:after="0"/>
              <w:rPr>
                <w:sz w:val="1"/>
                <w:szCs w:val="1"/>
                <w:color w:val="auto"/>
              </w:rPr>
            </w:pPr>
          </w:p>
        </w:tc>
      </w:tr>
      <w:tr>
        <w:trPr>
          <w:trHeight w:val="208"/>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Houston Electric</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40" w:type="dxa"/>
            <w:vAlign w:val="bottom"/>
          </w:tcPr>
          <w:p>
            <w:pPr>
              <w:ind w:left="20"/>
              <w:spacing w:after="0"/>
              <w:rPr>
                <w:sz w:val="20"/>
                <w:szCs w:val="20"/>
                <w:color w:val="auto"/>
              </w:rPr>
            </w:pPr>
            <w:r>
              <w:rPr>
                <w:rFonts w:ascii="Arial" w:cs="Arial" w:eastAsia="Arial" w:hAnsi="Arial"/>
                <w:sz w:val="16"/>
                <w:szCs w:val="16"/>
                <w:color w:val="auto"/>
              </w:rPr>
              <w:t>CERC</w:t>
            </w:r>
          </w:p>
        </w:tc>
        <w:tc>
          <w:tcPr>
            <w:tcW w:w="100" w:type="dxa"/>
            <w:vAlign w:val="bottom"/>
          </w:tcPr>
          <w:p>
            <w:pPr>
              <w:spacing w:after="0"/>
              <w:rPr>
                <w:sz w:val="17"/>
                <w:szCs w:val="17"/>
                <w:color w:val="auto"/>
              </w:rPr>
            </w:pPr>
          </w:p>
        </w:tc>
        <w:tc>
          <w:tcPr>
            <w:tcW w:w="1440" w:type="dxa"/>
            <w:vAlign w:val="bottom"/>
          </w:tcPr>
          <w:p>
            <w:pPr>
              <w:jc w:val="center"/>
              <w:ind w:left="20"/>
              <w:spacing w:after="0"/>
              <w:rPr>
                <w:sz w:val="20"/>
                <w:szCs w:val="20"/>
                <w:color w:val="auto"/>
              </w:rPr>
            </w:pPr>
            <w:r>
              <w:rPr>
                <w:rFonts w:ascii="Arial" w:cs="Arial" w:eastAsia="Arial" w:hAnsi="Arial"/>
                <w:sz w:val="16"/>
                <w:szCs w:val="16"/>
                <w:color w:val="auto"/>
                <w:w w:val="90"/>
              </w:rPr>
              <w:t>February 2023</w:t>
            </w:r>
          </w:p>
        </w:tc>
        <w:tc>
          <w:tcPr>
            <w:tcW w:w="2680" w:type="dxa"/>
            <w:vAlign w:val="bottom"/>
          </w:tcPr>
          <w:p>
            <w:pPr>
              <w:ind w:left="20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12"/>
                <w:szCs w:val="12"/>
                <w:color w:val="auto"/>
              </w:rPr>
              <w:t>(2)</w:t>
            </w: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500</w:t>
            </w:r>
          </w:p>
        </w:tc>
        <w:tc>
          <w:tcPr>
            <w:tcW w:w="2060" w:type="dxa"/>
            <w:vAlign w:val="bottom"/>
          </w:tcPr>
          <w:p>
            <w:pPr>
              <w:jc w:val="center"/>
              <w:ind w:left="180"/>
              <w:spacing w:after="0"/>
              <w:rPr>
                <w:sz w:val="20"/>
                <w:szCs w:val="20"/>
                <w:color w:val="auto"/>
              </w:rPr>
            </w:pPr>
            <w:r>
              <w:rPr>
                <w:rFonts w:ascii="Arial" w:cs="Arial" w:eastAsia="Arial" w:hAnsi="Arial"/>
                <w:sz w:val="16"/>
                <w:szCs w:val="16"/>
                <w:color w:val="auto"/>
                <w:w w:val="91"/>
              </w:rPr>
              <w:t xml:space="preserve">SOFR </w:t>
            </w:r>
            <w:r>
              <w:rPr>
                <w:rFonts w:ascii="Arial" w:cs="Arial" w:eastAsia="Arial" w:hAnsi="Arial"/>
                <w:sz w:val="12"/>
                <w:szCs w:val="12"/>
                <w:color w:val="auto"/>
                <w:w w:val="91"/>
              </w:rPr>
              <w:t>(3)</w:t>
            </w:r>
            <w:r>
              <w:rPr>
                <w:rFonts w:ascii="Arial" w:cs="Arial" w:eastAsia="Arial" w:hAnsi="Arial"/>
                <w:sz w:val="16"/>
                <w:szCs w:val="16"/>
                <w:color w:val="auto"/>
                <w:w w:val="91"/>
              </w:rPr>
              <w:t xml:space="preserve"> + 0.85%</w:t>
            </w:r>
          </w:p>
        </w:tc>
        <w:tc>
          <w:tcPr>
            <w:tcW w:w="1320" w:type="dxa"/>
            <w:vAlign w:val="bottom"/>
          </w:tcPr>
          <w:p>
            <w:pPr>
              <w:jc w:val="center"/>
              <w:ind w:left="200"/>
              <w:spacing w:after="0"/>
              <w:rPr>
                <w:sz w:val="20"/>
                <w:szCs w:val="20"/>
                <w:color w:val="auto"/>
              </w:rPr>
            </w:pPr>
            <w:r>
              <w:rPr>
                <w:rFonts w:ascii="Arial" w:cs="Arial" w:eastAsia="Arial" w:hAnsi="Arial"/>
                <w:sz w:val="16"/>
                <w:szCs w:val="16"/>
                <w:color w:val="auto"/>
                <w:w w:val="89"/>
              </w:rPr>
              <w:t>2024</w:t>
            </w:r>
          </w:p>
        </w:tc>
        <w:tc>
          <w:tcPr>
            <w:tcW w:w="0" w:type="dxa"/>
            <w:vAlign w:val="bottom"/>
          </w:tcPr>
          <w:p>
            <w:pPr>
              <w:spacing w:after="0"/>
              <w:rPr>
                <w:sz w:val="1"/>
                <w:szCs w:val="1"/>
                <w:color w:val="auto"/>
              </w:rPr>
            </w:pPr>
          </w:p>
        </w:tc>
      </w:tr>
      <w:tr>
        <w:trPr>
          <w:trHeight w:val="215"/>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CERC</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0"/>
              </w:rPr>
              <w:t>February 2023</w:t>
            </w:r>
          </w:p>
        </w:tc>
        <w:tc>
          <w:tcPr>
            <w:tcW w:w="2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12"/>
                <w:szCs w:val="12"/>
                <w:color w:val="auto"/>
              </w:rPr>
              <w:t>(4)</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5.25%</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210"/>
        </w:trPr>
        <w:tc>
          <w:tcPr>
            <w:tcW w:w="2140" w:type="dxa"/>
            <w:vAlign w:val="bottom"/>
          </w:tcPr>
          <w:p>
            <w:pPr>
              <w:ind w:left="20"/>
              <w:spacing w:after="0"/>
              <w:rPr>
                <w:sz w:val="20"/>
                <w:szCs w:val="20"/>
                <w:color w:val="auto"/>
              </w:rPr>
            </w:pPr>
            <w:r>
              <w:rPr>
                <w:rFonts w:ascii="Arial" w:cs="Arial" w:eastAsia="Arial" w:hAnsi="Arial"/>
                <w:sz w:val="16"/>
                <w:szCs w:val="16"/>
                <w:color w:val="auto"/>
              </w:rPr>
              <w:t>CERC</w:t>
            </w:r>
          </w:p>
        </w:tc>
        <w:tc>
          <w:tcPr>
            <w:tcW w:w="100" w:type="dxa"/>
            <w:vAlign w:val="bottom"/>
          </w:tcPr>
          <w:p>
            <w:pPr>
              <w:spacing w:after="0"/>
              <w:rPr>
                <w:sz w:val="18"/>
                <w:szCs w:val="18"/>
                <w:color w:val="auto"/>
              </w:rPr>
            </w:pPr>
          </w:p>
        </w:tc>
        <w:tc>
          <w:tcPr>
            <w:tcW w:w="1440" w:type="dxa"/>
            <w:vAlign w:val="bottom"/>
          </w:tcPr>
          <w:p>
            <w:pPr>
              <w:jc w:val="center"/>
              <w:ind w:left="20"/>
              <w:spacing w:after="0"/>
              <w:rPr>
                <w:sz w:val="20"/>
                <w:szCs w:val="20"/>
                <w:color w:val="auto"/>
              </w:rPr>
            </w:pPr>
            <w:r>
              <w:rPr>
                <w:rFonts w:ascii="Arial" w:cs="Arial" w:eastAsia="Arial" w:hAnsi="Arial"/>
                <w:sz w:val="16"/>
                <w:szCs w:val="16"/>
                <w:color w:val="auto"/>
                <w:w w:val="90"/>
              </w:rPr>
              <w:t>February 2023</w:t>
            </w:r>
          </w:p>
        </w:tc>
        <w:tc>
          <w:tcPr>
            <w:tcW w:w="2680" w:type="dxa"/>
            <w:vAlign w:val="bottom"/>
          </w:tcPr>
          <w:p>
            <w:pPr>
              <w:ind w:left="20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12"/>
                <w:szCs w:val="12"/>
                <w:color w:val="auto"/>
              </w:rPr>
              <w:t>(4)</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600</w:t>
            </w:r>
          </w:p>
        </w:tc>
        <w:tc>
          <w:tcPr>
            <w:tcW w:w="2060" w:type="dxa"/>
            <w:vAlign w:val="bottom"/>
          </w:tcPr>
          <w:p>
            <w:pPr>
              <w:jc w:val="center"/>
              <w:ind w:left="200"/>
              <w:spacing w:after="0"/>
              <w:rPr>
                <w:sz w:val="20"/>
                <w:szCs w:val="20"/>
                <w:color w:val="auto"/>
              </w:rPr>
            </w:pPr>
            <w:r>
              <w:rPr>
                <w:rFonts w:ascii="Arial" w:cs="Arial" w:eastAsia="Arial" w:hAnsi="Arial"/>
                <w:sz w:val="16"/>
                <w:szCs w:val="16"/>
                <w:color w:val="auto"/>
                <w:w w:val="92"/>
              </w:rPr>
              <w:t>5.40%</w:t>
            </w:r>
          </w:p>
        </w:tc>
        <w:tc>
          <w:tcPr>
            <w:tcW w:w="1320" w:type="dxa"/>
            <w:vAlign w:val="bottom"/>
          </w:tcPr>
          <w:p>
            <w:pPr>
              <w:jc w:val="center"/>
              <w:ind w:left="200"/>
              <w:spacing w:after="0"/>
              <w:rPr>
                <w:sz w:val="20"/>
                <w:szCs w:val="20"/>
                <w:color w:val="auto"/>
              </w:rPr>
            </w:pPr>
            <w:r>
              <w:rPr>
                <w:rFonts w:ascii="Arial" w:cs="Arial" w:eastAsia="Arial" w:hAnsi="Arial"/>
                <w:sz w:val="16"/>
                <w:szCs w:val="16"/>
                <w:color w:val="auto"/>
                <w:w w:val="89"/>
              </w:rPr>
              <w:t>2033</w:t>
            </w:r>
          </w:p>
        </w:tc>
        <w:tc>
          <w:tcPr>
            <w:tcW w:w="0" w:type="dxa"/>
            <w:vAlign w:val="bottom"/>
          </w:tcPr>
          <w:p>
            <w:pPr>
              <w:spacing w:after="0"/>
              <w:rPr>
                <w:sz w:val="1"/>
                <w:szCs w:val="1"/>
                <w:color w:val="auto"/>
              </w:rPr>
            </w:pPr>
          </w:p>
        </w:tc>
      </w:tr>
      <w:tr>
        <w:trPr>
          <w:trHeight w:val="215"/>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CERC</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w w:val="93"/>
              </w:rPr>
              <w:t>May 2023</w:t>
            </w:r>
          </w:p>
        </w:tc>
        <w:tc>
          <w:tcPr>
            <w:tcW w:w="2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12"/>
                <w:szCs w:val="12"/>
                <w:color w:val="auto"/>
              </w:rPr>
              <w:t>(5)</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060" w:type="dxa"/>
            <w:vAlign w:val="bottom"/>
            <w:tcBorders>
              <w:bottom w:val="single" w:sz="8" w:color="CCEEFF"/>
            </w:tcBorders>
            <w:shd w:val="clear" w:color="auto" w:fill="CCEEFF"/>
          </w:tcPr>
          <w:p>
            <w:pPr>
              <w:jc w:val="center"/>
              <w:ind w:left="200"/>
              <w:spacing w:after="0"/>
              <w:rPr>
                <w:sz w:val="20"/>
                <w:szCs w:val="20"/>
                <w:color w:val="auto"/>
              </w:rPr>
            </w:pPr>
            <w:r>
              <w:rPr>
                <w:rFonts w:ascii="Arial" w:cs="Arial" w:eastAsia="Arial" w:hAnsi="Arial"/>
                <w:sz w:val="16"/>
                <w:szCs w:val="16"/>
                <w:color w:val="auto"/>
                <w:w w:val="92"/>
              </w:rPr>
              <w:t>5.25%</w:t>
            </w:r>
          </w:p>
        </w:tc>
        <w:tc>
          <w:tcPr>
            <w:tcW w:w="1320" w:type="dxa"/>
            <w:vAlign w:val="bottom"/>
            <w:tcBorders>
              <w:bottom w:val="single" w:sz="8" w:color="CCEEFF"/>
            </w:tcBorders>
            <w:shd w:val="clear" w:color="auto" w:fill="CCEEFF"/>
          </w:tcPr>
          <w:p>
            <w:pPr>
              <w:jc w:val="center"/>
              <w:ind w:left="200"/>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200"/>
              <w:spacing w:after="0"/>
              <w:rPr>
                <w:sz w:val="20"/>
                <w:szCs w:val="20"/>
                <w:color w:val="auto"/>
              </w:rPr>
            </w:pPr>
            <w:r>
              <w:rPr>
                <w:rFonts w:ascii="Arial" w:cs="Arial" w:eastAsia="Arial" w:hAnsi="Arial"/>
                <w:sz w:val="16"/>
                <w:szCs w:val="16"/>
                <w:b w:val="1"/>
                <w:bCs w:val="1"/>
                <w:color w:val="auto"/>
              </w:rPr>
              <w:t>Total CERC</w:t>
            </w: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2,000</w:t>
            </w: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CenterPoint Energy </w:t>
            </w:r>
            <w:r>
              <w:rPr>
                <w:rFonts w:ascii="Arial" w:cs="Arial" w:eastAsia="Arial" w:hAnsi="Arial"/>
                <w:sz w:val="12"/>
                <w:szCs w:val="12"/>
                <w:color w:val="auto"/>
              </w:rPr>
              <w:t>(6)</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March 2023</w:t>
            </w:r>
          </w:p>
        </w:tc>
        <w:tc>
          <w:tcPr>
            <w:tcW w:w="2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First Mortgage Bonds </w:t>
            </w:r>
            <w:r>
              <w:rPr>
                <w:rFonts w:ascii="Arial" w:cs="Arial" w:eastAsia="Arial" w:hAnsi="Arial"/>
                <w:sz w:val="12"/>
                <w:szCs w:val="12"/>
                <w:color w:val="auto"/>
              </w:rPr>
              <w:t>(7)</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4.98%</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Arial" w:cs="Arial" w:eastAsia="Arial" w:hAnsi="Arial"/>
                <w:sz w:val="16"/>
                <w:szCs w:val="16"/>
                <w:color w:val="auto"/>
              </w:rPr>
              <w:t xml:space="preserve">CenterPoint Energy </w:t>
            </w:r>
            <w:r>
              <w:rPr>
                <w:rFonts w:ascii="Arial" w:cs="Arial" w:eastAsia="Arial" w:hAnsi="Arial"/>
                <w:sz w:val="12"/>
                <w:szCs w:val="12"/>
                <w:color w:val="auto"/>
              </w:rPr>
              <w:t>(6)</w:t>
            </w:r>
          </w:p>
        </w:tc>
        <w:tc>
          <w:tcPr>
            <w:tcW w:w="100" w:type="dxa"/>
            <w:vAlign w:val="bottom"/>
          </w:tcPr>
          <w:p>
            <w:pPr>
              <w:spacing w:after="0"/>
              <w:rPr>
                <w:sz w:val="19"/>
                <w:szCs w:val="19"/>
                <w:color w:val="auto"/>
              </w:rPr>
            </w:pPr>
          </w:p>
        </w:tc>
        <w:tc>
          <w:tcPr>
            <w:tcW w:w="1440" w:type="dxa"/>
            <w:vAlign w:val="bottom"/>
          </w:tcPr>
          <w:p>
            <w:pPr>
              <w:jc w:val="center"/>
              <w:ind w:left="20"/>
              <w:spacing w:after="0"/>
              <w:rPr>
                <w:sz w:val="20"/>
                <w:szCs w:val="20"/>
                <w:color w:val="auto"/>
              </w:rPr>
            </w:pPr>
            <w:r>
              <w:rPr>
                <w:rFonts w:ascii="Arial" w:cs="Arial" w:eastAsia="Arial" w:hAnsi="Arial"/>
                <w:sz w:val="16"/>
                <w:szCs w:val="16"/>
                <w:color w:val="auto"/>
                <w:w w:val="92"/>
              </w:rPr>
              <w:t>March 2023</w:t>
            </w:r>
          </w:p>
        </w:tc>
        <w:tc>
          <w:tcPr>
            <w:tcW w:w="2680" w:type="dxa"/>
            <w:vAlign w:val="bottom"/>
          </w:tcPr>
          <w:p>
            <w:pPr>
              <w:ind w:left="200"/>
              <w:spacing w:after="0"/>
              <w:rPr>
                <w:sz w:val="20"/>
                <w:szCs w:val="20"/>
                <w:color w:val="auto"/>
              </w:rPr>
            </w:pPr>
            <w:r>
              <w:rPr>
                <w:rFonts w:ascii="Arial" w:cs="Arial" w:eastAsia="Arial" w:hAnsi="Arial"/>
                <w:sz w:val="16"/>
                <w:szCs w:val="16"/>
                <w:color w:val="auto"/>
              </w:rPr>
              <w:t xml:space="preserve">First Mortgage Bonds </w:t>
            </w:r>
            <w:r>
              <w:rPr>
                <w:rFonts w:ascii="Arial" w:cs="Arial" w:eastAsia="Arial" w:hAnsi="Arial"/>
                <w:sz w:val="12"/>
                <w:szCs w:val="12"/>
                <w:color w:val="auto"/>
              </w:rPr>
              <w:t>(7)</w:t>
            </w: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2060" w:type="dxa"/>
            <w:vAlign w:val="bottom"/>
          </w:tcPr>
          <w:p>
            <w:pPr>
              <w:jc w:val="center"/>
              <w:ind w:left="200"/>
              <w:spacing w:after="0"/>
              <w:rPr>
                <w:sz w:val="20"/>
                <w:szCs w:val="20"/>
                <w:color w:val="auto"/>
              </w:rPr>
            </w:pPr>
            <w:r>
              <w:rPr>
                <w:rFonts w:ascii="Arial" w:cs="Arial" w:eastAsia="Arial" w:hAnsi="Arial"/>
                <w:sz w:val="16"/>
                <w:szCs w:val="16"/>
                <w:color w:val="auto"/>
                <w:w w:val="92"/>
              </w:rPr>
              <w:t>5.04%</w:t>
            </w:r>
          </w:p>
        </w:tc>
        <w:tc>
          <w:tcPr>
            <w:tcW w:w="1320" w:type="dxa"/>
            <w:vAlign w:val="bottom"/>
          </w:tcPr>
          <w:p>
            <w:pPr>
              <w:jc w:val="center"/>
              <w:ind w:left="200"/>
              <w:spacing w:after="0"/>
              <w:rPr>
                <w:sz w:val="20"/>
                <w:szCs w:val="20"/>
                <w:color w:val="auto"/>
              </w:rPr>
            </w:pPr>
            <w:r>
              <w:rPr>
                <w:rFonts w:ascii="Arial" w:cs="Arial" w:eastAsia="Arial" w:hAnsi="Arial"/>
                <w:sz w:val="16"/>
                <w:szCs w:val="16"/>
                <w:color w:val="auto"/>
                <w:w w:val="89"/>
              </w:rPr>
              <w:t>2033</w:t>
            </w:r>
          </w:p>
        </w:tc>
        <w:tc>
          <w:tcPr>
            <w:tcW w:w="0" w:type="dxa"/>
            <w:vAlign w:val="bottom"/>
          </w:tcPr>
          <w:p>
            <w:pPr>
              <w:spacing w:after="0"/>
              <w:rPr>
                <w:sz w:val="1"/>
                <w:szCs w:val="1"/>
                <w:color w:val="auto"/>
              </w:rPr>
            </w:pPr>
          </w:p>
        </w:tc>
      </w:tr>
      <w:tr>
        <w:trPr>
          <w:trHeight w:val="215"/>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CenterPoint Energy</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March 2023</w:t>
            </w:r>
          </w:p>
        </w:tc>
        <w:tc>
          <w:tcPr>
            <w:tcW w:w="2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12"/>
                <w:szCs w:val="12"/>
                <w:color w:val="auto"/>
              </w:rPr>
              <w:t>(8)</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6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91"/>
              </w:rPr>
              <w:t xml:space="preserve">SOFR </w:t>
            </w:r>
            <w:r>
              <w:rPr>
                <w:rFonts w:ascii="Arial" w:cs="Arial" w:eastAsia="Arial" w:hAnsi="Arial"/>
                <w:sz w:val="12"/>
                <w:szCs w:val="12"/>
                <w:color w:val="auto"/>
                <w:w w:val="91"/>
              </w:rPr>
              <w:t>(3)</w:t>
            </w:r>
            <w:r>
              <w:rPr>
                <w:rFonts w:ascii="Arial" w:cs="Arial" w:eastAsia="Arial" w:hAnsi="Arial"/>
                <w:sz w:val="16"/>
                <w:szCs w:val="16"/>
                <w:color w:val="auto"/>
                <w:w w:val="91"/>
              </w:rPr>
              <w:t xml:space="preserve"> + 1.50%</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2023</w:t>
            </w:r>
          </w:p>
        </w:tc>
        <w:tc>
          <w:tcPr>
            <w:tcW w:w="0" w:type="dxa"/>
            <w:vAlign w:val="bottom"/>
          </w:tcPr>
          <w:p>
            <w:pPr>
              <w:spacing w:after="0"/>
              <w:rPr>
                <w:sz w:val="1"/>
                <w:szCs w:val="1"/>
                <w:color w:val="auto"/>
              </w:rPr>
            </w:pPr>
          </w:p>
        </w:tc>
      </w:tr>
      <w:tr>
        <w:trPr>
          <w:trHeight w:val="210"/>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CenterPoint Energy </w:t>
            </w:r>
            <w:r>
              <w:rPr>
                <w:rFonts w:ascii="Arial" w:cs="Arial" w:eastAsia="Arial" w:hAnsi="Arial"/>
                <w:sz w:val="12"/>
                <w:szCs w:val="12"/>
                <w:color w:val="auto"/>
              </w:rPr>
              <w:t>(9)</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center"/>
              <w:ind w:left="20"/>
              <w:spacing w:after="0"/>
              <w:rPr>
                <w:sz w:val="20"/>
                <w:szCs w:val="20"/>
                <w:color w:val="auto"/>
              </w:rPr>
            </w:pPr>
            <w:r>
              <w:rPr>
                <w:rFonts w:ascii="Arial" w:cs="Arial" w:eastAsia="Arial" w:hAnsi="Arial"/>
                <w:sz w:val="16"/>
                <w:szCs w:val="16"/>
                <w:color w:val="auto"/>
                <w:w w:val="88"/>
              </w:rPr>
              <w:t>June 2023</w:t>
            </w:r>
          </w:p>
        </w:tc>
        <w:tc>
          <w:tcPr>
            <w:tcW w:w="2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 xml:space="preserve">Securitization Bonds </w:t>
            </w:r>
            <w:r>
              <w:rPr>
                <w:rFonts w:ascii="Arial" w:cs="Arial" w:eastAsia="Arial" w:hAnsi="Arial"/>
                <w:sz w:val="12"/>
                <w:szCs w:val="12"/>
                <w:color w:val="auto"/>
              </w:rPr>
              <w:t>(10)</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2060" w:type="dxa"/>
            <w:vAlign w:val="bottom"/>
            <w:tcBorders>
              <w:bottom w:val="single" w:sz="8" w:color="CCEEFF"/>
            </w:tcBorders>
          </w:tcPr>
          <w:p>
            <w:pPr>
              <w:jc w:val="center"/>
              <w:ind w:left="180"/>
              <w:spacing w:after="0"/>
              <w:rPr>
                <w:sz w:val="20"/>
                <w:szCs w:val="20"/>
                <w:color w:val="auto"/>
              </w:rPr>
            </w:pPr>
            <w:r>
              <w:rPr>
                <w:rFonts w:ascii="Arial" w:cs="Arial" w:eastAsia="Arial" w:hAnsi="Arial"/>
                <w:sz w:val="16"/>
                <w:szCs w:val="16"/>
                <w:color w:val="auto"/>
                <w:w w:val="91"/>
              </w:rPr>
              <w:t>5.026% - 5.172%</w:t>
            </w:r>
          </w:p>
        </w:tc>
        <w:tc>
          <w:tcPr>
            <w:tcW w:w="1320" w:type="dxa"/>
            <w:vAlign w:val="bottom"/>
            <w:tcBorders>
              <w:bottom w:val="single" w:sz="8" w:color="CCEEFF"/>
            </w:tcBorders>
          </w:tcPr>
          <w:p>
            <w:pPr>
              <w:jc w:val="center"/>
              <w:ind w:left="180"/>
              <w:spacing w:after="0"/>
              <w:rPr>
                <w:sz w:val="20"/>
                <w:szCs w:val="20"/>
                <w:color w:val="auto"/>
              </w:rPr>
            </w:pPr>
            <w:r>
              <w:rPr>
                <w:rFonts w:ascii="Arial" w:cs="Arial" w:eastAsia="Arial" w:hAnsi="Arial"/>
                <w:sz w:val="16"/>
                <w:szCs w:val="16"/>
                <w:color w:val="auto"/>
                <w:w w:val="91"/>
              </w:rPr>
              <w:t>2038-2043</w:t>
            </w:r>
          </w:p>
        </w:tc>
        <w:tc>
          <w:tcPr>
            <w:tcW w:w="0" w:type="dxa"/>
            <w:vAlign w:val="bottom"/>
          </w:tcPr>
          <w:p>
            <w:pPr>
              <w:spacing w:after="0"/>
              <w:rPr>
                <w:sz w:val="1"/>
                <w:szCs w:val="1"/>
                <w:color w:val="auto"/>
              </w:rPr>
            </w:pPr>
          </w:p>
        </w:tc>
      </w:tr>
      <w:tr>
        <w:trPr>
          <w:trHeight w:val="233"/>
        </w:trPr>
        <w:tc>
          <w:tcPr>
            <w:tcW w:w="2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CenterPoint Energy</w:t>
            </w:r>
          </w:p>
        </w:tc>
        <w:tc>
          <w:tcPr>
            <w:tcW w:w="1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3,671</w:t>
            </w:r>
          </w:p>
        </w:tc>
        <w:tc>
          <w:tcPr>
            <w:tcW w:w="20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left="640" w:hanging="315"/>
        <w:spacing w:after="0" w:line="248"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proceeds from Houston Electric’s March 2023 issuances of general mortgage bonds, net of transaction expenses and fees, were approximately $890 million. Approximately $593 million of such proceeds were used for general limited liability company purposes, including capital expenditures, working capital and the repayment of all or a portion of Houston Electric’s borrowings under the CenterPoint Energy money pool, and approximately $296 million of such proceeds will be disbursed or allocated to finance or refinance, in part or in full, new or existing projects that meet stated criteria.</w:t>
      </w:r>
    </w:p>
    <w:p>
      <w:pPr>
        <w:spacing w:after="0" w:line="4"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proceeds, net of transaction expenses and fees, of approximately $500 million were used for general corporate purposes, including the repayment of CERC’s outstanding commercial paper balances.</w:t>
      </w: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defined in the term loan agreement, which includes an adjustment of 0.10% per annum.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640" w:hanging="315"/>
        <w:spacing w:after="0" w:line="300" w:lineRule="auto"/>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Total proceeds from CERC’s February 2023 issuances of senior notes, net of transaction expenses and fees, of approximately $1.2 billion were used for general corporate purposes, including the repayment of (i) all or a portion of CERC’s outstanding 0.700% senior notes due 2023, (ii) all or a portion of CERC’s outstanding floating rate senior notes due 2023 and (iii) a portion of CERC’s outstanding commercial paper balances.</w:t>
      </w:r>
    </w:p>
    <w:p>
      <w:pPr>
        <w:spacing w:after="0" w:line="1" w:lineRule="exact"/>
        <w:rPr>
          <w:rFonts w:ascii="Arial" w:cs="Arial" w:eastAsia="Arial" w:hAnsi="Arial"/>
          <w:sz w:val="15"/>
          <w:szCs w:val="15"/>
          <w:color w:val="auto"/>
        </w:rPr>
      </w:pPr>
    </w:p>
    <w:p>
      <w:pPr>
        <w:jc w:val="both"/>
        <w:ind w:left="640" w:hanging="315"/>
        <w:spacing w:after="0" w:line="246"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proceeds, net of issuance premiums, transaction expenses and fees, of approximately $308 million, which includes approximately $3 million of accrued interest, were used for general corporate purposes, including repayment of all or a portion of CERC’s outstanding $500 million term loan due February 2024.</w:t>
      </w: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by SIGECO.</w:t>
      </w:r>
    </w:p>
    <w:p>
      <w:pPr>
        <w:spacing w:after="0" w:line="5" w:lineRule="exact"/>
        <w:rPr>
          <w:rFonts w:ascii="Arial" w:cs="Arial" w:eastAsia="Arial" w:hAnsi="Arial"/>
          <w:sz w:val="18"/>
          <w:szCs w:val="18"/>
          <w:color w:val="auto"/>
        </w:rPr>
      </w:pPr>
    </w:p>
    <w:p>
      <w:pPr>
        <w:ind w:left="640" w:hanging="315"/>
        <w:spacing w:after="0" w:line="254"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Total proceeds from SIGECO’s March 2023 issuances of first mortgage bonds, net of transaction expenses and fees, of approximately $179 million were used for general corporate purposes, including repaying short-term debt and refunding long-term debt at maturity or otherwise.</w:t>
      </w:r>
    </w:p>
    <w:p>
      <w:pPr>
        <w:jc w:val="both"/>
        <w:ind w:left="640" w:hanging="315"/>
        <w:spacing w:after="0" w:line="248"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Total proceeds, net of transaction expenses and fees, of approximately $250 million were used for general corporate purposes, including the repayment of CenterPoint Energy’s outstanding commercial paper balances. The full outstanding amount of the term loan, including accrued and unpaid interest, was repaid in March 2023 and, following the repayment, the term loan agreement was terminated.</w:t>
      </w:r>
    </w:p>
    <w:p>
      <w:pPr>
        <w:spacing w:after="0" w:line="4" w:lineRule="exact"/>
        <w:rPr>
          <w:rFonts w:ascii="Arial" w:cs="Arial" w:eastAsia="Arial" w:hAnsi="Arial"/>
          <w:sz w:val="17"/>
          <w:szCs w:val="17"/>
          <w:color w:val="auto"/>
        </w:rPr>
      </w:pPr>
    </w:p>
    <w:p>
      <w:pPr>
        <w:jc w:val="both"/>
        <w:ind w:left="640" w:hanging="315"/>
        <w:spacing w:after="0" w:line="232" w:lineRule="auto"/>
        <w:tabs>
          <w:tab w:leader="none" w:pos="640" w:val="left"/>
        </w:tabs>
        <w:numPr>
          <w:ilvl w:val="0"/>
          <w:numId w:val="20"/>
        </w:numPr>
        <w:rPr>
          <w:rFonts w:ascii="Arial" w:cs="Arial" w:eastAsia="Arial" w:hAnsi="Arial"/>
          <w:sz w:val="19"/>
          <w:szCs w:val="19"/>
          <w:color w:val="auto"/>
        </w:rPr>
      </w:pPr>
      <w:r>
        <w:rPr>
          <w:rFonts w:ascii="Arial" w:cs="Arial" w:eastAsia="Arial" w:hAnsi="Arial"/>
          <w:sz w:val="18"/>
          <w:szCs w:val="18"/>
          <w:color w:val="auto"/>
        </w:rPr>
        <w:t>Issued by the Securitization Subsidiary. Scheduled final payment dates are November 15, 2036 and May 15, 2041. The SIGECO Securitization Bonds will be repaid over time through a securitization charge imposed on retail electric customers in SIGECO’s service territory. See Notes 1 and 6 for further details.</w:t>
      </w:r>
    </w:p>
    <w:p>
      <w:pPr>
        <w:jc w:val="both"/>
        <w:ind w:left="640" w:hanging="315"/>
        <w:spacing w:after="0" w:line="244"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Total proceeds from the Securitization Subsidiary’s June 2023 issuance of SIGECO Securitization Bonds, net of transaction expenses and fees, of approximately $337 million were used to pay SIGECO the purchase price of the securitization property. SIGECO will use the net proceeds from the sale of the securitization property (after payment of upfront financing costs) to reimburse or pay for qualified costs approved by the IURC related to the planned retirement of its A.B. Brown 1 and 2 coal-powered generation units.</w:t>
      </w:r>
    </w:p>
    <w:p>
      <w:pPr>
        <w:spacing w:after="0" w:line="21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7"/>
          <w:szCs w:val="17"/>
          <w:color w:val="auto"/>
        </w:rPr>
        <w:t>In April 2023, SIGECO executed a remarketing agreement, subject to standard conditions precedent, to remarket five series of tax-exempt debt issued by the Indiana Finance Authority, and secured by SIGECO first mortgage bonds, of approximately $148 million, comprised of: (i) $107 million aggregate principal amount of Environmental Improvement Refunding Revenue Bonds, Series 2013, originally issued by the Indiana Finance Authority on April 26, 2013, and (ii) $41 million aggregate principal amount of Environmental Improvement Refunding Revenue Bonds, Series 2014, originally issued by the Indiana Finance Authority on September 24, 2014, which closed on May 1, 2023. SIGECO expects to remarket an additional $38 million of tax-exempt debt at then market rates due to mandatory purchase or mandatory tender for purchase provisions by the end of 2023.</w:t>
      </w:r>
    </w:p>
    <w:p>
      <w:pPr>
        <w:spacing w:after="0" w:line="221"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7"/>
          <w:szCs w:val="17"/>
          <w:i w:val="1"/>
          <w:iCs w:val="1"/>
          <w:color w:val="auto"/>
        </w:rPr>
        <w:t xml:space="preserve">Debt Repayments and Redemptions. </w:t>
      </w:r>
      <w:r>
        <w:rPr>
          <w:rFonts w:ascii="Arial" w:cs="Arial" w:eastAsia="Arial" w:hAnsi="Arial"/>
          <w:sz w:val="17"/>
          <w:szCs w:val="17"/>
          <w:color w:val="auto"/>
        </w:rPr>
        <w:t>During the six months ended June 30, 2023, the following debt instruments were repaid at maturity or redeemed</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maturity with proceeds received from the Texas securitization discussed further in Note 6 or through the issuance of new debt: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Repayment/Redemption</w:t>
            </w: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159"/>
        </w:trPr>
        <w:tc>
          <w:tcPr>
            <w:tcW w:w="200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Registrant</w:t>
            </w: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Debt Instrument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5"/>
              <w:spacing w:after="0" w:line="159" w:lineRule="exact"/>
              <w:rPr>
                <w:sz w:val="20"/>
                <w:szCs w:val="20"/>
                <w:color w:val="auto"/>
              </w:rPr>
            </w:pPr>
            <w:r>
              <w:rPr>
                <w:rFonts w:ascii="Arial" w:cs="Arial" w:eastAsia="Arial" w:hAnsi="Arial"/>
                <w:sz w:val="16"/>
                <w:szCs w:val="16"/>
                <w:b w:val="1"/>
                <w:bCs w:val="1"/>
                <w:color w:val="auto"/>
                <w:w w:val="91"/>
              </w:rPr>
              <w:t>Principal</w:t>
            </w:r>
          </w:p>
        </w:tc>
        <w:tc>
          <w:tcPr>
            <w:tcW w:w="1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Interest Rate</w:t>
            </w: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00" w:type="dxa"/>
            <w:vAlign w:val="bottom"/>
          </w:tcPr>
          <w:p>
            <w:pPr>
              <w:spacing w:after="0"/>
              <w:rPr>
                <w:sz w:val="18"/>
                <w:szCs w:val="18"/>
                <w:color w:val="auto"/>
              </w:rPr>
            </w:pPr>
          </w:p>
        </w:tc>
        <w:tc>
          <w:tcPr>
            <w:tcW w:w="3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2023</w:t>
            </w:r>
          </w:p>
        </w:tc>
        <w:tc>
          <w:tcPr>
            <w:tcW w:w="100" w:type="dxa"/>
            <w:vAlign w:val="bottom"/>
            <w:shd w:val="clear" w:color="auto" w:fill="CCEEFF"/>
          </w:tcPr>
          <w:p>
            <w:pPr>
              <w:spacing w:after="0"/>
              <w:rPr>
                <w:sz w:val="20"/>
                <w:szCs w:val="2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4"/>
                <w:szCs w:val="14"/>
                <w:color w:val="auto"/>
              </w:rPr>
              <w:t>(3)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xml:space="preserve">SOFR </w:t>
            </w:r>
            <w:r>
              <w:rPr>
                <w:rFonts w:ascii="Arial" w:cs="Arial" w:eastAsia="Arial" w:hAnsi="Arial"/>
                <w:sz w:val="14"/>
                <w:szCs w:val="14"/>
                <w:color w:val="auto"/>
                <w:w w:val="90"/>
              </w:rPr>
              <w:t>(2) + 0.70%</w:t>
            </w:r>
          </w:p>
        </w:tc>
        <w:tc>
          <w:tcPr>
            <w:tcW w:w="10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25"/>
        </w:trPr>
        <w:tc>
          <w:tcPr>
            <w:tcW w:w="2000" w:type="dxa"/>
            <w:vAlign w:val="bottom"/>
          </w:tcPr>
          <w:p>
            <w:pPr>
              <w:ind w:left="20"/>
              <w:spacing w:after="0"/>
              <w:rPr>
                <w:sz w:val="20"/>
                <w:szCs w:val="20"/>
                <w:color w:val="auto"/>
              </w:rPr>
            </w:pPr>
            <w:r>
              <w:rPr>
                <w:rFonts w:ascii="Arial" w:cs="Arial" w:eastAsia="Arial" w:hAnsi="Arial"/>
                <w:sz w:val="18"/>
                <w:szCs w:val="18"/>
                <w:color w:val="auto"/>
              </w:rPr>
              <w:t>CERC</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March 2023</w:t>
            </w:r>
          </w:p>
        </w:tc>
        <w:tc>
          <w:tcPr>
            <w:tcW w:w="1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198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0.70%</w:t>
            </w:r>
          </w:p>
        </w:tc>
        <w:tc>
          <w:tcPr>
            <w:tcW w:w="108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91"/>
              </w:rPr>
              <w:t>Three-month LIBOR plus</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2023</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Rate Senior Notes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9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7"/>
              </w:rPr>
              <w:t>0.5%</w:t>
            </w:r>
          </w:p>
        </w:tc>
        <w:tc>
          <w:tcPr>
            <w:tcW w:w="10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Arial" w:cs="Arial" w:eastAsia="Arial" w:hAnsi="Arial"/>
                <w:sz w:val="18"/>
                <w:szCs w:val="18"/>
                <w:color w:val="auto"/>
              </w:rPr>
              <w:t>CERC</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2023</w:t>
            </w:r>
          </w:p>
        </w:tc>
        <w:tc>
          <w:tcPr>
            <w:tcW w:w="1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4"/>
                <w:szCs w:val="14"/>
                <w:color w:val="auto"/>
              </w:rPr>
              <w:t>(4)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 xml:space="preserve">SOFR </w:t>
            </w:r>
            <w:r>
              <w:rPr>
                <w:rFonts w:ascii="Arial" w:cs="Arial" w:eastAsia="Arial" w:hAnsi="Arial"/>
                <w:sz w:val="12"/>
                <w:szCs w:val="12"/>
                <w:color w:val="auto"/>
                <w:w w:val="91"/>
              </w:rPr>
              <w:t>(2)</w:t>
            </w:r>
            <w:r>
              <w:rPr>
                <w:rFonts w:ascii="Arial" w:cs="Arial" w:eastAsia="Arial" w:hAnsi="Arial"/>
                <w:sz w:val="16"/>
                <w:szCs w:val="16"/>
                <w:color w:val="auto"/>
                <w:w w:val="91"/>
              </w:rPr>
              <w:t xml:space="preserve"> + 0.85%</w:t>
            </w:r>
          </w:p>
        </w:tc>
        <w:tc>
          <w:tcPr>
            <w:tcW w:w="108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19"/>
        </w:trPr>
        <w:tc>
          <w:tcPr>
            <w:tcW w:w="2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CERC</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0" w:type="dxa"/>
            <w:vAlign w:val="bottom"/>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0"/>
                <w:szCs w:val="10"/>
                <w:color w:val="auto"/>
              </w:rPr>
              <w:t>(1)</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January 2023</w:t>
            </w:r>
          </w:p>
        </w:tc>
        <w:tc>
          <w:tcPr>
            <w:tcW w:w="1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First Mortgage Bonds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98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4.00%</w:t>
            </w:r>
          </w:p>
        </w:tc>
        <w:tc>
          <w:tcPr>
            <w:tcW w:w="108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2044</w:t>
            </w:r>
          </w:p>
        </w:tc>
        <w:tc>
          <w:tcPr>
            <w:tcW w:w="0" w:type="dxa"/>
            <w:vAlign w:val="bottom"/>
          </w:tcPr>
          <w:p>
            <w:pPr>
              <w:spacing w:after="0"/>
              <w:rPr>
                <w:sz w:val="1"/>
                <w:szCs w:val="1"/>
                <w:color w:val="auto"/>
              </w:rPr>
            </w:pPr>
          </w:p>
        </w:tc>
      </w:tr>
      <w:tr>
        <w:trPr>
          <w:trHeight w:val="232"/>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2023</w:t>
            </w:r>
          </w:p>
        </w:tc>
        <w:tc>
          <w:tcPr>
            <w:tcW w:w="100" w:type="dxa"/>
            <w:vAlign w:val="bottom"/>
            <w:shd w:val="clear" w:color="auto" w:fill="CCEEFF"/>
          </w:tcPr>
          <w:p>
            <w:pPr>
              <w:spacing w:after="0"/>
              <w:rPr>
                <w:sz w:val="20"/>
                <w:szCs w:val="2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4"/>
                <w:szCs w:val="14"/>
                <w:color w:val="auto"/>
              </w:rPr>
              <w:t>(3)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 xml:space="preserve">SOFR </w:t>
            </w:r>
            <w:r>
              <w:rPr>
                <w:rFonts w:ascii="Arial" w:cs="Arial" w:eastAsia="Arial" w:hAnsi="Arial"/>
                <w:sz w:val="12"/>
                <w:szCs w:val="12"/>
                <w:color w:val="auto"/>
                <w:w w:val="91"/>
              </w:rPr>
              <w:t>(2)</w:t>
            </w:r>
            <w:r>
              <w:rPr>
                <w:rFonts w:ascii="Arial" w:cs="Arial" w:eastAsia="Arial" w:hAnsi="Arial"/>
                <w:sz w:val="16"/>
                <w:szCs w:val="16"/>
                <w:color w:val="auto"/>
                <w:w w:val="91"/>
              </w:rPr>
              <w:t xml:space="preserve"> + 1.50%</w:t>
            </w:r>
          </w:p>
        </w:tc>
        <w:tc>
          <w:tcPr>
            <w:tcW w:w="10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6"/>
                <w:szCs w:val="16"/>
                <w:b w:val="1"/>
                <w:bCs w:val="1"/>
                <w:color w:val="auto"/>
              </w:rPr>
              <w:t>Total CenterPoint Energy</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left="640" w:hanging="315"/>
        <w:spacing w:after="0" w:line="265" w:lineRule="auto"/>
        <w:tabs>
          <w:tab w:leader="none" w:pos="784"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December 16, 2022, SIGECO provided notice of redemption and on January 17, 2023, SIGECO redeemed $11 million aggregate principal amount of SIGECO’s outstanding first mortgage bonds due 2044 at a redemption price equal to 100% of the principal amount of the first mortgage bonds to be redeemed plus accrued and unpaid interest thereon, if any, to, but excluding, the redemption date.</w:t>
      </w:r>
    </w:p>
    <w:p>
      <w:pPr>
        <w:spacing w:after="0" w:line="1" w:lineRule="exact"/>
        <w:rPr>
          <w:rFonts w:ascii="Arial" w:cs="Arial" w:eastAsia="Arial" w:hAnsi="Arial"/>
          <w:sz w:val="17"/>
          <w:szCs w:val="17"/>
          <w:color w:val="auto"/>
        </w:rPr>
      </w:pPr>
    </w:p>
    <w:p>
      <w:pPr>
        <w:ind w:left="700" w:hanging="375"/>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defined in the term loan agreement, which includes an adjustment of 0.10% per annum.</w:t>
      </w:r>
    </w:p>
    <w:p>
      <w:pPr>
        <w:spacing w:after="0" w:line="5" w:lineRule="exact"/>
        <w:rPr>
          <w:rFonts w:ascii="Arial" w:cs="Arial" w:eastAsia="Arial" w:hAnsi="Arial"/>
          <w:sz w:val="18"/>
          <w:szCs w:val="18"/>
          <w:color w:val="auto"/>
        </w:rPr>
      </w:pPr>
    </w:p>
    <w:p>
      <w:pPr>
        <w:ind w:left="640" w:hanging="315"/>
        <w:spacing w:after="0" w:line="252" w:lineRule="auto"/>
        <w:tabs>
          <w:tab w:leader="none" w:pos="5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full outstanding amount of the term loan, including accrued and unpaid interest, was repaid in March 2023 and, following the repayment, the term loan agreement was terminated.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left="640" w:hanging="315"/>
        <w:spacing w:after="0" w:line="265" w:lineRule="auto"/>
        <w:tabs>
          <w:tab w:leader="none" w:pos="5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full outstanding amount of the term loan, including accrued and unpaid interest, was repaid in May 2023 and, following the repayment, the term loan agreement was terminated.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The Registrants had the following revolving credit facilities as of June 30,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Debt for</w:t>
            </w: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4"/>
              </w:rPr>
              <w:t>Covenant Limit</w:t>
            </w:r>
          </w:p>
        </w:tc>
        <w:tc>
          <w:tcPr>
            <w:tcW w:w="360" w:type="dxa"/>
            <w:vAlign w:val="bottom"/>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4"/>
              </w:rPr>
              <w:t>Borrowed</w:t>
            </w: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3"/>
              </w:rPr>
              <w:t>on Debt for</w:t>
            </w:r>
          </w:p>
        </w:tc>
        <w:tc>
          <w:tcPr>
            <w:tcW w:w="36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4"/>
              </w:rPr>
              <w:t>Money to</w:t>
            </w: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Execution</w:t>
            </w: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84"/>
              </w:rPr>
              <w:t>Size of</w:t>
            </w: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Draw Rate of</w:t>
            </w:r>
          </w:p>
        </w:tc>
        <w:tc>
          <w:tcPr>
            <w:tcW w:w="10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Borrowed</w:t>
            </w:r>
          </w:p>
        </w:tc>
        <w:tc>
          <w:tcPr>
            <w:tcW w:w="36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1"/>
              </w:rPr>
              <w:t>Money to</w:t>
            </w:r>
          </w:p>
        </w:tc>
        <w:tc>
          <w:tcPr>
            <w:tcW w:w="360" w:type="dxa"/>
            <w:vAlign w:val="bottom"/>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Ratio as of</w:t>
            </w:r>
          </w:p>
        </w:tc>
        <w:tc>
          <w:tcPr>
            <w:tcW w:w="120" w:type="dxa"/>
            <w:vAlign w:val="bottom"/>
          </w:tcPr>
          <w:p>
            <w:pPr>
              <w:spacing w:after="0"/>
              <w:rPr>
                <w:sz w:val="11"/>
                <w:szCs w:val="11"/>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84"/>
        </w:trPr>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SOFR plus </w:t>
            </w:r>
            <w:r>
              <w:rPr>
                <w:rFonts w:ascii="Arial" w:cs="Arial" w:eastAsia="Arial" w:hAnsi="Arial"/>
                <w:sz w:val="10"/>
                <w:szCs w:val="10"/>
                <w:b w:val="1"/>
                <w:bCs w:val="1"/>
                <w:color w:val="auto"/>
                <w:w w:val="93"/>
              </w:rPr>
              <w:t>(1)</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3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June 30, 2023 </w:t>
            </w:r>
            <w:r>
              <w:rPr>
                <w:rFonts w:ascii="Arial" w:cs="Arial" w:eastAsia="Arial" w:hAnsi="Arial"/>
                <w:sz w:val="10"/>
                <w:szCs w:val="10"/>
                <w:b w:val="1"/>
                <w:bCs w:val="1"/>
                <w:color w:val="auto"/>
                <w:w w:val="91"/>
              </w:rPr>
              <w:t>(2)</w:t>
            </w:r>
          </w:p>
        </w:tc>
        <w:tc>
          <w:tcPr>
            <w:tcW w:w="12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6, 2022</w:t>
            </w:r>
          </w:p>
        </w:tc>
        <w:tc>
          <w:tcPr>
            <w:tcW w:w="120" w:type="dxa"/>
            <w:vAlign w:val="bottom"/>
            <w:shd w:val="clear" w:color="auto" w:fill="CCEEFF"/>
          </w:tcPr>
          <w:p>
            <w:pPr>
              <w:spacing w:after="0"/>
              <w:rPr>
                <w:sz w:val="20"/>
                <w:szCs w:val="20"/>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16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1"/>
              </w:rPr>
              <w:t>1.500%</w:t>
            </w:r>
          </w:p>
        </w:tc>
        <w:tc>
          <w:tcPr>
            <w:tcW w:w="116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0"/>
              </w:rPr>
              <w:t>65.0%</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60.8%</w:t>
            </w: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25"/>
        </w:trPr>
        <w:tc>
          <w:tcPr>
            <w:tcW w:w="1780" w:type="dxa"/>
            <w:vAlign w:val="bottom"/>
          </w:tcPr>
          <w:p>
            <w:pPr>
              <w:jc w:val="center"/>
              <w:spacing w:after="0"/>
              <w:rPr>
                <w:sz w:val="20"/>
                <w:szCs w:val="20"/>
                <w:color w:val="auto"/>
              </w:rPr>
            </w:pPr>
            <w:r>
              <w:rPr>
                <w:rFonts w:ascii="Arial" w:cs="Arial" w:eastAsia="Arial" w:hAnsi="Arial"/>
                <w:sz w:val="18"/>
                <w:szCs w:val="18"/>
                <w:color w:val="auto"/>
                <w:w w:val="87"/>
              </w:rPr>
              <w:t>December 6, 2022</w:t>
            </w:r>
          </w:p>
        </w:tc>
        <w:tc>
          <w:tcPr>
            <w:tcW w:w="12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91"/>
              </w:rPr>
              <w:t>1.125%</w:t>
            </w:r>
          </w:p>
        </w:tc>
        <w:tc>
          <w:tcPr>
            <w:tcW w:w="116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65.0%</w:t>
            </w:r>
          </w:p>
        </w:tc>
        <w:tc>
          <w:tcPr>
            <w:tcW w:w="3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47.1%</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40"/>
        </w:trPr>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6, 2022</w:t>
            </w:r>
          </w:p>
        </w:tc>
        <w:tc>
          <w:tcPr>
            <w:tcW w:w="120" w:type="dxa"/>
            <w:vAlign w:val="bottom"/>
            <w:shd w:val="clear" w:color="auto" w:fill="CCEEFF"/>
          </w:tcPr>
          <w:p>
            <w:pPr>
              <w:spacing w:after="0"/>
              <w:rPr>
                <w:sz w:val="20"/>
                <w:szCs w:val="20"/>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1"/>
              </w:rPr>
              <w:t>1.250%</w:t>
            </w:r>
          </w:p>
        </w:tc>
        <w:tc>
          <w:tcPr>
            <w:tcW w:w="116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0"/>
              </w:rPr>
              <w:t>67.5%</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52.6%</w:t>
            </w: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25"/>
        </w:trPr>
        <w:tc>
          <w:tcPr>
            <w:tcW w:w="1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December 6, 2022</w:t>
            </w:r>
          </w:p>
        </w:tc>
        <w:tc>
          <w:tcPr>
            <w:tcW w:w="1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CERC</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160" w:type="dxa"/>
            <w:vAlign w:val="bottom"/>
            <w:tcBorders>
              <w:bottom w:val="single" w:sz="8" w:color="CCEEFF"/>
            </w:tcBorders>
            <w:gridSpan w:val="2"/>
          </w:tcPr>
          <w:p>
            <w:pPr>
              <w:jc w:val="center"/>
              <w:ind w:left="31"/>
              <w:spacing w:after="0"/>
              <w:rPr>
                <w:sz w:val="20"/>
                <w:szCs w:val="20"/>
                <w:color w:val="auto"/>
              </w:rPr>
            </w:pPr>
            <w:r>
              <w:rPr>
                <w:rFonts w:ascii="Arial" w:cs="Arial" w:eastAsia="Arial" w:hAnsi="Arial"/>
                <w:sz w:val="18"/>
                <w:szCs w:val="18"/>
                <w:color w:val="auto"/>
                <w:w w:val="91"/>
              </w:rPr>
              <w:t>1.125%</w:t>
            </w:r>
          </w:p>
        </w:tc>
        <w:tc>
          <w:tcPr>
            <w:tcW w:w="1160" w:type="dxa"/>
            <w:vAlign w:val="bottom"/>
            <w:tcBorders>
              <w:bottom w:val="single" w:sz="8" w:color="CCEEFF"/>
            </w:tcBorders>
            <w:gridSpan w:val="2"/>
          </w:tcPr>
          <w:p>
            <w:pPr>
              <w:jc w:val="center"/>
              <w:ind w:left="11"/>
              <w:spacing w:after="0"/>
              <w:rPr>
                <w:sz w:val="20"/>
                <w:szCs w:val="20"/>
                <w:color w:val="auto"/>
              </w:rPr>
            </w:pPr>
            <w:r>
              <w:rPr>
                <w:rFonts w:ascii="Arial" w:cs="Arial" w:eastAsia="Arial" w:hAnsi="Arial"/>
                <w:sz w:val="18"/>
                <w:szCs w:val="18"/>
                <w:color w:val="auto"/>
                <w:w w:val="90"/>
              </w:rPr>
              <w:t>65.0%</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42.2%</w:t>
            </w:r>
          </w:p>
        </w:tc>
        <w:tc>
          <w:tcPr>
            <w:tcW w:w="12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40"/>
        </w:trPr>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credit facility was issued by SIGECO.</w:t>
      </w:r>
    </w:p>
    <w:p>
      <w:pPr>
        <w:spacing w:after="0" w:line="233"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June 30, 2023.</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June 30, 2023</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Letters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2"/>
              </w:rPr>
              <w:t>Commercial</w:t>
            </w:r>
          </w:p>
        </w:tc>
        <w:tc>
          <w:tcPr>
            <w:tcW w:w="1180" w:type="dxa"/>
            <w:vAlign w:val="bottom"/>
          </w:tcPr>
          <w:p>
            <w:pPr>
              <w:jc w:val="center"/>
              <w:ind w:left="39"/>
              <w:spacing w:after="0" w:line="136"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Letters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2"/>
              </w:rPr>
              <w:t>Commercial</w:t>
            </w:r>
          </w:p>
        </w:tc>
        <w:tc>
          <w:tcPr>
            <w:tcW w:w="1180" w:type="dxa"/>
            <w:vAlign w:val="bottom"/>
          </w:tcPr>
          <w:p>
            <w:pPr>
              <w:jc w:val="center"/>
              <w:ind w:left="39"/>
              <w:spacing w:after="0" w:line="136"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6"/>
        </w:trPr>
        <w:tc>
          <w:tcPr>
            <w:tcW w:w="23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Registrant</w:t>
            </w:r>
          </w:p>
        </w:tc>
        <w:tc>
          <w:tcPr>
            <w:tcW w:w="200" w:type="dxa"/>
            <w:vAlign w:val="bottom"/>
          </w:tcPr>
          <w:p>
            <w:pPr>
              <w:spacing w:after="0"/>
              <w:rPr>
                <w:sz w:val="12"/>
                <w:szCs w:val="12"/>
                <w:color w:val="auto"/>
              </w:rPr>
            </w:pPr>
          </w:p>
        </w:tc>
        <w:tc>
          <w:tcPr>
            <w:tcW w:w="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180" w:type="dxa"/>
            <w:vAlign w:val="bottom"/>
          </w:tcPr>
          <w:p>
            <w:pPr>
              <w:jc w:val="center"/>
              <w:ind w:left="19"/>
              <w:spacing w:after="0" w:line="146" w:lineRule="exact"/>
              <w:rPr>
                <w:sz w:val="20"/>
                <w:szCs w:val="20"/>
                <w:color w:val="auto"/>
              </w:rPr>
            </w:pPr>
            <w:r>
              <w:rPr>
                <w:rFonts w:ascii="Arial" w:cs="Arial" w:eastAsia="Arial" w:hAnsi="Arial"/>
                <w:sz w:val="14"/>
                <w:szCs w:val="14"/>
                <w:b w:val="1"/>
                <w:bCs w:val="1"/>
                <w:color w:val="auto"/>
                <w:w w:val="91"/>
              </w:rPr>
              <w:t>Average Interest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180" w:type="dxa"/>
            <w:vAlign w:val="bottom"/>
          </w:tcPr>
          <w:p>
            <w:pPr>
              <w:jc w:val="center"/>
              <w:ind w:left="19"/>
              <w:spacing w:after="0" w:line="146" w:lineRule="exact"/>
              <w:rPr>
                <w:sz w:val="20"/>
                <w:szCs w:val="20"/>
                <w:color w:val="auto"/>
              </w:rPr>
            </w:pPr>
            <w:r>
              <w:rPr>
                <w:rFonts w:ascii="Arial" w:cs="Arial" w:eastAsia="Arial" w:hAnsi="Arial"/>
                <w:sz w:val="14"/>
                <w:szCs w:val="14"/>
                <w:b w:val="1"/>
                <w:bCs w:val="1"/>
                <w:color w:val="auto"/>
                <w:w w:val="91"/>
              </w:rPr>
              <w:t>Average Interest</w:t>
            </w:r>
          </w:p>
        </w:tc>
        <w:tc>
          <w:tcPr>
            <w:tcW w:w="0" w:type="dxa"/>
            <w:vAlign w:val="bottom"/>
          </w:tcPr>
          <w:p>
            <w:pPr>
              <w:spacing w:after="0"/>
              <w:rPr>
                <w:sz w:val="1"/>
                <w:szCs w:val="1"/>
                <w:color w:val="auto"/>
              </w:rPr>
            </w:pPr>
          </w:p>
        </w:tc>
      </w:tr>
      <w:tr>
        <w:trPr>
          <w:trHeight w:val="190"/>
        </w:trPr>
        <w:tc>
          <w:tcPr>
            <w:tcW w:w="2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18"/>
              <w:spacing w:after="0"/>
              <w:rPr>
                <w:sz w:val="20"/>
                <w:szCs w:val="20"/>
                <w:color w:val="auto"/>
              </w:rPr>
            </w:pPr>
            <w:r>
              <w:rPr>
                <w:rFonts w:ascii="Arial" w:cs="Arial" w:eastAsia="Arial" w:hAnsi="Arial"/>
                <w:sz w:val="14"/>
                <w:szCs w:val="14"/>
                <w:b w:val="1"/>
                <w:bCs w:val="1"/>
                <w:color w:val="auto"/>
              </w:rPr>
              <w:t>of Credit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(2)</w:t>
            </w:r>
          </w:p>
        </w:tc>
        <w:tc>
          <w:tcPr>
            <w:tcW w:w="1180" w:type="dxa"/>
            <w:vAlign w:val="bottom"/>
          </w:tcPr>
          <w:p>
            <w:pPr>
              <w:jc w:val="center"/>
              <w:ind w:left="19"/>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18"/>
              <w:spacing w:after="0"/>
              <w:rPr>
                <w:sz w:val="20"/>
                <w:szCs w:val="20"/>
                <w:color w:val="auto"/>
              </w:rPr>
            </w:pPr>
            <w:r>
              <w:rPr>
                <w:rFonts w:ascii="Arial" w:cs="Arial" w:eastAsia="Arial" w:hAnsi="Arial"/>
                <w:sz w:val="14"/>
                <w:szCs w:val="14"/>
                <w:b w:val="1"/>
                <w:bCs w:val="1"/>
                <w:color w:val="auto"/>
              </w:rPr>
              <w:t>of Credit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(2)</w:t>
            </w:r>
          </w:p>
        </w:tc>
        <w:tc>
          <w:tcPr>
            <w:tcW w:w="1180" w:type="dxa"/>
            <w:vAlign w:val="bottom"/>
          </w:tcPr>
          <w:p>
            <w:pPr>
              <w:jc w:val="center"/>
              <w:ind w:left="19"/>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91"/>
        </w:trPr>
        <w:tc>
          <w:tcPr>
            <w:tcW w:w="2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gridSpan w:val="8"/>
          </w:tcPr>
          <w:p>
            <w:pPr>
              <w:jc w:val="right"/>
              <w:ind w:right="438"/>
              <w:spacing w:after="0"/>
              <w:rPr>
                <w:sz w:val="20"/>
                <w:szCs w:val="20"/>
                <w:color w:val="auto"/>
              </w:rPr>
            </w:pPr>
            <w:r>
              <w:rPr>
                <w:rFonts w:ascii="Arial" w:cs="Arial" w:eastAsia="Arial" w:hAnsi="Arial"/>
                <w:sz w:val="14"/>
                <w:szCs w:val="14"/>
                <w:b w:val="1"/>
                <w:bCs w:val="1"/>
                <w:color w:val="auto"/>
              </w:rPr>
              <w:t>(in millions, except weighted average interest rate)</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5.46 %</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32"/>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w:t>
            </w:r>
          </w:p>
        </w:tc>
        <w:tc>
          <w:tcPr>
            <w:tcW w:w="2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6"/>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CERC</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180" w:type="dxa"/>
            <w:vAlign w:val="bottom"/>
          </w:tcPr>
          <w:p>
            <w:pPr>
              <w:jc w:val="right"/>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52"/>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credit facility was issued by SIGECO.</w:t>
      </w:r>
    </w:p>
    <w:p>
      <w:pPr>
        <w:spacing w:after="0" w:line="16"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Outstanding commercial paper generally has maturities of 60 days or less and each Registrants’ commercial paper program is backstopped by such Registrants’ long-term credit facilities. Neither Houston Electric nor SIGECO has a commercial paper program.</w:t>
      </w:r>
    </w:p>
    <w:p>
      <w:pPr>
        <w:spacing w:after="0" w:line="1" w:lineRule="exact"/>
        <w:rPr>
          <w:sz w:val="20"/>
          <w:szCs w:val="20"/>
          <w:color w:val="auto"/>
        </w:rPr>
      </w:pPr>
    </w:p>
    <w:p>
      <w:pPr>
        <w:jc w:val="both"/>
        <w:ind w:firstLine="319"/>
        <w:spacing w:after="0" w:line="306" w:lineRule="auto"/>
        <w:rPr>
          <w:sz w:val="20"/>
          <w:szCs w:val="20"/>
          <w:color w:val="auto"/>
        </w:rPr>
      </w:pPr>
      <w:r>
        <w:rPr>
          <w:rFonts w:ascii="Arial" w:cs="Arial" w:eastAsia="Arial" w:hAnsi="Arial"/>
          <w:sz w:val="15"/>
          <w:szCs w:val="15"/>
          <w:i w:val="1"/>
          <w:iCs w:val="1"/>
          <w:color w:val="auto"/>
        </w:rPr>
        <w:t xml:space="preserve">Liens. </w:t>
      </w:r>
      <w:r>
        <w:rPr>
          <w:rFonts w:ascii="Arial" w:cs="Arial" w:eastAsia="Arial" w:hAnsi="Arial"/>
          <w:sz w:val="15"/>
          <w:szCs w:val="15"/>
          <w:color w:val="auto"/>
        </w:rPr>
        <w:t>As of June 30, 2023, Houston Electric’s assets were subject to liens securing approximately $7.1 billion of general mortgage bonds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General Mortgage, 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Houston Electric could issue approximately $4.7 billion of additional general mortgage bonds on the basis of retired bonds and 70% of property additions as of June 30, 2023. No first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mortgage bonds are outstanding under the M&amp;DOT, and Houston Electric is contractually obligated to not issue any additional first mortgage bonds under the M&amp;DOT and is undertaking actions to release the lien of the M&amp;DOT and terminate the M&amp;DOT.</w:t>
      </w:r>
    </w:p>
    <w:p>
      <w:pPr>
        <w:spacing w:after="0" w:line="207"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As of June 30, 2023, SIGECO had approximately $457 million aggregate principal amount of first mortgage bonds outstanding. Generally, all of SIGECO’s real and tangible property is subject to the lien of SIGECO’s mortgage indenture which was amended and restated effective as of January 1, 2023. As of June 30, 2023, SIGECO was permitted to issue additional bonds under its mortgage indenture up to 70% of then currently unfunded property additions and approximately $1.3 billion of additional first mortgage bonds could be issued on this basis.</w:t>
      </w:r>
    </w:p>
    <w:p>
      <w:pPr>
        <w:spacing w:after="0" w:line="20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As of June 30, 2023, certain financial institutions agreed to issue, from time to time, up to $5 million of letters of credit on behalf of Vectren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its subsidiaries in exchange for customary fees. As of June 30, 2023, such financial institutions had issued less than $1 million of letters of credit on behalf of Vectren and certain of its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6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7"/>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649"/>
              <w:spacing w:after="0"/>
              <w:rPr>
                <w:sz w:val="20"/>
                <w:szCs w:val="20"/>
                <w:color w:val="auto"/>
              </w:rPr>
            </w:pPr>
            <w:r>
              <w:rPr>
                <w:rFonts w:ascii="Arial" w:cs="Arial" w:eastAsia="Arial" w:hAnsi="Arial"/>
                <w:sz w:val="14"/>
                <w:szCs w:val="14"/>
                <w:b w:val="1"/>
                <w:bCs w:val="1"/>
                <w:color w:val="auto"/>
              </w:rPr>
              <w:t>Six Months Ended June 30,</w:t>
            </w:r>
          </w:p>
        </w:tc>
      </w:tr>
      <w:tr>
        <w:trPr>
          <w:trHeight w:val="191"/>
        </w:trPr>
        <w:tc>
          <w:tcPr>
            <w:tcW w:w="49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22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8"/>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14"/>
                <w:szCs w:val="14"/>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4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CERC </w:t>
            </w:r>
            <w:r>
              <w:rPr>
                <w:rFonts w:ascii="Arial" w:cs="Arial" w:eastAsia="Arial" w:hAnsi="Arial"/>
                <w:sz w:val="14"/>
                <w:szCs w:val="14"/>
                <w:color w:val="auto"/>
              </w:rPr>
              <w:t>(3) (4)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306" w:lineRule="exact"/>
        <w:rPr>
          <w:sz w:val="20"/>
          <w:szCs w:val="20"/>
          <w:color w:val="auto"/>
        </w:rPr>
      </w:pPr>
    </w:p>
    <w:p>
      <w:pPr>
        <w:jc w:val="both"/>
        <w:ind w:left="640" w:hanging="315"/>
        <w:spacing w:after="0" w:line="250"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CenterPoint Energy’s higher effective tax rate for the three and six months ended June 30, 2023 compared to the same periods ended June 30, 2022 was primarily due to tax impacts of the sale of Energy Systems Group which is partially offset by the absence of the non-deductible goodwill associated with the sale of the Natural Gas businesses in Arkansas and Oklahoma in 2022.</w:t>
      </w:r>
    </w:p>
    <w:p>
      <w:pPr>
        <w:spacing w:after="0" w:line="1"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Houston Electric’s higher effective tax rate for the six months ended June 30, 2023 compared to the same period in 2022 was primarily driven by an increase in state income taxes.</w:t>
      </w:r>
    </w:p>
    <w:p>
      <w:pPr>
        <w:jc w:val="both"/>
        <w:ind w:left="640" w:hanging="315"/>
        <w:spacing w:after="0" w:line="246"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CERC’s higher effective tax rate for the three months ended June 30, 2023 compared to the same period ended June 30, 2022 was primarily driven by the increase in income from continuing operations in 2023 while favorable permanent tax adjustments and EDIT amortization remained consistent.</w:t>
      </w:r>
    </w:p>
    <w:p>
      <w:pPr>
        <w:ind w:left="640" w:hanging="315"/>
        <w:spacing w:after="0" w:line="252"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CERC’s lower effective tax rate for the six months ended June 30, 2023 compared to the same period ended June 30, 2022 was primarily driven by decreased amortization of the EDIT regulatory liability.</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reported a net uncertain tax liability, inclusive of interest and penalties, of $29 million as of June 30, 2023. The Registrants believe that it is reasonably possible that there will be no change in unrecognized tax benefits, including penalties and interest, in the next 12 months as a result of a lapse of statutes on older exposures, a tax settlement, and/or a resolution of open audits.</w:t>
      </w:r>
    </w:p>
    <w:p>
      <w:pPr>
        <w:spacing w:after="0" w:line="21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Tax Audits and Settlements</w:t>
      </w:r>
      <w:r>
        <w:rPr>
          <w:rFonts w:ascii="Arial" w:cs="Arial" w:eastAsia="Arial" w:hAnsi="Arial"/>
          <w:sz w:val="18"/>
          <w:szCs w:val="18"/>
          <w:color w:val="auto"/>
        </w:rPr>
        <w:t>. Tax years through 2018 have been audited and settled with the IRS for CenterPoint Energy. For the 2019-2022 tax years,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Registrants are participants in the IRS’s Compliance Assurance Process. Vectren’s pre-Merger 2014-2019 tax years have been audited and settled with the IRS.</w:t>
      </w:r>
    </w:p>
    <w:p>
      <w:pPr>
        <w:spacing w:after="0" w:line="208" w:lineRule="exact"/>
        <w:rPr>
          <w:sz w:val="20"/>
          <w:szCs w:val="20"/>
          <w:color w:val="auto"/>
        </w:rPr>
      </w:pPr>
    </w:p>
    <w:p>
      <w:pPr>
        <w:ind w:left="340" w:hanging="334"/>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0" w:lineRule="exact"/>
        <w:rPr>
          <w:rFonts w:ascii="Arial" w:cs="Arial" w:eastAsia="Arial" w:hAnsi="Arial"/>
          <w:sz w:val="18"/>
          <w:szCs w:val="18"/>
          <w:b w:val="1"/>
          <w:bCs w:val="1"/>
          <w:color w:val="auto"/>
        </w:rPr>
      </w:pPr>
    </w:p>
    <w:p>
      <w:pPr>
        <w:ind w:left="640" w:hanging="315"/>
        <w:spacing w:after="0"/>
        <w:tabs>
          <w:tab w:leader="none" w:pos="640" w:val="left"/>
        </w:tabs>
        <w:numPr>
          <w:ilvl w:val="1"/>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Obligations (CenterPoint Energy and CERC)</w:t>
      </w:r>
    </w:p>
    <w:p>
      <w:pPr>
        <w:spacing w:after="0" w:line="245" w:lineRule="exact"/>
        <w:rPr>
          <w:sz w:val="20"/>
          <w:szCs w:val="20"/>
          <w:color w:val="auto"/>
        </w:rPr>
      </w:pPr>
    </w:p>
    <w:p>
      <w:pPr>
        <w:jc w:val="both"/>
        <w:ind w:firstLine="319"/>
        <w:spacing w:after="0" w:line="307" w:lineRule="auto"/>
        <w:rPr>
          <w:sz w:val="20"/>
          <w:szCs w:val="20"/>
          <w:color w:val="auto"/>
        </w:rPr>
      </w:pPr>
      <w:r>
        <w:rPr>
          <w:rFonts w:ascii="Arial" w:cs="Arial" w:eastAsia="Arial" w:hAnsi="Arial"/>
          <w:sz w:val="15"/>
          <w:szCs w:val="15"/>
          <w:color w:val="auto"/>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June 30, 2023 and December 31, 2022. These contracts meet an exception as “normal purchases contracts” or do not meet the definition of a derivative. Natural gas and coal supply commitments also include transportation contracts that do not meet the definition of a derivative.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February 1, 2023, Indiana Electric entered into an amended and restated BTA to purchase the 191 MW Posey Solar project for a fixed purchase price over the anticipated 35-year life. On February 7, 2023, Indiana Electric filed a CPCN with the IURC to approve the amended BTA. With the passage of the IRA, Indiana Electric can now pursue PTCs for solar projects. Indiana Electric has filed an updated CPCN with a request that project costs, net of PTCs, be recovered in rate base, through base rates or the CECA mechanism, depending on which provides more timely recovery. The Posey Solar project is expected to be placed in service in 2025.</w:t>
      </w:r>
    </w:p>
    <w:p>
      <w:pPr>
        <w:spacing w:after="0" w:line="219"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On January 11, 2023, the IURC issued an order approving the settlement agreement granting Indiana Electric a CPCN to purchase and acquire the 130 MW Pike County solar project through a BTA and approved the estimated cost. The IURC also designated the project as a clean energy project as well as approved the proposed levelized rate and associated ratemaking and accounting treatment. The project is expected to be placed in service by 2025.</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2023, other than discussed below, undiscounted minimum purchase obligations are approximately: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CenterPoint Energy</w:t>
            </w:r>
          </w:p>
        </w:tc>
        <w:tc>
          <w:tcPr>
            <w:tcW w:w="5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36"/>
        </w:trPr>
        <w:tc>
          <w:tcPr>
            <w:tcW w:w="3700" w:type="dxa"/>
            <w:vAlign w:val="bottom"/>
          </w:tcPr>
          <w:p>
            <w:pPr>
              <w:spacing w:after="0"/>
              <w:rPr>
                <w:sz w:val="11"/>
                <w:szCs w:val="11"/>
                <w:color w:val="auto"/>
              </w:rPr>
            </w:pPr>
          </w:p>
        </w:tc>
        <w:tc>
          <w:tcPr>
            <w:tcW w:w="1320" w:type="dxa"/>
            <w:vAlign w:val="bottom"/>
          </w:tcPr>
          <w:p>
            <w:pPr>
              <w:jc w:val="center"/>
              <w:ind w:left="423"/>
              <w:spacing w:after="0" w:line="136" w:lineRule="exact"/>
              <w:rPr>
                <w:sz w:val="20"/>
                <w:szCs w:val="20"/>
                <w:color w:val="auto"/>
              </w:rPr>
            </w:pPr>
            <w:r>
              <w:rPr>
                <w:rFonts w:ascii="Arial" w:cs="Arial" w:eastAsia="Arial" w:hAnsi="Arial"/>
                <w:sz w:val="14"/>
                <w:szCs w:val="14"/>
                <w:b w:val="1"/>
                <w:bCs w:val="1"/>
                <w:color w:val="auto"/>
                <w:w w:val="94"/>
              </w:rPr>
              <w:t>Natural Gas</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xml:space="preserve">Electric Supply </w:t>
            </w:r>
            <w:r>
              <w:rPr>
                <w:rFonts w:ascii="Arial" w:cs="Arial" w:eastAsia="Arial" w:hAnsi="Arial"/>
                <w:sz w:val="10"/>
                <w:szCs w:val="10"/>
                <w:b w:val="1"/>
                <w:bCs w:val="1"/>
                <w:color w:val="auto"/>
              </w:rPr>
              <w:t>(1)</w:t>
            </w:r>
          </w:p>
        </w:tc>
        <w:tc>
          <w:tcPr>
            <w:tcW w:w="580" w:type="dxa"/>
            <w:vAlign w:val="bottom"/>
          </w:tcPr>
          <w:p>
            <w:pPr>
              <w:spacing w:after="0"/>
              <w:rPr>
                <w:sz w:val="11"/>
                <w:szCs w:val="11"/>
                <w:color w:val="auto"/>
              </w:rPr>
            </w:pPr>
          </w:p>
        </w:tc>
        <w:tc>
          <w:tcPr>
            <w:tcW w:w="134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0"/>
                <w:szCs w:val="10"/>
                <w:b w:val="1"/>
                <w:bCs w:val="1"/>
                <w:color w:val="auto"/>
              </w:rPr>
              <w:t>(2)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9"/>
              </w:rPr>
              <w:t>Natural Gas Supply</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1320" w:type="dxa"/>
            <w:vAlign w:val="bottom"/>
          </w:tcPr>
          <w:p>
            <w:pPr>
              <w:jc w:val="center"/>
              <w:ind w:left="443"/>
              <w:spacing w:after="0"/>
              <w:rPr>
                <w:sz w:val="20"/>
                <w:szCs w:val="20"/>
                <w:color w:val="auto"/>
              </w:rPr>
            </w:pPr>
            <w:r>
              <w:rPr>
                <w:rFonts w:ascii="Arial" w:cs="Arial" w:eastAsia="Arial" w:hAnsi="Arial"/>
                <w:sz w:val="14"/>
                <w:szCs w:val="14"/>
                <w:b w:val="1"/>
                <w:bCs w:val="1"/>
                <w:color w:val="auto"/>
                <w:w w:val="94"/>
              </w:rPr>
              <w:t>Supply</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2"/>
          </w:tcPr>
          <w:p>
            <w:pPr>
              <w:ind w:left="132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six months of 2023</w:t>
            </w:r>
          </w:p>
        </w:tc>
        <w:tc>
          <w:tcPr>
            <w:tcW w:w="1320" w:type="dxa"/>
            <w:vAlign w:val="bottom"/>
            <w:shd w:val="clear" w:color="auto" w:fill="CCEEFF"/>
          </w:tcPr>
          <w:p>
            <w:pPr>
              <w:jc w:val="right"/>
              <w:ind w:right="114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w:t>
            </w:r>
          </w:p>
        </w:tc>
        <w:tc>
          <w:tcPr>
            <w:tcW w:w="5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8"/>
                <w:szCs w:val="18"/>
                <w:color w:val="auto"/>
              </w:rPr>
              <w:t>2024</w:t>
            </w:r>
          </w:p>
        </w:tc>
        <w:tc>
          <w:tcPr>
            <w:tcW w:w="1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Pr>
          <w:p>
            <w:pPr>
              <w:spacing w:after="0"/>
              <w:rPr>
                <w:sz w:val="19"/>
                <w:szCs w:val="19"/>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161</w:t>
            </w: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703</w:t>
            </w: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2"/>
        </w:trPr>
        <w:tc>
          <w:tcPr>
            <w:tcW w:w="3700" w:type="dxa"/>
            <w:vAlign w:val="bottom"/>
          </w:tcPr>
          <w:p>
            <w:pPr>
              <w:ind w:left="20"/>
              <w:spacing w:after="0"/>
              <w:rPr>
                <w:sz w:val="20"/>
                <w:szCs w:val="20"/>
                <w:color w:val="auto"/>
              </w:rPr>
            </w:pPr>
            <w:r>
              <w:rPr>
                <w:rFonts w:ascii="Arial" w:cs="Arial" w:eastAsia="Arial" w:hAnsi="Arial"/>
                <w:sz w:val="18"/>
                <w:szCs w:val="18"/>
                <w:color w:val="auto"/>
              </w:rPr>
              <w:t>2026</w:t>
            </w:r>
          </w:p>
        </w:tc>
        <w:tc>
          <w:tcPr>
            <w:tcW w:w="1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487</w:t>
            </w:r>
          </w:p>
        </w:tc>
        <w:tc>
          <w:tcPr>
            <w:tcW w:w="280" w:type="dxa"/>
            <w:vAlign w:val="bottom"/>
          </w:tcPr>
          <w:p>
            <w:pPr>
              <w:spacing w:after="0"/>
              <w:rPr>
                <w:sz w:val="20"/>
                <w:szCs w:val="20"/>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8"/>
                <w:szCs w:val="18"/>
                <w:color w:val="auto"/>
              </w:rPr>
              <w:t>2028</w:t>
            </w:r>
          </w:p>
        </w:tc>
        <w:tc>
          <w:tcPr>
            <w:tcW w:w="1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9"/>
                <w:szCs w:val="19"/>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and beyond</w:t>
            </w: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1,707</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718</w:t>
            </w:r>
          </w:p>
        </w:tc>
        <w:tc>
          <w:tcPr>
            <w:tcW w:w="5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bl>
    <w:p>
      <w:pPr>
        <w:spacing w:after="0" w:line="399" w:lineRule="exact"/>
        <w:rPr>
          <w:sz w:val="20"/>
          <w:szCs w:val="20"/>
          <w:color w:val="auto"/>
        </w:rPr>
      </w:pPr>
    </w:p>
    <w:p>
      <w:pPr>
        <w:ind w:left="640" w:hanging="315"/>
        <w:spacing w:after="0" w:line="295"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CenterPoint Energy’s undiscounted minimum payment obligations related to PPAs with commitments ranging from 15 years to 25 years and its purchase commitments under its BTA in Posey County, Indiana and its BTA in Pike County, Indiana are included above.</w:t>
      </w:r>
    </w:p>
    <w:p>
      <w:pPr>
        <w:spacing w:after="0" w:line="37" w:lineRule="exact"/>
        <w:rPr>
          <w:rFonts w:ascii="Arial" w:cs="Arial" w:eastAsia="Arial" w:hAnsi="Arial"/>
          <w:sz w:val="17"/>
          <w:szCs w:val="17"/>
          <w:color w:val="auto"/>
        </w:rPr>
      </w:pPr>
    </w:p>
    <w:p>
      <w:pPr>
        <w:ind w:left="640" w:hanging="315"/>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undiscounted payment obligations relate primarily to technology hardware and software agreements.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On May 21, 2023, CenterPoint Energy, through Vectren Energy Services, entered into the Equity Purchase Agreement to sell Energy Systems Group. The sale closed on June 30, 2023. See Note 3 for further information.</w:t>
      </w:r>
    </w:p>
    <w:p>
      <w:pPr>
        <w:spacing w:after="0" w:line="207"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 xml:space="preserve">In the normal course of business prior to the consummation of the transaction on June 30, 2023, CenterPoint Energy, primarily through Vectren, issued parent company level guarantees supporting </w:t>
      </w:r>
      <w:r>
        <w:rPr>
          <w:rFonts w:ascii="Arial" w:cs="Arial" w:eastAsia="Arial" w:hAnsi="Arial"/>
          <w:sz w:val="17"/>
          <w:szCs w:val="17"/>
          <w:color w:val="221F1F"/>
        </w:rPr>
        <w:t>Energy Systems Group</w:t>
      </w:r>
      <w:r>
        <w:rPr>
          <w:rFonts w:ascii="Arial" w:cs="Arial" w:eastAsia="Arial" w:hAnsi="Arial"/>
          <w:sz w:val="17"/>
          <w:szCs w:val="17"/>
          <w:color w:val="auto"/>
        </w:rPr>
        <w:t>’s obligations. When Energy Systems Group was wholly 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estimates the maximum exposure under these guarantees to be approximately $519 million as of June 30, 2023.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spacing w:after="0" w:line="2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 xml:space="preserve">While there can be no assurance that performance under any of these parent company guarantees will not be required in the future, CenterPoint Energy considers the likelihood of a material amount being incurred as remote. CenterPoint Energy believes that, from </w:t>
      </w:r>
      <w:r>
        <w:rPr>
          <w:rFonts w:ascii="Arial" w:cs="Arial" w:eastAsia="Arial" w:hAnsi="Arial"/>
          <w:sz w:val="17"/>
          <w:szCs w:val="17"/>
          <w:color w:val="221F1F"/>
        </w:rPr>
        <w:t>Energy Systems Group</w:t>
      </w:r>
      <w:r>
        <w:rPr>
          <w:rFonts w:ascii="Arial" w:cs="Arial" w:eastAsia="Arial" w:hAnsi="Arial"/>
          <w:sz w:val="17"/>
          <w:szCs w:val="17"/>
          <w:color w:val="auto"/>
        </w:rPr>
        <w:t xml:space="preserve">’s inception in 1994 to the closing of the sale of Energy Systems Group on June 30, 2023, </w:t>
      </w:r>
      <w:r>
        <w:rPr>
          <w:rFonts w:ascii="Arial" w:cs="Arial" w:eastAsia="Arial" w:hAnsi="Arial"/>
          <w:sz w:val="17"/>
          <w:szCs w:val="17"/>
          <w:color w:val="221F1F"/>
        </w:rPr>
        <w:t>Energy Systems Group</w:t>
      </w:r>
      <w:r>
        <w:rPr>
          <w:rFonts w:ascii="Arial" w:cs="Arial" w:eastAsia="Arial" w:hAnsi="Arial"/>
          <w:sz w:val="17"/>
          <w:szCs w:val="17"/>
          <w:color w:val="auto"/>
        </w:rPr>
        <w:t xml:space="preserve"> had a history of generally meeting its performance obligations and energy savings guarantees and its installed products operated effectively. CenterPoint Energy recorded no amounts on its Condensed Consolidated Balance Sheets as of June 30, 2023 and December 31, 2022 related to its obligation under the outstanding guarantees.</w:t>
      </w:r>
    </w:p>
    <w:p>
      <w:pPr>
        <w:spacing w:after="0" w:line="206" w:lineRule="exact"/>
        <w:rPr>
          <w:sz w:val="20"/>
          <w:szCs w:val="20"/>
          <w:color w:val="auto"/>
        </w:rPr>
      </w:pPr>
    </w:p>
    <w:p>
      <w:pPr>
        <w:ind w:left="160" w:right="7600" w:firstLine="165"/>
        <w:spacing w:after="0" w:line="523" w:lineRule="auto"/>
        <w:tabs>
          <w:tab w:leader="none" w:pos="638"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spacing w:after="0" w:line="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i w:val="1"/>
          <w:iCs w:val="1"/>
          <w:color w:val="auto"/>
        </w:rPr>
        <w:t xml:space="preserve">Litigation Related to the February 2021 Winter Storm Event. </w:t>
      </w:r>
      <w:r>
        <w:rPr>
          <w:rFonts w:ascii="Arial" w:cs="Arial" w:eastAsia="Arial" w:hAnsi="Arial"/>
          <w:sz w:val="17"/>
          <w:szCs w:val="17"/>
          <w:color w:val="auto"/>
        </w:rPr>
        <w:t>Various legal proceedings are still pending against numerous entities with respect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2021 Winter Storm Event, including against CenterPoint Energy, Utility Holding, LLC,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Utility Holding, LLC, and Houston Electric, along with hundreds of other defendants (including ERCOT, power generation companies, other TDUs, natural gas producers, REPs, and other entities) have received claims and lawsuits filed by plaintiffs alleging wrongful death, personal injury, property damage and other injuries and damages.</w:t>
      </w:r>
    </w:p>
    <w:p>
      <w:pPr>
        <w:spacing w:after="0" w:line="214"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Substantially all of the litigation is or will be consolidated in Texas state court in Harris County, Texas, as part of an MDL proceeding, with one case currently pending in justice court in Harris County. The judge overseeing the MDL issued an initial case management order and stayed all proceedings and discovery. Per the case management order, the judge entertained dispositive motions in five representative or “bellwether” cases and, in late January 2023, issued rulings on them. The judge ruled that ERCOT has sovereign immunity as a governmental entity and dismissed the suits against it. In a recent opinion in an unrelated matter, the Texas Supreme Court held that ERCOT is entitled to sovereign immunity. This ruling will apply to claims against ERCOT in the MDL. The MDL judge also dismissed all claims against the natural gas defendants (which lists of natural gas defendants incorrectly included Utility Holding, LLC), and the REP defendants and some causes of action against the other defendants. As to the TDU and generator defendants, the MDL judge dismissed some causes of action but denied the motions to dismiss claims for negligence, gross negligence, and nuisance, which denial the TDU defendants and generator defendants are asking the court of appeals to overturn. The court of appeals has granted the request for oral argument in the TDU mandamus proceeding and is expected to hear oral argument in the third quarter of 2023. The MDL judge has allowed plaintiffs to file amended petitions and is going to entertain a second round of initial motions in the five bellweather cases, but otherwise the cases remain stayed as the MDL judge addresses additional preliminary issues.</w:t>
      </w:r>
    </w:p>
    <w:p>
      <w:pPr>
        <w:spacing w:after="0" w:line="209" w:lineRule="exact"/>
        <w:rPr>
          <w:sz w:val="20"/>
          <w:szCs w:val="20"/>
          <w:color w:val="auto"/>
        </w:rPr>
      </w:pPr>
    </w:p>
    <w:p>
      <w:pPr>
        <w:jc w:val="both"/>
        <w:ind w:firstLine="319"/>
        <w:spacing w:after="0" w:line="304" w:lineRule="auto"/>
        <w:rPr>
          <w:sz w:val="20"/>
          <w:szCs w:val="20"/>
          <w:color w:val="auto"/>
        </w:rPr>
      </w:pPr>
      <w:r>
        <w:rPr>
          <w:rFonts w:ascii="Arial" w:cs="Arial" w:eastAsia="Arial" w:hAnsi="Arial"/>
          <w:sz w:val="15"/>
          <w:szCs w:val="15"/>
          <w:color w:val="auto"/>
        </w:rPr>
        <w:t>Following the initial rulings and around the two-year anniversary of the February 2021 Winter Storm Event, there were voluminous amendments, non-suits and re-filings of pending lawsuits, and the filing of new lawsuits, and there continue to be amendments. As such, the pleadings are still being settled and the precise number of cases and claims against particular defendants and in total is still being determined. As of June 30, 2023, there are approximately 225 pending lawsuits that are in or will be added to the MDL proceeding related to the February 2021 Winter Storm Event, and CenterPoint Energy and Houston Electric, along with numerous other entities, have been named as defendants in approximately 155 of those lawsuits. A putative class action on behalf of everyone who received electric power via the ERCOT grid and sustained a power outage between February 10, 2021 and February 28, 2021 is also pending against CenterPoint Energy, Houston Electric, and numerous other defendants. Additionally, Utility Holding, LLC is currently named as a defendant in approximately six lawsuits in which CenterPoint Energy and/or Houston Electric are also named as defendants. CenterPoint Energy expects that the claims against Utility Holding, LLC will ultimately be dismissed in light of the judge’s initial rulings. CenterPoint Energy, Utility Holding, LLC, and Houston Electric intend to vigorously defend themselves against the claims raised.</w:t>
      </w:r>
    </w:p>
    <w:p>
      <w:pPr>
        <w:spacing w:after="0" w:line="398"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CenterPoint Energy and Houston Electric have also responded to inquiries from the Texas Attorney General and the Galveston County District Attorney’s Office, and various other regulatory and governmental entities also conducted inquiries, investigations and other reviews of the February 2021 Winter Storm Event and the efforts made by various entities to prepare for, and respond to, the event, including the electric generation shortfall issues.</w:t>
      </w:r>
    </w:p>
    <w:p>
      <w:pPr>
        <w:spacing w:after="0" w:line="163"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In February 2023, twelve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one such defendant, along with “CenterPoint Energy Services, Inc.,” incorrectly identifying it as CERC’s parent company (CenterPoint Energy previously divested CES). One lawsuit filed in Harris County is a putative class action on behalf of two classes of electric and natural gas customers (those who experienced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loss of electricity and/or natural gas, and those who were charged securitization-related surcharges on a utility bill or were otherwise charged higher rates for electricity and/or gas during the February 2021 Winter Storm Event), potentially including millions of class members. Two other lawsuits (one filed in Harris County and one in Tom Green County) are brought by an entity that purports to be an assignee of claims by tens of thousands of persons and entities that have assigned claims to the plaintiff. These, and nine other similar lawsuits filed in Harris County, generally allege that the defendants engaged in gas market manipulation and price gouging, including by intentionally withholding, suppressing, or diverting supplies of natural gas in connection with the February 2021 Winter Storm Event, Winter Storm Elliott, and other severe weather conditions, and through financial market manipulation. Plaintiffs allege that this manipulation impacted gas supply and prices as well as the market, supply, and price of electricity in Texas and caused blackouts and other damage. Plaintiffs assert claims for tortious interference with existing contract, private nuisance, and unjust enrichment, and allege a broad array of injuries and damages, including personal injury, property damage, and harm from certain costs being securitized and passed on to ratepayers. The lawsuits do not specify the amount of damages sought, but seek broad categories of actual, compensatory, statutory, consequential economic, and punitive damages; restitution and disgorgement; pre- and post-judgment interest; costs and attorneys’ fees; and other relief. As of June 30, 2023, most of the lawsuits have not been served, but the three cases in which defendants were served were tagged for transfer to the existing MDL proceeding referenced above. The plaintiffs in those three cases filed motions to remand the lawsuits back to their original trial courts and out of the MDL. On June 28, 2023, the judge overseeing the MDL heard oral arguments on the motions to remand, but did not state when she would render her ruling. Regardless of whether the cases remain within the MDL, CERC intends to vigorously defend itself against the claims raised, including by raising jurisdictional challenges to the plaintiffs’ claims.</w:t>
      </w:r>
    </w:p>
    <w:p>
      <w:pPr>
        <w:spacing w:after="0" w:line="398"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Given the nature of certain of the recent allegations, however, it is possible that the insurers for third party bodily injury and property damage claims could dispute coverage for other types of damage that may be alleged by plaintiffs. CenterPoint Energy and its subsidiaries intend to continue to pursue any and all available insurance coverage for all of these matters.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5" w:lineRule="exact"/>
        <w:rPr>
          <w:sz w:val="20"/>
          <w:szCs w:val="20"/>
          <w:color w:val="auto"/>
        </w:rPr>
      </w:pPr>
    </w:p>
    <w:p>
      <w:pPr>
        <w:jc w:val="both"/>
        <w:ind w:firstLine="319"/>
        <w:spacing w:after="0" w:line="313" w:lineRule="auto"/>
        <w:rPr>
          <w:sz w:val="20"/>
          <w:szCs w:val="20"/>
          <w:color w:val="auto"/>
        </w:rPr>
      </w:pPr>
      <w:r>
        <w:rPr>
          <w:rFonts w:ascii="Arial" w:cs="Arial" w:eastAsia="Arial" w:hAnsi="Arial"/>
          <w:sz w:val="15"/>
          <w:szCs w:val="15"/>
          <w:i w:val="1"/>
          <w:iCs w:val="1"/>
          <w:color w:val="auto"/>
        </w:rPr>
        <w:t xml:space="preserve">MGP Sites. </w:t>
      </w:r>
      <w:r>
        <w:rPr>
          <w:rFonts w:ascii="Arial" w:cs="Arial" w:eastAsia="Arial" w:hAnsi="Arial"/>
          <w:sz w:val="15"/>
          <w:szCs w:val="15"/>
          <w:color w:val="auto"/>
        </w:rPr>
        <w:t>CenterPoint Energy, CERC and their predecessors, including predecessors of Vectren, operated MGPs in the past. The costs CenterPoint</w:t>
      </w:r>
      <w:r>
        <w:rPr>
          <w:rFonts w:ascii="Arial" w:cs="Arial" w:eastAsia="Arial" w:hAnsi="Arial"/>
          <w:sz w:val="15"/>
          <w:szCs w:val="15"/>
          <w:i w:val="1"/>
          <w:iCs w:val="1"/>
          <w:color w:val="auto"/>
        </w:rPr>
        <w:t xml:space="preserve"> </w:t>
      </w:r>
      <w:r>
        <w:rPr>
          <w:rFonts w:ascii="Arial" w:cs="Arial" w:eastAsia="Arial" w:hAnsi="Arial"/>
          <w:sz w:val="15"/>
          <w:szCs w:val="15"/>
          <w:color w:val="auto"/>
        </w:rPr>
        <w:t>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77" w:lineRule="exact"/>
        <w:rPr>
          <w:sz w:val="20"/>
          <w:szCs w:val="20"/>
          <w:color w:val="auto"/>
        </w:rPr>
      </w:pPr>
    </w:p>
    <w:p>
      <w:pPr>
        <w:jc w:val="both"/>
        <w:ind w:left="640" w:hanging="315"/>
        <w:spacing w:after="0" w:line="278" w:lineRule="auto"/>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97" w:lineRule="exact"/>
        <w:rPr>
          <w:rFonts w:ascii="Arial" w:cs="Arial" w:eastAsia="Arial" w:hAnsi="Arial"/>
          <w:sz w:val="17"/>
          <w:szCs w:val="17"/>
          <w:color w:val="auto"/>
        </w:rPr>
      </w:pPr>
    </w:p>
    <w:p>
      <w:pPr>
        <w:jc w:val="both"/>
        <w:ind w:left="640" w:hanging="315"/>
        <w:spacing w:after="0" w:line="309" w:lineRule="auto"/>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Indiana MGPs (CenterPoint Energy and CERC)</w:t>
      </w:r>
      <w:r>
        <w:rPr>
          <w:rFonts w:ascii="Arial" w:cs="Arial" w:eastAsia="Arial" w:hAnsi="Arial"/>
          <w:sz w:val="15"/>
          <w:szCs w:val="15"/>
          <w:color w:val="auto"/>
        </w:rPr>
        <w:t>. In the Indiana Gas service territory, the existence, location and certain general characteristics of 26</w:t>
      </w:r>
      <w:r>
        <w:rPr>
          <w:rFonts w:ascii="Arial" w:cs="Arial" w:eastAsia="Arial" w:hAnsi="Arial"/>
          <w:sz w:val="15"/>
          <w:szCs w:val="15"/>
          <w:i w:val="1"/>
          <w:iCs w:val="1"/>
          <w:color w:val="auto"/>
        </w:rPr>
        <w:t xml:space="preserve"> </w:t>
      </w:r>
      <w:r>
        <w:rPr>
          <w:rFonts w:ascii="Arial" w:cs="Arial" w:eastAsia="Arial" w:hAnsi="Arial"/>
          <w:sz w:val="15"/>
          <w:szCs w:val="15"/>
          <w:color w:val="auto"/>
        </w:rPr>
        <w:t>gas manufacturing and storage sites have 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5 manufactured gas plant sites in SIGECO’s service territory, all of which are currently enrolled in the IDEM’s VRP. CenterPoint Energy is currently conducting some level of remedial activities, including groundwater monitoring at certain sites.</w:t>
      </w:r>
    </w:p>
    <w:p>
      <w:pPr>
        <w:spacing w:after="0" w:line="181" w:lineRule="exact"/>
        <w:rPr>
          <w:rFonts w:ascii="Arial" w:cs="Arial" w:eastAsia="Arial" w:hAnsi="Arial"/>
          <w:sz w:val="15"/>
          <w:szCs w:val="15"/>
          <w:color w:val="auto"/>
        </w:rPr>
      </w:pPr>
    </w:p>
    <w:p>
      <w:pPr>
        <w:ind w:left="640" w:hanging="315"/>
        <w:spacing w:after="0" w:line="366" w:lineRule="auto"/>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Other MGPs (CenterPoint Energy and CERC). </w:t>
      </w:r>
      <w:r>
        <w:rPr>
          <w:rFonts w:ascii="Arial" w:cs="Arial" w:eastAsia="Arial" w:hAnsi="Arial"/>
          <w:sz w:val="15"/>
          <w:szCs w:val="15"/>
          <w:color w:val="auto"/>
        </w:rPr>
        <w:t>In addition to the Minnesota and Indiana sites, the EPA and other regulators have investigated MGP</w:t>
      </w:r>
      <w:r>
        <w:rPr>
          <w:rFonts w:ascii="Arial" w:cs="Arial" w:eastAsia="Arial" w:hAnsi="Arial"/>
          <w:sz w:val="15"/>
          <w:szCs w:val="15"/>
          <w:i w:val="1"/>
          <w:iCs w:val="1"/>
          <w:color w:val="auto"/>
        </w:rPr>
        <w:t xml:space="preserve"> </w:t>
      </w:r>
      <w:r>
        <w:rPr>
          <w:rFonts w:ascii="Arial" w:cs="Arial" w:eastAsia="Arial" w:hAnsi="Arial"/>
          <w:sz w:val="15"/>
          <w:szCs w:val="15"/>
          <w:color w:val="auto"/>
        </w:rPr>
        <w:t>sites that were owned or operated by CenterPoint Energy or CERC or may have been owned by one of their former affiliates.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b w:val="1"/>
                <w:bCs w:val="1"/>
                <w:color w:val="auto"/>
              </w:rPr>
              <w:t>June 30, 2023</w:t>
            </w:r>
          </w:p>
        </w:tc>
        <w:tc>
          <w:tcPr>
            <w:tcW w:w="1240" w:type="dxa"/>
            <w:vAlign w:val="bottom"/>
            <w:tcBorders>
              <w:bottom w:val="single" w:sz="8" w:color="auto"/>
            </w:tcBorders>
          </w:tcPr>
          <w:p>
            <w:pPr>
              <w:spacing w:after="0"/>
              <w:rPr>
                <w:sz w:val="16"/>
                <w:szCs w:val="16"/>
                <w:color w:val="auto"/>
              </w:rPr>
            </w:pPr>
          </w:p>
        </w:tc>
      </w:tr>
      <w:tr>
        <w:trPr>
          <w:trHeight w:val="191"/>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w w:val="97"/>
              </w:rPr>
              <w:t>CenterPoint Energy</w:t>
            </w: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CERC</w:t>
            </w:r>
          </w:p>
        </w:tc>
      </w:tr>
      <w:tr>
        <w:trPr>
          <w:trHeight w:val="192"/>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3"/>
          </w:tcPr>
          <w:p>
            <w:pPr>
              <w:jc w:val="right"/>
              <w:ind w:right="974"/>
              <w:spacing w:after="0"/>
              <w:rPr>
                <w:sz w:val="20"/>
                <w:szCs w:val="20"/>
                <w:color w:val="auto"/>
              </w:rPr>
            </w:pPr>
            <w:r>
              <w:rPr>
                <w:rFonts w:ascii="Arial" w:cs="Arial" w:eastAsia="Arial" w:hAnsi="Arial"/>
                <w:sz w:val="14"/>
                <w:szCs w:val="14"/>
                <w:b w:val="1"/>
                <w:bCs w:val="1"/>
                <w:color w:val="auto"/>
              </w:rPr>
              <w:t>(in millions, except years)</w:t>
            </w:r>
          </w:p>
        </w:tc>
      </w:tr>
      <w:tr>
        <w:trPr>
          <w:trHeight w:val="23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accrued for remediation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Minimum estimated remediation costs</w:t>
            </w:r>
          </w:p>
        </w:tc>
        <w:tc>
          <w:tcPr>
            <w:tcW w:w="20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estimated remediation costs</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51</w:t>
            </w: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Minimum years of remediation</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years of remediation</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20"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207"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47"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19"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i w:val="1"/>
          <w:iCs w:val="1"/>
          <w:color w:val="auto"/>
        </w:rPr>
        <w:t xml:space="preserve">CCR Rule (CenterPoint Energy). </w:t>
      </w:r>
      <w:r>
        <w:rPr>
          <w:rFonts w:ascii="Arial" w:cs="Arial" w:eastAsia="Arial" w:hAnsi="Arial"/>
          <w:sz w:val="17"/>
          <w:szCs w:val="17"/>
          <w:color w:val="auto"/>
        </w:rPr>
        <w:t>In April 2015, the EPA finalized its CCR Rule, which regulates ash as non-hazardous material under the RCRA.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extended the deadline to cease placement of ash in ponds to April 11, 2021, discussed further below. The Part A amendments do not restrict Indiana Electric’s current beneficial reuse of its fly ash. CenterPoint Energy evaluated the Part B amendments to determine potential impacts and determined that the Part B amendments did not have an impact on its current plans.</w:t>
      </w:r>
    </w:p>
    <w:p>
      <w:pPr>
        <w:spacing w:after="0" w:line="209" w:lineRule="exact"/>
        <w:rPr>
          <w:sz w:val="20"/>
          <w:szCs w:val="20"/>
          <w:color w:val="auto"/>
        </w:rPr>
      </w:pPr>
    </w:p>
    <w:p>
      <w:pPr>
        <w:jc w:val="both"/>
        <w:ind w:firstLine="319"/>
        <w:spacing w:after="0" w:line="301" w:lineRule="auto"/>
        <w:rPr>
          <w:sz w:val="20"/>
          <w:szCs w:val="20"/>
          <w:color w:val="auto"/>
        </w:rPr>
      </w:pPr>
      <w:r>
        <w:rPr>
          <w:rFonts w:ascii="Arial" w:cs="Arial" w:eastAsia="Arial" w:hAnsi="Arial"/>
          <w:sz w:val="15"/>
          <w:szCs w:val="15"/>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Indiana Electric’s Warrick generating unit is not included in the scope of the CCR Rule as this unit has historically been part of a larger generating station that predominantly serves an adjacent industrial facility. Preliminary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unless approved for an extension. CenterPoint Energy filed timely extension requests available under the CCR Rule that would allow Indiana Electric to continue to use the ponds through October 15, 2023. The EPA is still reviewing industry extension requests, including CenterPoint Energy’s extension request for the Culley East pond; however, the Culley East pond was taken out of service on May 1, 2023, so there is no longer a need for an extension at Culley. Companies can continue to operate ponds pending completion of the EPA’s evaluation of the requests for extension. If the EPA denies a full extension request, that denial may result in increased and potentially significant operational costs in connection with the accelerated implementation of an alternative ash disposal system or may adversely impact Indiana Electric’s future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operations. Failure to comply with a cease waste receipt could also result in an enforcement proceeding, resulting in the imposition of fines and penalties. On October 5, 2022, EPA issued a proposed conditional approval of the Part A extension request for the A.B. Brown pond.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182" w:lineRule="exact"/>
        <w:rPr>
          <w:sz w:val="20"/>
          <w:szCs w:val="20"/>
          <w:color w:val="auto"/>
        </w:rPr>
      </w:pPr>
    </w:p>
    <w:p>
      <w:pPr>
        <w:jc w:val="both"/>
        <w:ind w:firstLine="365"/>
        <w:spacing w:after="0" w:line="267" w:lineRule="auto"/>
        <w:rPr>
          <w:sz w:val="20"/>
          <w:szCs w:val="20"/>
          <w:color w:val="auto"/>
        </w:rPr>
      </w:pPr>
      <w:r>
        <w:rPr>
          <w:rFonts w:ascii="Arial" w:cs="Arial" w:eastAsia="Arial" w:hAnsi="Arial"/>
          <w:sz w:val="17"/>
          <w:szCs w:val="17"/>
          <w:color w:val="auto"/>
        </w:rPr>
        <w:t>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 On November 1, 2022, Indiana Electric filed for a CPCN to recover federally mandated costs associated with closure of the Culley East Pond, its third and final ash pond. Indiana Electric is also seeking accounting and ratemaking relief for the project, and on June 8, 2023, Indiana Electric filed a revised CPCN for recovery of the federally mandated ash pond costs. The project costs are estimated to be approximately $50 million, inclusive of overheads.</w:t>
      </w:r>
    </w:p>
    <w:p>
      <w:pPr>
        <w:spacing w:after="0" w:line="20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March 18, 2023, the EPA proposed amendments to the CCR rule that would, if finalized, apply closure requirements for inactive surface impoundments located at inactive facilities (legacy CCR surface impoundments) and CCR management units located at regulated CCR facilities. CenterPoint Energy is currently reviewing this proposal.</w:t>
      </w:r>
    </w:p>
    <w:p>
      <w:pPr>
        <w:spacing w:after="0" w:line="214"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As of June 30, 2023, CenterPoint Energy has recorded an approximate $109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AROs, Indiana Electric also anticipates equipment purchases of between $60 million and $80 million to complete the A.B. Brown closure project.</w:t>
      </w:r>
    </w:p>
    <w:p>
      <w:pPr>
        <w:spacing w:after="0" w:line="206"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i w:val="1"/>
          <w:iCs w:val="1"/>
          <w:color w:val="auto"/>
        </w:rPr>
        <w:t>Clean Water Act Permitting of Groundwater Discharges</w:t>
      </w:r>
      <w:r>
        <w:rPr>
          <w:rFonts w:ascii="Arial" w:cs="Arial" w:eastAsia="Arial" w:hAnsi="Arial"/>
          <w:sz w:val="18"/>
          <w:szCs w:val="18"/>
          <w:color w:val="auto"/>
        </w:rPr>
        <w:t>. In April 2020, the U.S. Supreme Court issued an opinion providing that indirect discharges via</w:t>
      </w:r>
      <w:r>
        <w:rPr>
          <w:rFonts w:ascii="Arial" w:cs="Arial" w:eastAsia="Arial" w:hAnsi="Arial"/>
          <w:sz w:val="18"/>
          <w:szCs w:val="18"/>
          <w:i w:val="1"/>
          <w:iCs w:val="1"/>
          <w:color w:val="auto"/>
        </w:rPr>
        <w:t xml:space="preserve"> </w:t>
      </w:r>
      <w:r>
        <w:rPr>
          <w:rFonts w:ascii="Arial" w:cs="Arial" w:eastAsia="Arial" w:hAnsi="Arial"/>
          <w:sz w:val="18"/>
          <w:szCs w:val="18"/>
          <w:color w:val="auto"/>
        </w:rPr>
        <w:t>groundwater or other non-point sources are subject to permitting and liability under the Clean Water Act when they are the functional equivalent of a direct discharge. The Registrants are evaluating the extent to which this decision will affect Clean Water Act permitting requirements and/or liability for their operations.</w:t>
      </w:r>
    </w:p>
    <w:p>
      <w:pPr>
        <w:spacing w:after="0" w:line="220" w:lineRule="exact"/>
        <w:rPr>
          <w:sz w:val="20"/>
          <w:szCs w:val="20"/>
          <w:color w:val="auto"/>
        </w:rPr>
      </w:pPr>
    </w:p>
    <w:p>
      <w:pPr>
        <w:jc w:val="both"/>
        <w:ind w:firstLine="319"/>
        <w:spacing w:after="0" w:line="307" w:lineRule="auto"/>
        <w:rPr>
          <w:sz w:val="20"/>
          <w:szCs w:val="20"/>
          <w:color w:val="auto"/>
        </w:rPr>
      </w:pPr>
      <w:r>
        <w:rPr>
          <w:rFonts w:ascii="Arial" w:cs="Arial" w:eastAsia="Arial" w:hAnsi="Arial"/>
          <w:sz w:val="15"/>
          <w:szCs w:val="15"/>
          <w:i w:val="1"/>
          <w:iCs w:val="1"/>
          <w:color w:val="auto"/>
        </w:rPr>
        <w:t xml:space="preserve">Other Environmental. </w:t>
      </w:r>
      <w:r>
        <w:rPr>
          <w:rFonts w:ascii="Arial" w:cs="Arial" w:eastAsia="Arial" w:hAnsi="Arial"/>
          <w:sz w:val="15"/>
          <w:szCs w:val="15"/>
          <w:color w:val="auto"/>
        </w:rPr>
        <w:t>From time to time, the Registrants identify the presence of environmental contaminants during operations or on property where</w:t>
      </w:r>
      <w:r>
        <w:rPr>
          <w:rFonts w:ascii="Arial" w:cs="Arial" w:eastAsia="Arial" w:hAnsi="Arial"/>
          <w:sz w:val="15"/>
          <w:szCs w:val="15"/>
          <w:i w:val="1"/>
          <w:iCs w:val="1"/>
          <w:color w:val="auto"/>
        </w:rPr>
        <w:t xml:space="preserve"> </w:t>
      </w:r>
      <w:r>
        <w:rPr>
          <w:rFonts w:ascii="Arial" w:cs="Arial" w:eastAsia="Arial" w:hAnsi="Arial"/>
          <w:sz w:val="15"/>
          <w:szCs w:val="15"/>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 (CenterPoint Energy)</w:t>
      </w:r>
    </w:p>
    <w:p>
      <w:pPr>
        <w:spacing w:after="0" w:line="251"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Basic earnings per common share is computed by dividing income available to common shareholders by the basic weighted average number of common shares outstanding during the period. Diluted earnings per common share is computed by dividing income available to common shareholders by the weighted average number of common shares outstanding, including all potentially dilutive common shares, if the effect of such common shares is dilutive.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Diluted earnings per common share reflects the dilutive effect of potential common shares from share-based awards. The dilutive effect of restricted stock is computed using the treasury stock method, as applicable, which includes the incremental shares that would be hypothetically vested in excess of the number of shares assumed to be hypothetically repurchased with the assumed proceeds.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numerators and denominators of CenterPoint Energy’s basic and diluted earnings per common share.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361"/>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1"/>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20" w:type="dxa"/>
            <w:vAlign w:val="bottom"/>
            <w:gridSpan w:val="9"/>
          </w:tcPr>
          <w:p>
            <w:pPr>
              <w:jc w:val="right"/>
              <w:ind w:right="166"/>
              <w:spacing w:after="0"/>
              <w:rPr>
                <w:sz w:val="20"/>
                <w:szCs w:val="20"/>
                <w:color w:val="auto"/>
              </w:rPr>
            </w:pPr>
            <w:r>
              <w:rPr>
                <w:rFonts w:ascii="Arial" w:cs="Arial" w:eastAsia="Arial" w:hAnsi="Arial"/>
                <w:sz w:val="14"/>
                <w:szCs w:val="14"/>
                <w:b w:val="1"/>
                <w:bCs w:val="1"/>
                <w:color w:val="auto"/>
                <w:w w:val="89"/>
              </w:rPr>
              <w:t>(in millions, except per share and share amounts)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40" w:type="dxa"/>
            <w:vAlign w:val="bottom"/>
            <w:gridSpan w:val="3"/>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38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199"/>
        </w:trPr>
        <w:tc>
          <w:tcPr>
            <w:tcW w:w="5780" w:type="dxa"/>
            <w:vAlign w:val="bottom"/>
          </w:tcPr>
          <w:p>
            <w:pPr>
              <w:ind w:left="20"/>
              <w:spacing w:after="0"/>
              <w:rPr>
                <w:sz w:val="20"/>
                <w:szCs w:val="20"/>
                <w:color w:val="auto"/>
              </w:rPr>
            </w:pPr>
            <w:r>
              <w:rPr>
                <w:rFonts w:ascii="Arial" w:cs="Arial" w:eastAsia="Arial" w:hAnsi="Arial"/>
                <w:sz w:val="16"/>
                <w:szCs w:val="16"/>
                <w:color w:val="auto"/>
              </w:rPr>
              <w:t>Less: Preferred stock dividend requirement (Note 18)</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available to common shareholders - basic and diluted</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440" w:type="dxa"/>
            <w:vAlign w:val="bottom"/>
            <w:gridSpan w:val="3"/>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38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631,057,000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629,475,000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630,685,000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629,306,000</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Plus: Incremental shares from assumed conversions: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1,948,000</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2,345,000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2,188,000</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633,005,000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631,663,000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633,030,000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631,494,000</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8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0.17</w:t>
            </w:r>
          </w:p>
        </w:tc>
        <w:tc>
          <w:tcPr>
            <w:tcW w:w="440" w:type="dxa"/>
            <w:vAlign w:val="bottom"/>
            <w:gridSpan w:val="3"/>
          </w:tcPr>
          <w:p>
            <w:pPr>
              <w:jc w:val="right"/>
              <w:ind w:right="106"/>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0.28</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0.66</w:t>
            </w:r>
          </w:p>
        </w:tc>
        <w:tc>
          <w:tcPr>
            <w:tcW w:w="380" w:type="dxa"/>
            <w:vAlign w:val="bottom"/>
            <w:gridSpan w:val="2"/>
          </w:tcPr>
          <w:p>
            <w:pPr>
              <w:jc w:val="right"/>
              <w:ind w:right="106"/>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Reportable Segments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2023, reportable segments by Registrant were as follows: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CenterPoint Energy</w:t>
      </w:r>
    </w:p>
    <w:p>
      <w:pPr>
        <w:spacing w:after="0" w:line="251" w:lineRule="exact"/>
        <w:rPr>
          <w:sz w:val="20"/>
          <w:szCs w:val="20"/>
          <w:color w:val="auto"/>
        </w:rPr>
      </w:pPr>
    </w:p>
    <w:p>
      <w:pPr>
        <w:jc w:val="both"/>
        <w:ind w:left="640" w:hanging="315"/>
        <w:spacing w:after="0" w:line="25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CenterPoint Energy’s Electric reportable segment consisted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214" w:lineRule="exact"/>
        <w:rPr>
          <w:rFonts w:ascii="Arial" w:cs="Arial" w:eastAsia="Arial" w:hAnsi="Arial"/>
          <w:sz w:val="18"/>
          <w:szCs w:val="18"/>
          <w:color w:val="auto"/>
        </w:rPr>
      </w:pPr>
    </w:p>
    <w:p>
      <w:pPr>
        <w:jc w:val="both"/>
        <w:ind w:left="640" w:hanging="315"/>
        <w:spacing w:after="0" w:line="278"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CenterPoint Energy’s Natural Gas reportable segment consists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spacing w:after="0" w:line="197"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CenterPoint Energy’s Corporate and Other category consists of energy performance contracting and sustainable infrastructure services through Energy Systems Group through June 30, 2023, the date of the sale of Energy Systems Group, and corporate operations which support all of the business operations of CenterPoint Energy.</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Houston Electric</w:t>
      </w:r>
    </w:p>
    <w:p>
      <w:pPr>
        <w:spacing w:after="0" w:line="251" w:lineRule="exact"/>
        <w:rPr>
          <w:sz w:val="20"/>
          <w:szCs w:val="20"/>
          <w:color w:val="auto"/>
        </w:rPr>
      </w:pPr>
    </w:p>
    <w:p>
      <w:pPr>
        <w:ind w:left="640" w:hanging="315"/>
        <w:spacing w:after="0" w:line="265" w:lineRule="auto"/>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Houston Electric’s single reportable segment consisted of electric transmission services to transmission service customers in the ERCOT region and distribution services to REPs serving the Texas gulf coast area.</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CERC</w:t>
      </w:r>
    </w:p>
    <w:p>
      <w:pPr>
        <w:spacing w:after="0" w:line="251" w:lineRule="exact"/>
        <w:rPr>
          <w:sz w:val="20"/>
          <w:szCs w:val="20"/>
          <w:color w:val="auto"/>
        </w:rPr>
      </w:pPr>
    </w:p>
    <w:p>
      <w:pPr>
        <w:ind w:left="640" w:hanging="315"/>
        <w:spacing w:after="0" w:line="265" w:lineRule="auto"/>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CERC’s single reportable segment following the Restructuring consisted of (i) intrastate natural gas sales to, and natural gas transportation and distribution for, residential, commercial, industrial and institutional customers in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left="640"/>
        <w:spacing w:after="0" w:line="265" w:lineRule="auto"/>
        <w:rPr>
          <w:sz w:val="20"/>
          <w:szCs w:val="20"/>
          <w:color w:val="auto"/>
        </w:rPr>
      </w:pPr>
      <w:r>
        <w:rPr>
          <w:rFonts w:ascii="Arial" w:cs="Arial" w:eastAsia="Arial" w:hAnsi="Arial"/>
          <w:sz w:val="18"/>
          <w:szCs w:val="18"/>
          <w:color w:val="auto"/>
        </w:rPr>
        <w:t>Indiana, Louisiana, Minnesota, Mississippi, Ohio and Texas; and (ii) permanent pipeline connections through interconnects with various interstate and intrastate pipeline companies through CEIP.</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Financial data for reportable segments is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1"/>
              </w:rPr>
              <w:t>Three Months Ended June 30,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109"/>
              <w:spacing w:after="0" w:line="137" w:lineRule="exact"/>
              <w:rPr>
                <w:sz w:val="20"/>
                <w:szCs w:val="20"/>
                <w:color w:val="auto"/>
              </w:rPr>
            </w:pPr>
            <w:r>
              <w:rPr>
                <w:rFonts w:ascii="Arial" w:cs="Arial" w:eastAsia="Arial" w:hAnsi="Arial"/>
                <w:sz w:val="14"/>
                <w:szCs w:val="14"/>
                <w:b w:val="1"/>
                <w:bCs w:val="1"/>
                <w:color w:val="auto"/>
                <w:w w:val="88"/>
              </w:rPr>
              <w:t>Revenues from</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200"/>
              <w:spacing w:after="0" w:line="137" w:lineRule="exact"/>
              <w:rPr>
                <w:sz w:val="20"/>
                <w:szCs w:val="20"/>
                <w:color w:val="auto"/>
              </w:rPr>
            </w:pPr>
            <w:r>
              <w:rPr>
                <w:rFonts w:ascii="Arial" w:cs="Arial" w:eastAsia="Arial" w:hAnsi="Arial"/>
                <w:sz w:val="14"/>
                <w:szCs w:val="14"/>
                <w:b w:val="1"/>
                <w:bCs w:val="1"/>
                <w:color w:val="auto"/>
                <w:w w:val="88"/>
              </w:rPr>
              <w:t>Revenues from</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129"/>
              <w:spacing w:after="0" w:line="142" w:lineRule="exact"/>
              <w:rPr>
                <w:sz w:val="20"/>
                <w:szCs w:val="20"/>
                <w:color w:val="auto"/>
              </w:rPr>
            </w:pPr>
            <w:r>
              <w:rPr>
                <w:rFonts w:ascii="Arial" w:cs="Arial" w:eastAsia="Arial" w:hAnsi="Arial"/>
                <w:sz w:val="14"/>
                <w:szCs w:val="14"/>
                <w:b w:val="1"/>
                <w:bCs w:val="1"/>
                <w:color w:val="auto"/>
                <w:w w:val="94"/>
              </w:rPr>
              <w:t>External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jc w:val="right"/>
              <w:ind w:right="89"/>
              <w:spacing w:after="0"/>
              <w:rPr>
                <w:sz w:val="20"/>
                <w:szCs w:val="20"/>
                <w:color w:val="auto"/>
              </w:rPr>
            </w:pPr>
            <w:r>
              <w:rPr>
                <w:rFonts w:ascii="Arial" w:cs="Arial" w:eastAsia="Arial" w:hAnsi="Arial"/>
                <w:sz w:val="14"/>
                <w:szCs w:val="14"/>
                <w:b w:val="1"/>
                <w:bCs w:val="1"/>
                <w:color w:val="auto"/>
                <w:w w:val="92"/>
              </w:rPr>
              <w:t>Net Income (Loss)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left="60"/>
              <w:spacing w:after="0" w:line="142" w:lineRule="exact"/>
              <w:rPr>
                <w:sz w:val="20"/>
                <w:szCs w:val="20"/>
                <w:color w:val="auto"/>
              </w:rPr>
            </w:pPr>
            <w:r>
              <w:rPr>
                <w:rFonts w:ascii="Arial" w:cs="Arial" w:eastAsia="Arial" w:hAnsi="Arial"/>
                <w:sz w:val="14"/>
                <w:szCs w:val="14"/>
                <w:b w:val="1"/>
                <w:bCs w:val="1"/>
                <w:color w:val="auto"/>
                <w:w w:val="97"/>
              </w:rPr>
              <w:t>External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0"/>
              </w:rPr>
              <w:t>Net Income (Loss)</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09"/>
              <w:spacing w:after="0"/>
              <w:rPr>
                <w:sz w:val="20"/>
                <w:szCs w:val="20"/>
                <w:color w:val="auto"/>
              </w:rPr>
            </w:pPr>
            <w:r>
              <w:rPr>
                <w:rFonts w:ascii="Arial" w:cs="Arial" w:eastAsia="Arial" w:hAnsi="Arial"/>
                <w:sz w:val="14"/>
                <w:szCs w:val="14"/>
                <w:b w:val="1"/>
                <w:bCs w:val="1"/>
                <w:color w:val="auto"/>
                <w:w w:val="90"/>
              </w:rPr>
              <w:t>Customers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60"/>
              <w:spacing w:after="0"/>
              <w:rPr>
                <w:sz w:val="20"/>
                <w:szCs w:val="20"/>
                <w:color w:val="auto"/>
              </w:rPr>
            </w:pPr>
            <w:r>
              <w:rPr>
                <w:rFonts w:ascii="Arial" w:cs="Arial" w:eastAsia="Arial" w:hAnsi="Arial"/>
                <w:sz w:val="14"/>
                <w:szCs w:val="14"/>
                <w:b w:val="1"/>
                <w:bCs w:val="1"/>
                <w:color w:val="auto"/>
                <w:w w:val="90"/>
              </w:rPr>
              <w:t>Customers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1,037</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180</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1240" w:type="dxa"/>
            <w:vAlign w:val="bottom"/>
            <w:gridSpan w:val="2"/>
          </w:tcPr>
          <w:p>
            <w:pPr>
              <w:jc w:val="right"/>
              <w:ind w:right="9"/>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9"/>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818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2"/>
        </w:trPr>
        <w:tc>
          <w:tcPr>
            <w:tcW w:w="4780" w:type="dxa"/>
            <w:vAlign w:val="bottom"/>
          </w:tcPr>
          <w:p>
            <w:pPr>
              <w:ind w:left="140"/>
              <w:spacing w:after="0" w:line="193" w:lineRule="exact"/>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ind w:right="9"/>
              <w:spacing w:after="0" w:line="193" w:lineRule="exact"/>
              <w:rPr>
                <w:sz w:val="20"/>
                <w:szCs w:val="20"/>
                <w:color w:val="auto"/>
              </w:rPr>
            </w:pPr>
            <w:r>
              <w:rPr>
                <w:rFonts w:ascii="Arial" w:cs="Arial" w:eastAsia="Arial" w:hAnsi="Arial"/>
                <w:sz w:val="18"/>
                <w:szCs w:val="18"/>
                <w:color w:val="auto"/>
              </w:rPr>
              <w:t>1,875</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9"/>
              <w:spacing w:after="0" w:line="193" w:lineRule="exact"/>
              <w:rPr>
                <w:sz w:val="20"/>
                <w:szCs w:val="20"/>
                <w:color w:val="auto"/>
              </w:rPr>
            </w:pPr>
            <w:r>
              <w:rPr>
                <w:rFonts w:ascii="Arial" w:cs="Arial" w:eastAsia="Arial" w:hAnsi="Arial"/>
                <w:sz w:val="18"/>
                <w:szCs w:val="18"/>
                <w:color w:val="auto"/>
              </w:rPr>
              <w:t>118</w:t>
            </w:r>
          </w:p>
        </w:tc>
        <w:tc>
          <w:tcPr>
            <w:tcW w:w="340" w:type="dxa"/>
            <w:vAlign w:val="bottom"/>
            <w:tcBorders>
              <w:bottom w:val="single" w:sz="8" w:color="auto"/>
            </w:tcBorders>
            <w:gridSpan w:val="3"/>
          </w:tcPr>
          <w:p>
            <w:pPr>
              <w:jc w:val="right"/>
              <w:ind w:right="100"/>
              <w:spacing w:after="0" w:line="19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3"/>
          </w:tcPr>
          <w:p>
            <w:pPr>
              <w:jc w:val="right"/>
              <w:ind w:right="60"/>
              <w:spacing w:after="0" w:line="193" w:lineRule="exact"/>
              <w:rPr>
                <w:sz w:val="20"/>
                <w:szCs w:val="20"/>
                <w:color w:val="auto"/>
              </w:rPr>
            </w:pPr>
            <w:r>
              <w:rPr>
                <w:rFonts w:ascii="Arial" w:cs="Arial" w:eastAsia="Arial" w:hAnsi="Arial"/>
                <w:sz w:val="18"/>
                <w:szCs w:val="18"/>
                <w:color w:val="auto"/>
              </w:rPr>
              <w:t>1,944</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1"/>
              </w:rPr>
              <w:t>Six Months Ended June 30,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109"/>
              <w:spacing w:after="0" w:line="137" w:lineRule="exact"/>
              <w:rPr>
                <w:sz w:val="20"/>
                <w:szCs w:val="20"/>
                <w:color w:val="auto"/>
              </w:rPr>
            </w:pPr>
            <w:r>
              <w:rPr>
                <w:rFonts w:ascii="Arial" w:cs="Arial" w:eastAsia="Arial" w:hAnsi="Arial"/>
                <w:sz w:val="14"/>
                <w:szCs w:val="14"/>
                <w:b w:val="1"/>
                <w:bCs w:val="1"/>
                <w:color w:val="auto"/>
                <w:w w:val="88"/>
              </w:rPr>
              <w:t>Revenues from</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200"/>
              <w:spacing w:after="0" w:line="137" w:lineRule="exact"/>
              <w:rPr>
                <w:sz w:val="20"/>
                <w:szCs w:val="20"/>
                <w:color w:val="auto"/>
              </w:rPr>
            </w:pPr>
            <w:r>
              <w:rPr>
                <w:rFonts w:ascii="Arial" w:cs="Arial" w:eastAsia="Arial" w:hAnsi="Arial"/>
                <w:sz w:val="14"/>
                <w:szCs w:val="14"/>
                <w:b w:val="1"/>
                <w:bCs w:val="1"/>
                <w:color w:val="auto"/>
                <w:w w:val="88"/>
              </w:rPr>
              <w:t>Revenues from</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129"/>
              <w:spacing w:after="0" w:line="142" w:lineRule="exact"/>
              <w:rPr>
                <w:sz w:val="20"/>
                <w:szCs w:val="20"/>
                <w:color w:val="auto"/>
              </w:rPr>
            </w:pPr>
            <w:r>
              <w:rPr>
                <w:rFonts w:ascii="Arial" w:cs="Arial" w:eastAsia="Arial" w:hAnsi="Arial"/>
                <w:sz w:val="14"/>
                <w:szCs w:val="14"/>
                <w:b w:val="1"/>
                <w:bCs w:val="1"/>
                <w:color w:val="auto"/>
                <w:w w:val="94"/>
              </w:rPr>
              <w:t>External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jc w:val="right"/>
              <w:ind w:right="89"/>
              <w:spacing w:after="0"/>
              <w:rPr>
                <w:sz w:val="20"/>
                <w:szCs w:val="20"/>
                <w:color w:val="auto"/>
              </w:rPr>
            </w:pPr>
            <w:r>
              <w:rPr>
                <w:rFonts w:ascii="Arial" w:cs="Arial" w:eastAsia="Arial" w:hAnsi="Arial"/>
                <w:sz w:val="14"/>
                <w:szCs w:val="14"/>
                <w:b w:val="1"/>
                <w:bCs w:val="1"/>
                <w:color w:val="auto"/>
                <w:w w:val="92"/>
              </w:rPr>
              <w:t>Net Income (Loss)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left="60"/>
              <w:spacing w:after="0" w:line="142" w:lineRule="exact"/>
              <w:rPr>
                <w:sz w:val="20"/>
                <w:szCs w:val="20"/>
                <w:color w:val="auto"/>
              </w:rPr>
            </w:pPr>
            <w:r>
              <w:rPr>
                <w:rFonts w:ascii="Arial" w:cs="Arial" w:eastAsia="Arial" w:hAnsi="Arial"/>
                <w:sz w:val="14"/>
                <w:szCs w:val="14"/>
                <w:b w:val="1"/>
                <w:bCs w:val="1"/>
                <w:color w:val="auto"/>
                <w:w w:val="97"/>
              </w:rPr>
              <w:t>External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09"/>
              <w:spacing w:after="0"/>
              <w:rPr>
                <w:sz w:val="20"/>
                <w:szCs w:val="20"/>
                <w:color w:val="auto"/>
              </w:rPr>
            </w:pPr>
            <w:r>
              <w:rPr>
                <w:rFonts w:ascii="Arial" w:cs="Arial" w:eastAsia="Arial" w:hAnsi="Arial"/>
                <w:sz w:val="14"/>
                <w:szCs w:val="14"/>
                <w:b w:val="1"/>
                <w:bCs w:val="1"/>
                <w:color w:val="auto"/>
                <w:w w:val="90"/>
              </w:rPr>
              <w:t>Customers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60"/>
              <w:spacing w:after="0"/>
              <w:rPr>
                <w:sz w:val="20"/>
                <w:szCs w:val="20"/>
                <w:color w:val="auto"/>
              </w:rPr>
            </w:pPr>
            <w:r>
              <w:rPr>
                <w:rFonts w:ascii="Arial" w:cs="Arial" w:eastAsia="Arial" w:hAnsi="Arial"/>
                <w:sz w:val="14"/>
                <w:szCs w:val="14"/>
                <w:b w:val="1"/>
                <w:bCs w:val="1"/>
                <w:color w:val="auto"/>
                <w:w w:val="90"/>
              </w:rPr>
              <w:t>Customers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1,989</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303</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1,946</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1240" w:type="dxa"/>
            <w:vAlign w:val="bottom"/>
            <w:gridSpan w:val="2"/>
          </w:tcPr>
          <w:p>
            <w:pPr>
              <w:jc w:val="right"/>
              <w:ind w:right="9"/>
              <w:spacing w:after="0"/>
              <w:rPr>
                <w:sz w:val="20"/>
                <w:szCs w:val="20"/>
                <w:color w:val="auto"/>
              </w:rPr>
            </w:pPr>
            <w:r>
              <w:rPr>
                <w:rFonts w:ascii="Arial" w:cs="Arial" w:eastAsia="Arial" w:hAnsi="Arial"/>
                <w:sz w:val="18"/>
                <w:szCs w:val="18"/>
                <w:color w:val="auto"/>
              </w:rPr>
              <w:t>2,539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9"/>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2,642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119</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0"/>
        </w:trPr>
        <w:tc>
          <w:tcPr>
            <w:tcW w:w="478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8"/>
                <w:szCs w:val="18"/>
                <w:color w:val="auto"/>
              </w:rPr>
              <w:t>4,654</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4,707</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9160" w:type="dxa"/>
            <w:vAlign w:val="bottom"/>
            <w:gridSpan w:val="13"/>
          </w:tcPr>
          <w:p>
            <w:pPr>
              <w:ind w:left="320"/>
              <w:spacing w:after="0"/>
              <w:rPr>
                <w:sz w:val="20"/>
                <w:szCs w:val="20"/>
                <w:color w:val="auto"/>
              </w:rPr>
            </w:pPr>
            <w:r>
              <w:rPr>
                <w:rFonts w:ascii="Arial" w:cs="Arial" w:eastAsia="Arial" w:hAnsi="Arial"/>
                <w:sz w:val="18"/>
                <w:szCs w:val="18"/>
                <w:color w:val="auto"/>
                <w:w w:val="92"/>
              </w:rPr>
              <w:t>(1)  Houston Electric revenues from major external customers are as follows (CenterPoint Energy and Houston Electric):</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Borders>
              <w:bottom w:val="single" w:sz="8" w:color="auto"/>
            </w:tcBorders>
            <w:gridSpan w:val="6"/>
          </w:tcPr>
          <w:p>
            <w:pPr>
              <w:jc w:val="right"/>
              <w:ind w:right="249"/>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Borders>
              <w:bottom w:val="single" w:sz="8" w:color="auto"/>
            </w:tcBorders>
            <w:gridSpan w:val="6"/>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9"/>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109"/>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3"/>
          </w:tcPr>
          <w:p>
            <w:pPr>
              <w:jc w:val="right"/>
              <w:ind w:right="109"/>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535"/>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ind w:left="58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4"/>
          </w:tcPr>
          <w:p>
            <w:pPr>
              <w:ind w:left="5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19,024</w:t>
            </w:r>
          </w:p>
        </w:tc>
        <w:tc>
          <w:tcPr>
            <w:tcW w:w="0" w:type="dxa"/>
            <w:vAlign w:val="bottom"/>
          </w:tcPr>
          <w:p>
            <w:pPr>
              <w:spacing w:after="0"/>
              <w:rPr>
                <w:sz w:val="1"/>
                <w:szCs w:val="1"/>
                <w:color w:val="auto"/>
              </w:rPr>
            </w:pPr>
          </w:p>
        </w:tc>
      </w:tr>
      <w:tr>
        <w:trPr>
          <w:trHeight w:val="232"/>
        </w:trPr>
        <w:tc>
          <w:tcPr>
            <w:tcW w:w="4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18,043</w:t>
            </w:r>
          </w:p>
        </w:tc>
        <w:tc>
          <w:tcPr>
            <w:tcW w:w="0" w:type="dxa"/>
            <w:vAlign w:val="bottom"/>
          </w:tcPr>
          <w:p>
            <w:pPr>
              <w:spacing w:after="0"/>
              <w:rPr>
                <w:sz w:val="1"/>
                <w:szCs w:val="1"/>
                <w:color w:val="auto"/>
              </w:rPr>
            </w:pPr>
          </w:p>
        </w:tc>
      </w:tr>
      <w:tr>
        <w:trPr>
          <w:trHeight w:val="23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and Other, net of eliminations </w:t>
            </w:r>
            <w:r>
              <w:rPr>
                <w:rFonts w:ascii="Arial" w:cs="Arial" w:eastAsia="Arial" w:hAnsi="Arial"/>
                <w:sz w:val="14"/>
                <w:szCs w:val="14"/>
                <w:color w:val="auto"/>
              </w:rPr>
              <w:t>(1)</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0"/>
        </w:trPr>
        <w:tc>
          <w:tcPr>
            <w:tcW w:w="478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38,097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38,546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640" w:hanging="315"/>
        <w:spacing w:after="0" w:line="26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assets included pension and other postemployment-related regulatory assets of $385 million and $405 million as of June 30, 2023 and December 31, 2022,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CERC consists of a single reportable segment; therefore, a tabular reportable segment presentation has not been included.</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Disclosure of Cash Flow Information</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provides supplemental disclosure of cash flow information:</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b w:val="1"/>
                <w:bCs w:val="1"/>
                <w:color w:val="auto"/>
                <w:w w:val="94"/>
              </w:rPr>
              <w:t>Six Months Ended June 30,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149"/>
              <w:spacing w:after="0" w:line="137" w:lineRule="exact"/>
              <w:rPr>
                <w:sz w:val="20"/>
                <w:szCs w:val="20"/>
                <w:color w:val="auto"/>
              </w:rPr>
            </w:pPr>
            <w:r>
              <w:rPr>
                <w:rFonts w:ascii="Arial" w:cs="Arial" w:eastAsia="Arial" w:hAnsi="Arial"/>
                <w:sz w:val="14"/>
                <w:szCs w:val="14"/>
                <w:b w:val="1"/>
                <w:bCs w:val="1"/>
                <w:color w:val="auto"/>
                <w:w w:val="95"/>
              </w:rPr>
              <w:t>CenterPoint</w:t>
            </w:r>
          </w:p>
        </w:tc>
        <w:tc>
          <w:tcPr>
            <w:tcW w:w="260" w:type="dxa"/>
            <w:vAlign w:val="bottom"/>
          </w:tcPr>
          <w:p>
            <w:pPr>
              <w:spacing w:after="0"/>
              <w:rPr>
                <w:sz w:val="11"/>
                <w:szCs w:val="11"/>
                <w:color w:val="auto"/>
              </w:rPr>
            </w:pPr>
          </w:p>
        </w:tc>
        <w:tc>
          <w:tcPr>
            <w:tcW w:w="900" w:type="dxa"/>
            <w:vAlign w:val="bottom"/>
          </w:tcPr>
          <w:p>
            <w:pPr>
              <w:jc w:val="right"/>
              <w:ind w:right="229"/>
              <w:spacing w:after="0" w:line="137"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86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CERC</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49"/>
              <w:spacing w:after="0" w:line="137" w:lineRule="exact"/>
              <w:rPr>
                <w:sz w:val="20"/>
                <w:szCs w:val="20"/>
                <w:color w:val="auto"/>
              </w:rPr>
            </w:pPr>
            <w:r>
              <w:rPr>
                <w:rFonts w:ascii="Arial" w:cs="Arial" w:eastAsia="Arial" w:hAnsi="Arial"/>
                <w:sz w:val="14"/>
                <w:szCs w:val="14"/>
                <w:b w:val="1"/>
                <w:bCs w:val="1"/>
                <w:color w:val="auto"/>
                <w:w w:val="98"/>
              </w:rPr>
              <w:t>CenterPoint</w:t>
            </w:r>
          </w:p>
        </w:tc>
        <w:tc>
          <w:tcPr>
            <w:tcW w:w="260" w:type="dxa"/>
            <w:vAlign w:val="bottom"/>
          </w:tcPr>
          <w:p>
            <w:pPr>
              <w:spacing w:after="0"/>
              <w:rPr>
                <w:sz w:val="11"/>
                <w:szCs w:val="11"/>
                <w:color w:val="auto"/>
              </w:rPr>
            </w:pPr>
          </w:p>
        </w:tc>
        <w:tc>
          <w:tcPr>
            <w:tcW w:w="900" w:type="dxa"/>
            <w:vAlign w:val="bottom"/>
          </w:tcPr>
          <w:p>
            <w:pPr>
              <w:jc w:val="right"/>
              <w:ind w:right="229"/>
              <w:spacing w:after="0" w:line="137"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82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4"/>
          </w:tcPr>
          <w:p>
            <w:pPr>
              <w:jc w:val="right"/>
              <w:ind w:right="769"/>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Cash Payments/Receipts: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net of capitalized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317</w:t>
            </w:r>
          </w:p>
        </w:tc>
        <w:tc>
          <w:tcPr>
            <w:tcW w:w="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w:t>
            </w:r>
          </w:p>
        </w:tc>
        <w:tc>
          <w:tcPr>
            <w:tcW w:w="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219</w:t>
            </w:r>
          </w:p>
        </w:tc>
        <w:tc>
          <w:tcPr>
            <w:tcW w:w="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0"/>
        </w:trPr>
        <w:tc>
          <w:tcPr>
            <w:tcW w:w="4240" w:type="dxa"/>
            <w:vAlign w:val="bottom"/>
          </w:tcPr>
          <w:p>
            <w:pPr>
              <w:ind w:left="220"/>
              <w:spacing w:after="0"/>
              <w:rPr>
                <w:sz w:val="20"/>
                <w:szCs w:val="20"/>
                <w:color w:val="auto"/>
              </w:rPr>
            </w:pPr>
            <w:r>
              <w:rPr>
                <w:rFonts w:ascii="Arial" w:cs="Arial" w:eastAsia="Arial" w:hAnsi="Arial"/>
                <w:sz w:val="14"/>
                <w:szCs w:val="14"/>
                <w:color w:val="auto"/>
              </w:rPr>
              <w:t>Income tax payments, net</w:t>
            </w:r>
          </w:p>
        </w:tc>
        <w:tc>
          <w:tcPr>
            <w:tcW w:w="16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154</w:t>
            </w:r>
          </w:p>
        </w:tc>
        <w:tc>
          <w:tcPr>
            <w:tcW w:w="26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267</w:t>
            </w:r>
          </w:p>
        </w:tc>
        <w:tc>
          <w:tcPr>
            <w:tcW w:w="26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130</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transactions: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240" w:type="dxa"/>
            <w:vAlign w:val="bottom"/>
          </w:tcPr>
          <w:p>
            <w:pPr>
              <w:ind w:left="220"/>
              <w:spacing w:after="0"/>
              <w:rPr>
                <w:sz w:val="20"/>
                <w:szCs w:val="20"/>
                <w:color w:val="auto"/>
              </w:rPr>
            </w:pPr>
            <w:r>
              <w:rPr>
                <w:rFonts w:ascii="Arial" w:cs="Arial" w:eastAsia="Arial" w:hAnsi="Arial"/>
                <w:sz w:val="14"/>
                <w:szCs w:val="14"/>
                <w:color w:val="auto"/>
              </w:rPr>
              <w:t>Accounts payable related to capital expenditures</w:t>
            </w:r>
          </w:p>
        </w:tc>
        <w:tc>
          <w:tcPr>
            <w:tcW w:w="16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297</w:t>
            </w:r>
          </w:p>
        </w:tc>
        <w:tc>
          <w:tcPr>
            <w:tcW w:w="2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164</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352</w:t>
            </w:r>
          </w:p>
        </w:tc>
        <w:tc>
          <w:tcPr>
            <w:tcW w:w="2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221</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ROU assets obtained in exchange for lease liabilities </w:t>
            </w:r>
            <w:r>
              <w:rPr>
                <w:rFonts w:ascii="Arial" w:cs="Arial" w:eastAsia="Arial" w:hAnsi="Arial"/>
                <w:sz w:val="10"/>
                <w:szCs w:val="10"/>
                <w:color w:val="auto"/>
              </w:rPr>
              <w:t>(1)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Excludes ROU assets obtained through prepayment of the lease liabilities. See Note 19.</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(1)</w:t>
      </w:r>
    </w:p>
    <w:p>
      <w:pPr>
        <w:spacing w:after="0" w:line="25" w:lineRule="exact"/>
        <w:rPr>
          <w:sz w:val="20"/>
          <w:szCs w:val="20"/>
          <w:color w:val="auto"/>
        </w:rPr>
      </w:pPr>
    </w:p>
    <w:p>
      <w:pPr>
        <w:ind w:left="180" w:hanging="158"/>
        <w:spacing w:after="0" w:line="246" w:lineRule="auto"/>
        <w:rPr>
          <w:sz w:val="20"/>
          <w:szCs w:val="20"/>
          <w:color w:val="auto"/>
        </w:rPr>
      </w:pPr>
      <w:r>
        <w:rPr>
          <w:rFonts w:ascii="Arial" w:cs="Arial" w:eastAsia="Arial" w:hAnsi="Arial"/>
          <w:sz w:val="14"/>
          <w:szCs w:val="14"/>
          <w:color w:val="auto"/>
        </w:rPr>
        <w:t>Restricted cash included in Prepaid expenses and other current assets</w:t>
      </w:r>
    </w:p>
    <w:p>
      <w:pPr>
        <w:spacing w:after="0" w:line="15" w:lineRule="exact"/>
        <w:rPr>
          <w:sz w:val="20"/>
          <w:szCs w:val="20"/>
          <w:color w:val="auto"/>
        </w:rPr>
      </w:pPr>
    </w:p>
    <w:p>
      <w:pPr>
        <w:ind w:left="500" w:hanging="158"/>
        <w:spacing w:after="0" w:line="304" w:lineRule="auto"/>
        <w:rPr>
          <w:sz w:val="20"/>
          <w:szCs w:val="20"/>
          <w:color w:val="auto"/>
        </w:rPr>
      </w:pPr>
      <w:r>
        <w:rPr>
          <w:rFonts w:ascii="Arial" w:cs="Arial" w:eastAsia="Arial" w:hAnsi="Arial"/>
          <w:sz w:val="12"/>
          <w:szCs w:val="12"/>
          <w:color w:val="auto"/>
        </w:rPr>
        <w:t>Total cash, cash equivalents and restricted cash shown in Condensed Statements of Consolidated Cash Flows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b w:val="1"/>
                <w:bCs w:val="1"/>
                <w:color w:val="auto"/>
                <w:w w:val="90"/>
              </w:rPr>
              <w:t>June 30, 2023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60" w:type="dxa"/>
            <w:vAlign w:val="bottom"/>
          </w:tcPr>
          <w:p>
            <w:pPr>
              <w:spacing w:after="0"/>
              <w:rPr>
                <w:sz w:val="11"/>
                <w:szCs w:val="11"/>
                <w:color w:val="auto"/>
              </w:rPr>
            </w:pPr>
          </w:p>
        </w:tc>
        <w:tc>
          <w:tcPr>
            <w:tcW w:w="1040" w:type="dxa"/>
            <w:vAlign w:val="bottom"/>
          </w:tcPr>
          <w:p>
            <w:pPr>
              <w:jc w:val="right"/>
              <w:ind w:right="149"/>
              <w:spacing w:after="0" w:line="130" w:lineRule="exact"/>
              <w:rPr>
                <w:sz w:val="20"/>
                <w:szCs w:val="20"/>
                <w:color w:val="auto"/>
              </w:rPr>
            </w:pPr>
            <w:r>
              <w:rPr>
                <w:rFonts w:ascii="Arial" w:cs="Arial" w:eastAsia="Arial" w:hAnsi="Arial"/>
                <w:sz w:val="14"/>
                <w:szCs w:val="14"/>
                <w:b w:val="1"/>
                <w:bCs w:val="1"/>
                <w:color w:val="auto"/>
              </w:rPr>
              <w:t>CenterPoint</w:t>
            </w:r>
          </w:p>
        </w:tc>
        <w:tc>
          <w:tcPr>
            <w:tcW w:w="120" w:type="dxa"/>
            <w:vAlign w:val="bottom"/>
          </w:tcPr>
          <w:p>
            <w:pPr>
              <w:spacing w:after="0"/>
              <w:rPr>
                <w:sz w:val="11"/>
                <w:szCs w:val="11"/>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Houston Electric</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CenterPoint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w w:val="95"/>
              </w:rPr>
              <w:t>Houston Electric</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Energy</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gridSpan w:val="3"/>
          </w:tcPr>
          <w:p>
            <w:pPr>
              <w:jc w:val="right"/>
              <w:ind w:right="609"/>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c>
          <w:tcPr>
            <w:tcW w:w="940" w:type="dxa"/>
            <w:vAlign w:val="bottom"/>
            <w:gridSpan w:val="2"/>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80" w:type="dxa"/>
            <w:vAlign w:val="bottom"/>
            <w:gridSpan w:val="2"/>
          </w:tcPr>
          <w:p>
            <w:pPr>
              <w:jc w:val="right"/>
              <w:ind w:right="809"/>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89"/>
              </w:rPr>
              <w:t>74</w:t>
            </w: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75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8"/>
        </w:trPr>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89"/>
              </w:rPr>
              <w:t>17</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74</w:t>
            </w:r>
          </w:p>
        </w:tc>
        <w:tc>
          <w:tcPr>
            <w:tcW w:w="940" w:type="dxa"/>
            <w:vAlign w:val="bottom"/>
            <w:gridSpan w:val="2"/>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80" w:type="dxa"/>
            <w:vAlign w:val="bottom"/>
            <w:gridSpan w:val="2"/>
          </w:tcPr>
          <w:p>
            <w:pPr>
              <w:jc w:val="right"/>
              <w:ind w:right="809"/>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89"/>
              </w:rPr>
              <w:t>91</w:t>
            </w: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88</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-564515</wp:posOffset>
            </wp:positionV>
            <wp:extent cx="7125970" cy="1181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25970" cy="11811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-227330</wp:posOffset>
            </wp:positionV>
            <wp:extent cx="7125970" cy="2108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5970" cy="2108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60"/>
            <w:col w:w="7620"/>
          </w:cols>
          <w:pgMar w:left="320" w:top="127" w:right="339" w:bottom="1440" w:gutter="0" w:footer="0" w:header="0"/>
          <w:type w:val="continuous"/>
        </w:sectPr>
      </w:pPr>
    </w:p>
    <w:p>
      <w:pPr>
        <w:spacing w:after="0" w:line="120" w:lineRule="exact"/>
        <w:rPr>
          <w:sz w:val="20"/>
          <w:szCs w:val="20"/>
          <w:color w:val="auto"/>
        </w:rPr>
      </w:pPr>
    </w:p>
    <w:p>
      <w:pPr>
        <w:ind w:left="640" w:hanging="315"/>
        <w:spacing w:after="0" w:line="265" w:lineRule="auto"/>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Cash and cash equivalents related to VIEs as of June 30, 2023 and December 31, 2022 included $63 million and $75 million, respectively, at CenterPoint Energy and $62 million and $75 million, respectively, at Houston Electric.</w:t>
      </w:r>
    </w:p>
    <w:p>
      <w:pPr>
        <w:spacing w:after="0" w:line="200" w:lineRule="exact"/>
        <w:rPr>
          <w:rFonts w:ascii="Arial" w:cs="Arial" w:eastAsia="Arial" w:hAnsi="Arial"/>
          <w:sz w:val="18"/>
          <w:szCs w:val="18"/>
          <w:color w:val="auto"/>
        </w:rPr>
      </w:pPr>
    </w:p>
    <w:p>
      <w:pPr>
        <w:ind w:left="340" w:hanging="334"/>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(Houston Electric and CERC)</w:t>
      </w:r>
    </w:p>
    <w:p>
      <w:pPr>
        <w:spacing w:after="0" w:line="251"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June 30, 2023</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960" w:type="dxa"/>
            <w:vAlign w:val="bottom"/>
          </w:tcPr>
          <w:p>
            <w:pPr>
              <w:spacing w:after="0"/>
              <w:rPr>
                <w:sz w:val="16"/>
                <w:szCs w:val="16"/>
                <w:color w:val="auto"/>
              </w:rPr>
            </w:pPr>
          </w:p>
        </w:tc>
      </w:tr>
      <w:tr>
        <w:trPr>
          <w:trHeight w:val="24"/>
        </w:trPr>
        <w:tc>
          <w:tcPr>
            <w:tcW w:w="4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4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5"/>
              </w:rPr>
              <w:t>Houston Electric</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5"/>
              </w:rPr>
              <w:t>Houston Electric</w:t>
            </w: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CERC</w:t>
            </w:r>
          </w:p>
        </w:tc>
      </w:tr>
      <w:tr>
        <w:trPr>
          <w:trHeight w:val="185"/>
        </w:trPr>
        <w:tc>
          <w:tcPr>
            <w:tcW w:w="4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0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millions, except interest rates)</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Money pool investments (borrowings) </w:t>
            </w:r>
            <w:r>
              <w:rPr>
                <w:rFonts w:ascii="Arial" w:cs="Arial" w:eastAsia="Arial" w:hAnsi="Arial"/>
                <w:sz w:val="12"/>
                <w:szCs w:val="12"/>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(110)</w:t>
            </w:r>
          </w:p>
        </w:tc>
        <w:tc>
          <w:tcPr>
            <w:tcW w:w="5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417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(642)</w:t>
            </w:r>
          </w:p>
        </w:tc>
        <w:tc>
          <w:tcPr>
            <w:tcW w:w="5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r>
      <w:tr>
        <w:trPr>
          <w:trHeight w:val="207"/>
        </w:trPr>
        <w:tc>
          <w:tcPr>
            <w:tcW w:w="4960" w:type="dxa"/>
            <w:vAlign w:val="bottom"/>
          </w:tcPr>
          <w:p>
            <w:pPr>
              <w:ind w:left="20"/>
              <w:spacing w:after="0"/>
              <w:rPr>
                <w:sz w:val="20"/>
                <w:szCs w:val="20"/>
                <w:color w:val="auto"/>
              </w:rPr>
            </w:pPr>
            <w:r>
              <w:rPr>
                <w:rFonts w:ascii="Arial" w:cs="Arial" w:eastAsia="Arial" w:hAnsi="Arial"/>
                <w:sz w:val="16"/>
                <w:szCs w:val="16"/>
                <w:color w:val="auto"/>
              </w:rPr>
              <w:t>Weighted average interest rate</w:t>
            </w:r>
          </w:p>
        </w:tc>
        <w:tc>
          <w:tcPr>
            <w:tcW w:w="160" w:type="dxa"/>
            <w:vAlign w:val="bottom"/>
          </w:tcPr>
          <w:p>
            <w:pPr>
              <w:spacing w:after="0"/>
              <w:rPr>
                <w:sz w:val="18"/>
                <w:szCs w:val="18"/>
                <w:color w:val="auto"/>
              </w:rPr>
            </w:pPr>
          </w:p>
        </w:tc>
        <w:tc>
          <w:tcPr>
            <w:tcW w:w="1380" w:type="dxa"/>
            <w:vAlign w:val="bottom"/>
          </w:tcPr>
          <w:p>
            <w:pPr>
              <w:jc w:val="right"/>
              <w:ind w:right="5"/>
              <w:spacing w:after="0"/>
              <w:rPr>
                <w:sz w:val="20"/>
                <w:szCs w:val="20"/>
                <w:color w:val="auto"/>
              </w:rPr>
            </w:pPr>
            <w:r>
              <w:rPr>
                <w:rFonts w:ascii="Arial" w:cs="Arial" w:eastAsia="Arial" w:hAnsi="Arial"/>
                <w:sz w:val="16"/>
                <w:szCs w:val="16"/>
                <w:color w:val="auto"/>
              </w:rPr>
              <w:t>5.50 %</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5"/>
              <w:spacing w:after="0"/>
              <w:rPr>
                <w:sz w:val="20"/>
                <w:szCs w:val="20"/>
                <w:color w:val="auto"/>
              </w:rPr>
            </w:pPr>
            <w:r>
              <w:rPr>
                <w:rFonts w:ascii="Arial" w:cs="Arial" w:eastAsia="Arial" w:hAnsi="Arial"/>
                <w:sz w:val="16"/>
                <w:szCs w:val="16"/>
                <w:color w:val="auto"/>
              </w:rPr>
              <w:t>4.75 %</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4.75 %</w:t>
            </w:r>
          </w:p>
        </w:tc>
      </w:tr>
    </w:tbl>
    <w:p>
      <w:pPr>
        <w:spacing w:after="0" w:line="311" w:lineRule="exact"/>
        <w:rPr>
          <w:sz w:val="20"/>
          <w:szCs w:val="20"/>
          <w:color w:val="auto"/>
        </w:rPr>
      </w:pPr>
    </w:p>
    <w:p>
      <w:pPr>
        <w:ind w:left="640" w:hanging="315"/>
        <w:spacing w:after="0" w:line="265"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207" w:lineRule="exact"/>
        <w:rPr>
          <w:sz w:val="20"/>
          <w:szCs w:val="20"/>
          <w:color w:val="auto"/>
        </w:rPr>
      </w:pPr>
    </w:p>
    <w:p>
      <w:pPr>
        <w:jc w:val="both"/>
        <w:ind w:firstLine="319"/>
        <w:spacing w:after="0" w:line="309" w:lineRule="auto"/>
        <w:rPr>
          <w:sz w:val="20"/>
          <w:szCs w:val="20"/>
          <w:color w:val="auto"/>
        </w:rPr>
      </w:pPr>
      <w:r>
        <w:rPr>
          <w:rFonts w:ascii="Arial" w:cs="Arial" w:eastAsia="Arial" w:hAnsi="Arial"/>
          <w:sz w:val="15"/>
          <w:szCs w:val="15"/>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an allocation and include line locating and other miscellaneous services. These charges are not necessarily indicative of what would have been incurred had Houston Electric and CERC not been affiliates.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46"/>
              <w:spacing w:after="0" w:line="137" w:lineRule="exact"/>
              <w:rPr>
                <w:sz w:val="20"/>
                <w:szCs w:val="20"/>
                <w:color w:val="auto"/>
              </w:rPr>
            </w:pPr>
            <w:r>
              <w:rPr>
                <w:rFonts w:ascii="Arial" w:cs="Arial" w:eastAsia="Arial" w:hAnsi="Arial"/>
                <w:sz w:val="14"/>
                <w:szCs w:val="14"/>
                <w:b w:val="1"/>
                <w:bCs w:val="1"/>
                <w:color w:val="auto"/>
                <w:w w:val="91"/>
              </w:rPr>
              <w:t>Houston</w:t>
            </w:r>
          </w:p>
        </w:tc>
        <w:tc>
          <w:tcPr>
            <w:tcW w:w="160" w:type="dxa"/>
            <w:vAlign w:val="bottom"/>
          </w:tcPr>
          <w:p>
            <w:pPr>
              <w:spacing w:after="0"/>
              <w:rPr>
                <w:sz w:val="11"/>
                <w:szCs w:val="11"/>
                <w:color w:val="auto"/>
              </w:rPr>
            </w:pPr>
          </w:p>
        </w:tc>
        <w:tc>
          <w:tcPr>
            <w:tcW w:w="880" w:type="dxa"/>
            <w:vAlign w:val="bottom"/>
            <w:vMerge w:val="restart"/>
          </w:tcPr>
          <w:p>
            <w:pPr>
              <w:jc w:val="right"/>
              <w:ind w:right="225"/>
              <w:spacing w:after="0"/>
              <w:rPr>
                <w:sz w:val="20"/>
                <w:szCs w:val="20"/>
                <w:color w:val="auto"/>
              </w:rPr>
            </w:pPr>
            <w:r>
              <w:rPr>
                <w:rFonts w:ascii="Arial" w:cs="Arial" w:eastAsia="Arial" w:hAnsi="Arial"/>
                <w:sz w:val="14"/>
                <w:szCs w:val="14"/>
                <w:b w:val="1"/>
                <w:bCs w:val="1"/>
                <w:color w:val="auto"/>
              </w:rPr>
              <w:t>CERC</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Houston</w:t>
            </w:r>
          </w:p>
        </w:tc>
        <w:tc>
          <w:tcPr>
            <w:tcW w:w="240" w:type="dxa"/>
            <w:vAlign w:val="bottom"/>
          </w:tcPr>
          <w:p>
            <w:pPr>
              <w:spacing w:after="0"/>
              <w:rPr>
                <w:sz w:val="11"/>
                <w:szCs w:val="11"/>
                <w:color w:val="auto"/>
              </w:rPr>
            </w:pPr>
          </w:p>
        </w:tc>
        <w:tc>
          <w:tcPr>
            <w:tcW w:w="78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CERC</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60"/>
              <w:spacing w:after="0" w:line="137" w:lineRule="exact"/>
              <w:rPr>
                <w:sz w:val="20"/>
                <w:szCs w:val="20"/>
                <w:color w:val="auto"/>
              </w:rPr>
            </w:pPr>
            <w:r>
              <w:rPr>
                <w:rFonts w:ascii="Arial" w:cs="Arial" w:eastAsia="Arial" w:hAnsi="Arial"/>
                <w:sz w:val="14"/>
                <w:szCs w:val="14"/>
                <w:b w:val="1"/>
                <w:bCs w:val="1"/>
                <w:color w:val="auto"/>
              </w:rPr>
              <w:t>Houston</w:t>
            </w:r>
          </w:p>
        </w:tc>
        <w:tc>
          <w:tcPr>
            <w:tcW w:w="200" w:type="dxa"/>
            <w:vAlign w:val="bottom"/>
          </w:tcPr>
          <w:p>
            <w:pPr>
              <w:spacing w:after="0"/>
              <w:rPr>
                <w:sz w:val="11"/>
                <w:szCs w:val="11"/>
                <w:color w:val="auto"/>
              </w:rPr>
            </w:pPr>
          </w:p>
        </w:tc>
        <w:tc>
          <w:tcPr>
            <w:tcW w:w="82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146"/>
              <w:spacing w:after="0" w:line="137" w:lineRule="exact"/>
              <w:rPr>
                <w:sz w:val="20"/>
                <w:szCs w:val="20"/>
                <w:color w:val="auto"/>
              </w:rPr>
            </w:pPr>
            <w:r>
              <w:rPr>
                <w:rFonts w:ascii="Arial" w:cs="Arial" w:eastAsia="Arial" w:hAnsi="Arial"/>
                <w:sz w:val="14"/>
                <w:szCs w:val="14"/>
                <w:b w:val="1"/>
                <w:bCs w:val="1"/>
                <w:color w:val="auto"/>
                <w:w w:val="87"/>
              </w:rPr>
              <w:t>Houston</w:t>
            </w:r>
          </w:p>
        </w:tc>
        <w:tc>
          <w:tcPr>
            <w:tcW w:w="240" w:type="dxa"/>
            <w:vAlign w:val="bottom"/>
          </w:tcPr>
          <w:p>
            <w:pPr>
              <w:spacing w:after="0"/>
              <w:rPr>
                <w:sz w:val="11"/>
                <w:szCs w:val="11"/>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4"/>
              </w:rPr>
              <w:t>Electric</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0"/>
              </w:rPr>
              <w:t>Electric</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4"/>
          </w:tcPr>
          <w:p>
            <w:pPr>
              <w:ind w:left="4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service charges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37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75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7"/>
        </w:trPr>
        <w:tc>
          <w:tcPr>
            <w:tcW w:w="2680" w:type="dxa"/>
            <w:vAlign w:val="bottom"/>
          </w:tcPr>
          <w:p>
            <w:pPr>
              <w:ind w:left="20"/>
              <w:spacing w:after="0"/>
              <w:rPr>
                <w:sz w:val="20"/>
                <w:szCs w:val="20"/>
                <w:color w:val="auto"/>
              </w:rPr>
            </w:pPr>
            <w:r>
              <w:rPr>
                <w:rFonts w:ascii="Arial" w:cs="Arial" w:eastAsia="Arial" w:hAnsi="Arial"/>
                <w:sz w:val="16"/>
                <w:szCs w:val="16"/>
                <w:color w:val="auto"/>
              </w:rPr>
              <w:t>Net affiliate service charges (billings)</w:t>
            </w:r>
          </w:p>
        </w:tc>
        <w:tc>
          <w:tcPr>
            <w:tcW w:w="16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880" w:type="dxa"/>
            <w:vAlign w:val="bottom"/>
          </w:tcPr>
          <w:p>
            <w:pPr>
              <w:jc w:val="right"/>
              <w:ind w:right="5"/>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transactions among Houston Electric, CERC and their parent, CenterPoint Energy.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4"/>
          </w:tcPr>
          <w:p>
            <w:pPr>
              <w:jc w:val="right"/>
              <w:ind w:right="63"/>
              <w:spacing w:after="0"/>
              <w:rPr>
                <w:sz w:val="20"/>
                <w:szCs w:val="20"/>
                <w:color w:val="auto"/>
              </w:rPr>
            </w:pPr>
            <w:r>
              <w:rPr>
                <w:rFonts w:ascii="Arial" w:cs="Arial" w:eastAsia="Arial" w:hAnsi="Arial"/>
                <w:sz w:val="14"/>
                <w:szCs w:val="14"/>
                <w:b w:val="1"/>
                <w:bCs w:val="1"/>
                <w:color w:val="auto"/>
                <w:w w:val="91"/>
              </w:rPr>
              <w:t>Three Months Ended June 30,</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4"/>
          </w:tcPr>
          <w:p>
            <w:pPr>
              <w:jc w:val="right"/>
              <w:ind w:right="163"/>
              <w:spacing w:after="0"/>
              <w:rPr>
                <w:sz w:val="20"/>
                <w:szCs w:val="20"/>
                <w:color w:val="auto"/>
              </w:rPr>
            </w:pPr>
            <w:r>
              <w:rPr>
                <w:rFonts w:ascii="Arial" w:cs="Arial" w:eastAsia="Arial" w:hAnsi="Arial"/>
                <w:sz w:val="14"/>
                <w:szCs w:val="14"/>
                <w:b w:val="1"/>
                <w:bCs w:val="1"/>
                <w:color w:val="auto"/>
                <w:w w:val="92"/>
              </w:rPr>
              <w:t>Six Months Ended June 30,</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83"/>
              <w:spacing w:after="0" w:line="133" w:lineRule="exact"/>
              <w:rPr>
                <w:sz w:val="20"/>
                <w:szCs w:val="20"/>
                <w:color w:val="auto"/>
              </w:rPr>
            </w:pPr>
            <w:r>
              <w:rPr>
                <w:rFonts w:ascii="Arial" w:cs="Arial" w:eastAsia="Arial" w:hAnsi="Arial"/>
                <w:sz w:val="14"/>
                <w:szCs w:val="14"/>
                <w:b w:val="1"/>
                <w:bCs w:val="1"/>
                <w:color w:val="auto"/>
                <w:w w:val="98"/>
              </w:rPr>
              <w:t>Houston</w:t>
            </w:r>
          </w:p>
        </w:tc>
        <w:tc>
          <w:tcPr>
            <w:tcW w:w="180" w:type="dxa"/>
            <w:vAlign w:val="bottom"/>
          </w:tcPr>
          <w:p>
            <w:pPr>
              <w:spacing w:after="0"/>
              <w:rPr>
                <w:sz w:val="11"/>
                <w:szCs w:val="11"/>
                <w:color w:val="auto"/>
              </w:rPr>
            </w:pPr>
          </w:p>
        </w:tc>
        <w:tc>
          <w:tcPr>
            <w:tcW w:w="8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CERC</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183"/>
              <w:spacing w:after="0" w:line="133" w:lineRule="exact"/>
              <w:rPr>
                <w:sz w:val="20"/>
                <w:szCs w:val="20"/>
                <w:color w:val="auto"/>
              </w:rPr>
            </w:pPr>
            <w:r>
              <w:rPr>
                <w:rFonts w:ascii="Arial" w:cs="Arial" w:eastAsia="Arial" w:hAnsi="Arial"/>
                <w:sz w:val="14"/>
                <w:szCs w:val="14"/>
                <w:b w:val="1"/>
                <w:bCs w:val="1"/>
                <w:color w:val="auto"/>
                <w:w w:val="98"/>
              </w:rPr>
              <w:t>Houston</w:t>
            </w:r>
          </w:p>
        </w:tc>
        <w:tc>
          <w:tcPr>
            <w:tcW w:w="260" w:type="dxa"/>
            <w:vAlign w:val="bottom"/>
          </w:tcPr>
          <w:p>
            <w:pPr>
              <w:spacing w:after="0"/>
              <w:rPr>
                <w:sz w:val="11"/>
                <w:szCs w:val="11"/>
                <w:color w:val="auto"/>
              </w:rPr>
            </w:pPr>
          </w:p>
        </w:tc>
        <w:tc>
          <w:tcPr>
            <w:tcW w:w="7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83"/>
              <w:spacing w:after="0" w:line="133" w:lineRule="exact"/>
              <w:rPr>
                <w:sz w:val="20"/>
                <w:szCs w:val="20"/>
                <w:color w:val="auto"/>
              </w:rPr>
            </w:pPr>
            <w:r>
              <w:rPr>
                <w:rFonts w:ascii="Arial" w:cs="Arial" w:eastAsia="Arial" w:hAnsi="Arial"/>
                <w:sz w:val="14"/>
                <w:szCs w:val="14"/>
                <w:b w:val="1"/>
                <w:bCs w:val="1"/>
                <w:color w:val="auto"/>
                <w:w w:val="98"/>
              </w:rPr>
              <w:t>Houston</w:t>
            </w:r>
          </w:p>
        </w:tc>
        <w:tc>
          <w:tcPr>
            <w:tcW w:w="220" w:type="dxa"/>
            <w:vAlign w:val="bottom"/>
          </w:tcPr>
          <w:p>
            <w:pPr>
              <w:spacing w:after="0"/>
              <w:rPr>
                <w:sz w:val="11"/>
                <w:szCs w:val="11"/>
                <w:color w:val="auto"/>
              </w:rPr>
            </w:pPr>
          </w:p>
        </w:tc>
        <w:tc>
          <w:tcPr>
            <w:tcW w:w="8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CERC</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183"/>
              <w:spacing w:after="0" w:line="133" w:lineRule="exact"/>
              <w:rPr>
                <w:sz w:val="20"/>
                <w:szCs w:val="20"/>
                <w:color w:val="auto"/>
              </w:rPr>
            </w:pPr>
            <w:r>
              <w:rPr>
                <w:rFonts w:ascii="Arial" w:cs="Arial" w:eastAsia="Arial" w:hAnsi="Arial"/>
                <w:sz w:val="14"/>
                <w:szCs w:val="14"/>
                <w:b w:val="1"/>
                <w:bCs w:val="1"/>
                <w:color w:val="auto"/>
                <w:w w:val="98"/>
              </w:rPr>
              <w:t>Houston</w:t>
            </w:r>
          </w:p>
        </w:tc>
        <w:tc>
          <w:tcPr>
            <w:tcW w:w="260" w:type="dxa"/>
            <w:vAlign w:val="bottom"/>
          </w:tcPr>
          <w:p>
            <w:pPr>
              <w:spacing w:after="0"/>
              <w:rPr>
                <w:sz w:val="11"/>
                <w:szCs w:val="11"/>
                <w:color w:val="auto"/>
              </w:rPr>
            </w:pPr>
          </w:p>
        </w:tc>
        <w:tc>
          <w:tcPr>
            <w:tcW w:w="7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2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Electric</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to parent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63"/>
        </w:trPr>
        <w:tc>
          <w:tcPr>
            <w:tcW w:w="2720" w:type="dxa"/>
            <w:vAlign w:val="bottom"/>
          </w:tcPr>
          <w:p>
            <w:pPr>
              <w:ind w:left="20"/>
              <w:spacing w:after="0" w:line="163" w:lineRule="exact"/>
              <w:rPr>
                <w:sz w:val="20"/>
                <w:szCs w:val="20"/>
                <w:color w:val="auto"/>
              </w:rPr>
            </w:pPr>
            <w:r>
              <w:rPr>
                <w:rFonts w:ascii="Arial" w:cs="Arial" w:eastAsia="Arial" w:hAnsi="Arial"/>
                <w:sz w:val="16"/>
                <w:szCs w:val="16"/>
                <w:color w:val="auto"/>
                <w:w w:val="97"/>
              </w:rPr>
              <w:t>Cash dividend paid to parent related to</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20" w:type="dxa"/>
            <w:vAlign w:val="bottom"/>
          </w:tcPr>
          <w:p>
            <w:pPr>
              <w:ind w:left="180"/>
              <w:spacing w:after="0" w:line="159" w:lineRule="exact"/>
              <w:rPr>
                <w:sz w:val="20"/>
                <w:szCs w:val="20"/>
                <w:color w:val="auto"/>
              </w:rPr>
            </w:pPr>
            <w:r>
              <w:rPr>
                <w:rFonts w:ascii="Arial" w:cs="Arial" w:eastAsia="Arial" w:hAnsi="Arial"/>
                <w:sz w:val="16"/>
                <w:szCs w:val="16"/>
                <w:color w:val="auto"/>
              </w:rPr>
              <w:t>the sale of the Arkansas and</w:t>
            </w:r>
          </w:p>
        </w:tc>
        <w:tc>
          <w:tcPr>
            <w:tcW w:w="160" w:type="dxa"/>
            <w:vAlign w:val="bottom"/>
          </w:tcPr>
          <w:p>
            <w:pPr>
              <w:spacing w:after="0"/>
              <w:rPr>
                <w:sz w:val="13"/>
                <w:szCs w:val="13"/>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7"/>
        </w:trPr>
        <w:tc>
          <w:tcPr>
            <w:tcW w:w="2720" w:type="dxa"/>
            <w:vAlign w:val="bottom"/>
          </w:tcPr>
          <w:p>
            <w:pPr>
              <w:ind w:left="180"/>
              <w:spacing w:after="0"/>
              <w:rPr>
                <w:sz w:val="20"/>
                <w:szCs w:val="20"/>
                <w:color w:val="auto"/>
              </w:rPr>
            </w:pPr>
            <w:r>
              <w:rPr>
                <w:rFonts w:ascii="Arial" w:cs="Arial" w:eastAsia="Arial" w:hAnsi="Arial"/>
                <w:sz w:val="16"/>
                <w:szCs w:val="16"/>
                <w:color w:val="auto"/>
              </w:rPr>
              <w:t>Oklahoma Natural Gas businesses</w:t>
            </w: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contribution from parent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1,143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0"/>
        </w:trPr>
        <w:tc>
          <w:tcPr>
            <w:tcW w:w="2720" w:type="dxa"/>
            <w:vAlign w:val="bottom"/>
          </w:tcPr>
          <w:p>
            <w:pPr>
              <w:ind w:left="20"/>
              <w:spacing w:after="0"/>
              <w:rPr>
                <w:sz w:val="20"/>
                <w:szCs w:val="20"/>
                <w:color w:val="auto"/>
              </w:rPr>
            </w:pPr>
            <w:r>
              <w:rPr>
                <w:rFonts w:ascii="Arial" w:cs="Arial" w:eastAsia="Arial" w:hAnsi="Arial"/>
                <w:sz w:val="16"/>
                <w:szCs w:val="16"/>
                <w:color w:val="auto"/>
                <w:w w:val="94"/>
              </w:rPr>
              <w:t>Net assets acquired in the Restructuring</w:t>
            </w:r>
          </w:p>
        </w:tc>
        <w:tc>
          <w:tcPr>
            <w:tcW w:w="16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Non-cash capital contribution from</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20" w:type="dxa"/>
            <w:vAlign w:val="bottom"/>
            <w:shd w:val="clear" w:color="auto" w:fill="CCEEFF"/>
          </w:tcPr>
          <w:p>
            <w:pPr>
              <w:ind w:left="180"/>
              <w:spacing w:after="0" w:line="159" w:lineRule="exact"/>
              <w:rPr>
                <w:sz w:val="20"/>
                <w:szCs w:val="20"/>
                <w:color w:val="auto"/>
              </w:rPr>
            </w:pPr>
            <w:r>
              <w:rPr>
                <w:rFonts w:ascii="Arial" w:cs="Arial" w:eastAsia="Arial" w:hAnsi="Arial"/>
                <w:sz w:val="16"/>
                <w:szCs w:val="16"/>
                <w:color w:val="auto"/>
                <w:w w:val="97"/>
              </w:rPr>
              <w:t>parent in payment for property, plant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38</w:t>
            </w: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equipment below</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20" w:type="dxa"/>
            <w:vAlign w:val="bottom"/>
          </w:tcPr>
          <w:p>
            <w:pPr>
              <w:ind w:left="20"/>
              <w:spacing w:after="0" w:line="163" w:lineRule="exact"/>
              <w:rPr>
                <w:sz w:val="20"/>
                <w:szCs w:val="20"/>
                <w:color w:val="auto"/>
              </w:rPr>
            </w:pPr>
            <w:r>
              <w:rPr>
                <w:rFonts w:ascii="Arial" w:cs="Arial" w:eastAsia="Arial" w:hAnsi="Arial"/>
                <w:sz w:val="16"/>
                <w:szCs w:val="16"/>
                <w:color w:val="auto"/>
                <w:w w:val="99"/>
              </w:rPr>
              <w:t>Cash paid to parent for property, plant</w:t>
            </w:r>
          </w:p>
        </w:tc>
        <w:tc>
          <w:tcPr>
            <w:tcW w:w="160" w:type="dxa"/>
            <w:vAlign w:val="bottom"/>
          </w:tcPr>
          <w:p>
            <w:pPr>
              <w:spacing w:after="0"/>
              <w:rPr>
                <w:sz w:val="14"/>
                <w:szCs w:val="14"/>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6"/>
                <w:szCs w:val="16"/>
                <w:color w:val="auto"/>
              </w:rPr>
              <w:t>65</w:t>
            </w: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7"/>
        </w:trPr>
        <w:tc>
          <w:tcPr>
            <w:tcW w:w="2720" w:type="dxa"/>
            <w:vAlign w:val="bottom"/>
          </w:tcPr>
          <w:p>
            <w:pPr>
              <w:ind w:left="180"/>
              <w:spacing w:after="0"/>
              <w:rPr>
                <w:sz w:val="20"/>
                <w:szCs w:val="20"/>
                <w:color w:val="auto"/>
              </w:rPr>
            </w:pPr>
            <w:r>
              <w:rPr>
                <w:rFonts w:ascii="Arial" w:cs="Arial" w:eastAsia="Arial" w:hAnsi="Arial"/>
                <w:sz w:val="16"/>
                <w:szCs w:val="16"/>
                <w:color w:val="auto"/>
              </w:rPr>
              <w:t>and equipment below</w:t>
            </w: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Property, plant and equipment from</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103</w:t>
            </w:r>
          </w:p>
        </w:tc>
        <w:tc>
          <w:tcPr>
            <w:tcW w:w="2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parent </w:t>
            </w:r>
            <w:r>
              <w:rPr>
                <w:rFonts w:ascii="Arial" w:cs="Arial" w:eastAsia="Arial" w:hAnsi="Arial"/>
                <w:sz w:val="12"/>
                <w:szCs w:val="12"/>
                <w:color w:val="auto"/>
              </w:rPr>
              <w:t>(1)</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580" w:hanging="255"/>
        <w:spacing w:after="0"/>
        <w:tabs>
          <w:tab w:leader="none" w:pos="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Property, plant and equipment purchased from CenterPoint Energy at its net carrying value on the date of purchase.</w:t>
      </w:r>
    </w:p>
    <w:p>
      <w:pPr>
        <w:spacing w:after="0" w:line="200" w:lineRule="exact"/>
        <w:rPr>
          <w:rFonts w:ascii="Arial" w:cs="Arial" w:eastAsia="Arial" w:hAnsi="Arial"/>
          <w:sz w:val="18"/>
          <w:szCs w:val="18"/>
          <w:color w:val="auto"/>
        </w:rPr>
      </w:pPr>
    </w:p>
    <w:p>
      <w:pPr>
        <w:spacing w:after="0" w:line="277" w:lineRule="exact"/>
        <w:rPr>
          <w:rFonts w:ascii="Arial" w:cs="Arial" w:eastAsia="Arial" w:hAnsi="Arial"/>
          <w:sz w:val="18"/>
          <w:szCs w:val="18"/>
          <w:color w:val="auto"/>
        </w:rPr>
      </w:pPr>
    </w:p>
    <w:p>
      <w:pPr>
        <w:ind w:left="340" w:hanging="334"/>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0"/>
              </w:rPr>
              <w:t>Dividends Declared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7"/>
          </w:tcPr>
          <w:p>
            <w:pPr>
              <w:jc w:val="right"/>
              <w:ind w:right="525"/>
              <w:spacing w:after="0"/>
              <w:rPr>
                <w:sz w:val="20"/>
                <w:szCs w:val="20"/>
                <w:color w:val="auto"/>
              </w:rPr>
            </w:pPr>
            <w:r>
              <w:rPr>
                <w:rFonts w:ascii="Arial" w:cs="Arial" w:eastAsia="Arial" w:hAnsi="Arial"/>
                <w:sz w:val="14"/>
                <w:szCs w:val="14"/>
                <w:b w:val="1"/>
                <w:bCs w:val="1"/>
                <w:color w:val="auto"/>
              </w:rPr>
              <w:t>Dividends Paid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2"/>
        </w:trPr>
        <w:tc>
          <w:tcPr>
            <w:tcW w:w="2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1"/>
              </w:rPr>
              <w:t>Per Share</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5"/>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120" w:type="dxa"/>
            <w:vAlign w:val="bottom"/>
            <w:gridSpan w:val="7"/>
          </w:tcPr>
          <w:p>
            <w:pPr>
              <w:jc w:val="right"/>
              <w:ind w:right="16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24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2"/>
          </w:tcPr>
          <w:p>
            <w:pPr>
              <w:jc w:val="right"/>
              <w:ind w:right="28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285"/>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2022</w:t>
            </w:r>
          </w:p>
        </w:tc>
      </w:tr>
      <w:tr>
        <w:trPr>
          <w:trHeight w:val="212"/>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0.190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0.190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0.190</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0.340</w:t>
            </w:r>
          </w:p>
        </w:tc>
      </w:tr>
      <w:tr>
        <w:trPr>
          <w:trHeight w:val="207"/>
        </w:trPr>
        <w:tc>
          <w:tcPr>
            <w:tcW w:w="2400" w:type="dxa"/>
            <w:vAlign w:val="bottom"/>
          </w:tcPr>
          <w:p>
            <w:pPr>
              <w:ind w:left="20"/>
              <w:spacing w:after="0"/>
              <w:rPr>
                <w:sz w:val="20"/>
                <w:szCs w:val="20"/>
                <w:color w:val="auto"/>
              </w:rPr>
            </w:pPr>
            <w:r>
              <w:rPr>
                <w:rFonts w:ascii="Arial" w:cs="Arial" w:eastAsia="Arial" w:hAnsi="Arial"/>
                <w:sz w:val="16"/>
                <w:szCs w:val="16"/>
                <w:color w:val="auto"/>
              </w:rPr>
              <w:t>Series A Preferred 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30.625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30.625</w:t>
            </w:r>
          </w:p>
        </w:tc>
      </w:tr>
      <w:tr>
        <w:trPr>
          <w:trHeight w:val="549"/>
        </w:trPr>
        <w:tc>
          <w:tcPr>
            <w:tcW w:w="34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Preferred Stock (CenterPoint Energy)</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12"/>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4"/>
          </w:tcPr>
          <w:p>
            <w:pPr>
              <w:jc w:val="center"/>
              <w:ind w:right="65"/>
              <w:spacing w:after="0"/>
              <w:rPr>
                <w:sz w:val="20"/>
                <w:szCs w:val="20"/>
                <w:color w:val="auto"/>
              </w:rPr>
            </w:pPr>
            <w:r>
              <w:rPr>
                <w:rFonts w:ascii="Arial" w:cs="Arial" w:eastAsia="Arial" w:hAnsi="Arial"/>
                <w:sz w:val="14"/>
                <w:szCs w:val="14"/>
                <w:b w:val="1"/>
                <w:bCs w:val="1"/>
                <w:color w:val="auto"/>
                <w:w w:val="92"/>
              </w:rPr>
              <w:t>Liquidation Preference</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88"/>
              </w:rPr>
              <w:t>Shares Outstanding as of</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rPr>
              <w:t>Outstanding Value as of</w:t>
            </w:r>
          </w:p>
        </w:tc>
        <w:tc>
          <w:tcPr>
            <w:tcW w:w="780" w:type="dxa"/>
            <w:vAlign w:val="bottom"/>
            <w:tcBorders>
              <w:bottom w:val="single" w:sz="8" w:color="auto"/>
            </w:tcBorders>
          </w:tcPr>
          <w:p>
            <w:pPr>
              <w:spacing w:after="0"/>
              <w:rPr>
                <w:sz w:val="24"/>
                <w:szCs w:val="24"/>
                <w:color w:val="auto"/>
              </w:rPr>
            </w:pPr>
          </w:p>
        </w:tc>
      </w:tr>
      <w:tr>
        <w:trPr>
          <w:trHeight w:val="194"/>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bottom w:val="single" w:sz="8" w:color="auto"/>
            </w:tcBorders>
            <w:gridSpan w:val="3"/>
          </w:tcPr>
          <w:p>
            <w:pPr>
              <w:jc w:val="center"/>
              <w:ind w:left="406"/>
              <w:spacing w:after="0"/>
              <w:rPr>
                <w:sz w:val="20"/>
                <w:szCs w:val="20"/>
                <w:color w:val="auto"/>
              </w:rPr>
            </w:pPr>
            <w:r>
              <w:rPr>
                <w:rFonts w:ascii="Arial" w:cs="Arial" w:eastAsia="Arial" w:hAnsi="Arial"/>
                <w:sz w:val="14"/>
                <w:szCs w:val="14"/>
                <w:b w:val="1"/>
                <w:bCs w:val="1"/>
                <w:color w:val="auto"/>
                <w:w w:val="91"/>
              </w:rPr>
              <w:t>Per Share</w:t>
            </w: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4"/>
              </w:rPr>
              <w:t>June 30, 2023</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87"/>
              </w:rPr>
              <w:t>June 30, 2023</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rPr>
              <w:t>December 31, 2022</w:t>
            </w:r>
          </w:p>
        </w:tc>
      </w:tr>
      <w:tr>
        <w:trPr>
          <w:trHeight w:val="191"/>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40" w:type="dxa"/>
            <w:vAlign w:val="bottom"/>
            <w:gridSpan w:val="15"/>
          </w:tcPr>
          <w:p>
            <w:pPr>
              <w:ind w:left="680"/>
              <w:spacing w:after="0"/>
              <w:rPr>
                <w:sz w:val="20"/>
                <w:szCs w:val="20"/>
                <w:color w:val="auto"/>
              </w:rPr>
            </w:pPr>
            <w:r>
              <w:rPr>
                <w:rFonts w:ascii="Arial" w:cs="Arial" w:eastAsia="Arial" w:hAnsi="Arial"/>
                <w:sz w:val="14"/>
                <w:szCs w:val="14"/>
                <w:b w:val="1"/>
                <w:bCs w:val="1"/>
                <w:color w:val="auto"/>
              </w:rPr>
              <w:t>(in millions, except shares and per share amounts)</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A Preferred Stock</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5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6"/>
                <w:szCs w:val="16"/>
                <w:color w:val="auto"/>
              </w:rPr>
              <w:t>1,000</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203"/>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800,000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17"/>
                <w:szCs w:val="17"/>
                <w:color w:val="auto"/>
              </w:rPr>
            </w:pPr>
          </w:p>
        </w:tc>
        <w:tc>
          <w:tcPr>
            <w:tcW w:w="3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790</w:t>
            </w:r>
          </w:p>
        </w:tc>
        <w:tc>
          <w:tcPr>
            <w:tcW w:w="660" w:type="dxa"/>
            <w:vAlign w:val="bottom"/>
            <w:gridSpan w:val="3"/>
          </w:tcPr>
          <w:p>
            <w:pPr>
              <w:jc w:val="right"/>
              <w:ind w:right="34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2"/>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Allocated to Preferred Shareholders (CenterPoint Energy)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Six Months Ended June 30,</w:t>
            </w:r>
          </w:p>
        </w:tc>
      </w:tr>
      <w:tr>
        <w:trPr>
          <w:trHeight w:val="191"/>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r>
      <w:tr>
        <w:trPr>
          <w:trHeight w:val="192"/>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2"/>
        </w:trPr>
        <w:tc>
          <w:tcPr>
            <w:tcW w:w="5220" w:type="dxa"/>
            <w:vAlign w:val="bottom"/>
          </w:tcPr>
          <w:p>
            <w:pPr>
              <w:ind w:left="500"/>
              <w:spacing w:after="0"/>
              <w:rPr>
                <w:sz w:val="20"/>
                <w:szCs w:val="20"/>
                <w:color w:val="auto"/>
              </w:rPr>
            </w:pPr>
            <w:r>
              <w:rPr>
                <w:rFonts w:ascii="Arial" w:cs="Arial" w:eastAsia="Arial" w:hAnsi="Arial"/>
                <w:sz w:val="18"/>
                <w:szCs w:val="18"/>
                <w:color w:val="auto"/>
              </w:rPr>
              <w:t>Total income allocated to preferred shareholders</w:t>
            </w:r>
          </w:p>
        </w:tc>
        <w:tc>
          <w:tcPr>
            <w:tcW w:w="1020" w:type="dxa"/>
            <w:vAlign w:val="bottom"/>
          </w:tcPr>
          <w:p>
            <w:pPr>
              <w:jc w:val="right"/>
              <w:ind w:right="8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Equity (CenterPoint Energy)</w:t>
      </w:r>
    </w:p>
    <w:p>
      <w:pPr>
        <w:spacing w:after="0" w:line="245"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5"/>
          <w:szCs w:val="15"/>
          <w:color w:val="auto"/>
        </w:rPr>
        <w:t>On the approval and recommendation of the Compensation Committee and approval of the Board (acting solely through its independent directors), CenterPoint Energy entered into a retention incentive agreement with David J. Lesar, then President and Chief Executive Officer of CenterPoint Energy, dated July 20, 2021. Pursuant to the retention incentive agreement, Mr. Lesar received equity-based awards under CenterPoint Energy’s LTIP covering a total of 1 million shares of Common Stock (Total Stock Award) which were granted in multiple annual awards. Mr. Lesar received 400 thousand restricted stock units in July 2021 that vested in December 2022 and 400 thousand restricted stock units and 200 thousand restricted stock units in February 2022 and February 2023, respectively, that will vest in December 2023. For accounting purposes, the 1 million shares under the Total Stock Award, consisting of the equity-based awards described above, were considered granted in July 2021. In the event that death, disability, termination without cause or resignation for good reason, as defined in the retention incentive agreement, had occurred prior to the full Total Stock Award being awarded, CenterPoint Energy would have paid a lump sum cash payment equal to the value of the unawarded equity-based awards, based on the closing trading price of Common Stock on the date of the event’s occurrence. Because the equity-based awards would have been redeemable for cash prior to being awarded upon events that were not probable at the grant date, the equity associated with any unawarded equity-based awards were classified as Temporary Equity as of December 31, 2022 on CenterPoint Energy’s Condensed Consolidated Balance Sheets. As of June 30, 2023, all restricted stock units have been awarded to Mr. Lesar and no amounts are reflected in Temporary Equity on CenterPoint Energy’s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149"/>
              <w:spacing w:after="0"/>
              <w:rPr>
                <w:sz w:val="20"/>
                <w:szCs w:val="20"/>
                <w:color w:val="auto"/>
              </w:rPr>
            </w:pPr>
            <w:r>
              <w:rPr>
                <w:rFonts w:ascii="Arial" w:cs="Arial" w:eastAsia="Arial" w:hAnsi="Arial"/>
                <w:sz w:val="14"/>
                <w:szCs w:val="14"/>
                <w:b w:val="1"/>
                <w:bCs w:val="1"/>
                <w:color w:val="auto"/>
                <w:w w:val="91"/>
              </w:rPr>
              <w:t>Three Months Ended June 30,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69"/>
              <w:spacing w:after="0" w:line="137" w:lineRule="exact"/>
              <w:rPr>
                <w:sz w:val="20"/>
                <w:szCs w:val="20"/>
                <w:color w:val="auto"/>
              </w:rPr>
            </w:pPr>
            <w:r>
              <w:rPr>
                <w:rFonts w:ascii="Arial" w:cs="Arial" w:eastAsia="Arial" w:hAnsi="Arial"/>
                <w:sz w:val="14"/>
                <w:szCs w:val="14"/>
                <w:b w:val="1"/>
                <w:bCs w:val="1"/>
                <w:color w:val="auto"/>
                <w:w w:val="93"/>
              </w:rPr>
              <w:t>CenterPoint</w:t>
            </w:r>
          </w:p>
        </w:tc>
        <w:tc>
          <w:tcPr>
            <w:tcW w:w="10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Houston Electric</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89"/>
              <w:spacing w:after="0" w:line="137" w:lineRule="exact"/>
              <w:rPr>
                <w:sz w:val="20"/>
                <w:szCs w:val="20"/>
                <w:color w:val="auto"/>
              </w:rPr>
            </w:pPr>
            <w:r>
              <w:rPr>
                <w:rFonts w:ascii="Arial" w:cs="Arial" w:eastAsia="Arial" w:hAnsi="Arial"/>
                <w:sz w:val="14"/>
                <w:szCs w:val="14"/>
                <w:b w:val="1"/>
                <w:bCs w:val="1"/>
                <w:color w:val="auto"/>
                <w:w w:val="90"/>
              </w:rPr>
              <w:t>CenterPoint</w:t>
            </w:r>
          </w:p>
        </w:tc>
        <w:tc>
          <w:tcPr>
            <w:tcW w:w="100" w:type="dxa"/>
            <w:vAlign w:val="bottom"/>
          </w:tcPr>
          <w:p>
            <w:pPr>
              <w:spacing w:after="0"/>
              <w:rPr>
                <w:sz w:val="11"/>
                <w:szCs w:val="11"/>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jc w:val="center"/>
              <w:ind w:right="149"/>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Remeasurement of pension and other postretirement plans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3840" w:type="dxa"/>
            <w:vAlign w:val="bottom"/>
          </w:tcPr>
          <w:p>
            <w:pPr>
              <w:ind w:left="20"/>
              <w:spacing w:after="0" w:line="141" w:lineRule="exact"/>
              <w:rPr>
                <w:sz w:val="20"/>
                <w:szCs w:val="20"/>
                <w:color w:val="auto"/>
              </w:rPr>
            </w:pPr>
            <w:r>
              <w:rPr>
                <w:rFonts w:ascii="Arial" w:cs="Arial" w:eastAsia="Arial" w:hAnsi="Arial"/>
                <w:sz w:val="14"/>
                <w:szCs w:val="14"/>
                <w:color w:val="auto"/>
              </w:rPr>
              <w:t>Amounts reclassified from accumulated other comprehensive</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180"/>
              <w:spacing w:after="0"/>
              <w:rPr>
                <w:sz w:val="20"/>
                <w:szCs w:val="20"/>
                <w:color w:val="auto"/>
              </w:rPr>
            </w:pPr>
            <w:r>
              <w:rPr>
                <w:rFonts w:ascii="Arial" w:cs="Arial" w:eastAsia="Arial" w:hAnsi="Arial"/>
                <w:sz w:val="14"/>
                <w:szCs w:val="14"/>
                <w:color w:val="auto"/>
              </w:rPr>
              <w:t>income (loss):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2"/>
                <w:szCs w:val="12"/>
                <w:color w:val="auto"/>
              </w:rPr>
              <w:t>(1)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40" w:type="dxa"/>
            <w:vAlign w:val="bottom"/>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2"/>
                <w:szCs w:val="12"/>
                <w:color w:val="auto"/>
              </w:rPr>
              <w:t>(1)</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Settlement </w:t>
            </w:r>
            <w:r>
              <w:rPr>
                <w:rFonts w:ascii="Arial" w:cs="Arial" w:eastAsia="Arial" w:hAnsi="Arial"/>
                <w:sz w:val="12"/>
                <w:szCs w:val="12"/>
                <w:color w:val="auto"/>
              </w:rPr>
              <w:t>(2)</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Tax benefit (expense)</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84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4"/>
          </w:tcPr>
          <w:p>
            <w:pPr>
              <w:jc w:val="center"/>
              <w:ind w:right="149"/>
              <w:spacing w:after="0"/>
              <w:rPr>
                <w:sz w:val="20"/>
                <w:szCs w:val="20"/>
                <w:color w:val="auto"/>
              </w:rPr>
            </w:pPr>
            <w:r>
              <w:rPr>
                <w:rFonts w:ascii="Arial" w:cs="Arial" w:eastAsia="Arial" w:hAnsi="Arial"/>
                <w:sz w:val="14"/>
                <w:szCs w:val="14"/>
                <w:b w:val="1"/>
                <w:bCs w:val="1"/>
                <w:color w:val="auto"/>
                <w:w w:val="91"/>
              </w:rPr>
              <w:t>Six Months Ended 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69"/>
              <w:spacing w:after="0" w:line="131" w:lineRule="exact"/>
              <w:rPr>
                <w:sz w:val="20"/>
                <w:szCs w:val="20"/>
                <w:color w:val="auto"/>
              </w:rPr>
            </w:pPr>
            <w:r>
              <w:rPr>
                <w:rFonts w:ascii="Arial" w:cs="Arial" w:eastAsia="Arial" w:hAnsi="Arial"/>
                <w:sz w:val="14"/>
                <w:szCs w:val="14"/>
                <w:b w:val="1"/>
                <w:bCs w:val="1"/>
                <w:color w:val="auto"/>
                <w:w w:val="93"/>
              </w:rPr>
              <w:t>CenterPoint</w:t>
            </w:r>
          </w:p>
        </w:tc>
        <w:tc>
          <w:tcPr>
            <w:tcW w:w="10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Houston Electric</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89"/>
              <w:spacing w:after="0" w:line="131" w:lineRule="exact"/>
              <w:rPr>
                <w:sz w:val="20"/>
                <w:szCs w:val="20"/>
                <w:color w:val="auto"/>
              </w:rPr>
            </w:pPr>
            <w:r>
              <w:rPr>
                <w:rFonts w:ascii="Arial" w:cs="Arial" w:eastAsia="Arial" w:hAnsi="Arial"/>
                <w:sz w:val="14"/>
                <w:szCs w:val="14"/>
                <w:b w:val="1"/>
                <w:bCs w:val="1"/>
                <w:color w:val="auto"/>
                <w:w w:val="90"/>
              </w:rPr>
              <w:t>CenterPoint</w:t>
            </w:r>
          </w:p>
        </w:tc>
        <w:tc>
          <w:tcPr>
            <w:tcW w:w="100" w:type="dxa"/>
            <w:vAlign w:val="bottom"/>
          </w:tcPr>
          <w:p>
            <w:pPr>
              <w:spacing w:after="0"/>
              <w:rPr>
                <w:sz w:val="11"/>
                <w:szCs w:val="11"/>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4"/>
          </w:tcPr>
          <w:p>
            <w:pPr>
              <w:jc w:val="center"/>
              <w:ind w:right="149"/>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Remeasurement of pension and other postretirement plans</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3840" w:type="dxa"/>
            <w:vAlign w:val="bottom"/>
          </w:tcPr>
          <w:p>
            <w:pPr>
              <w:ind w:left="20"/>
              <w:spacing w:after="0" w:line="141" w:lineRule="exact"/>
              <w:rPr>
                <w:sz w:val="20"/>
                <w:szCs w:val="20"/>
                <w:color w:val="auto"/>
              </w:rPr>
            </w:pPr>
            <w:r>
              <w:rPr>
                <w:rFonts w:ascii="Arial" w:cs="Arial" w:eastAsia="Arial" w:hAnsi="Arial"/>
                <w:sz w:val="14"/>
                <w:szCs w:val="14"/>
                <w:color w:val="auto"/>
              </w:rPr>
              <w:t>Amounts reclassified from accumulated other comprehensive</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40" w:type="dxa"/>
            <w:vAlign w:val="bottom"/>
          </w:tcPr>
          <w:p>
            <w:pPr>
              <w:ind w:left="180"/>
              <w:spacing w:after="0"/>
              <w:rPr>
                <w:sz w:val="20"/>
                <w:szCs w:val="20"/>
                <w:color w:val="auto"/>
              </w:rPr>
            </w:pPr>
            <w:r>
              <w:rPr>
                <w:rFonts w:ascii="Arial" w:cs="Arial" w:eastAsia="Arial" w:hAnsi="Arial"/>
                <w:sz w:val="14"/>
                <w:szCs w:val="14"/>
                <w:color w:val="auto"/>
              </w:rPr>
              <w:t>income (loss):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40" w:type="dxa"/>
            <w:vAlign w:val="bottom"/>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2"/>
                <w:szCs w:val="12"/>
                <w:color w:val="auto"/>
              </w:rPr>
              <w:t>(1)</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Settlement </w:t>
            </w:r>
            <w:r>
              <w:rPr>
                <w:rFonts w:ascii="Arial" w:cs="Arial" w:eastAsia="Arial" w:hAnsi="Arial"/>
                <w:sz w:val="12"/>
                <w:szCs w:val="12"/>
                <w:color w:val="auto"/>
              </w:rPr>
              <w:t>(2)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840" w:type="dxa"/>
            <w:vAlign w:val="bottom"/>
          </w:tcPr>
          <w:p>
            <w:pPr>
              <w:ind w:left="340"/>
              <w:spacing w:after="0" w:line="133" w:lineRule="exact"/>
              <w:rPr>
                <w:sz w:val="20"/>
                <w:szCs w:val="20"/>
                <w:color w:val="auto"/>
              </w:rPr>
            </w:pPr>
            <w:r>
              <w:rPr>
                <w:rFonts w:ascii="Arial" w:cs="Arial" w:eastAsia="Arial" w:hAnsi="Arial"/>
                <w:sz w:val="14"/>
                <w:szCs w:val="14"/>
                <w:color w:val="auto"/>
              </w:rPr>
              <w:t>Reclassification of deferred loss from cash flow hedges</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40" w:type="dxa"/>
            <w:vAlign w:val="bottom"/>
          </w:tcPr>
          <w:p>
            <w:pPr>
              <w:ind w:left="500"/>
              <w:spacing w:after="0"/>
              <w:rPr>
                <w:sz w:val="20"/>
                <w:szCs w:val="20"/>
                <w:color w:val="auto"/>
              </w:rPr>
            </w:pPr>
            <w:r>
              <w:rPr>
                <w:rFonts w:ascii="Arial" w:cs="Arial" w:eastAsia="Arial" w:hAnsi="Arial"/>
                <w:sz w:val="14"/>
                <w:szCs w:val="14"/>
                <w:color w:val="auto"/>
              </w:rPr>
              <w:t>realized in net income</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 benefit (expense)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840" w:type="dxa"/>
            <w:vAlign w:val="bottom"/>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ind w:left="640" w:hanging="315"/>
        <w:spacing w:after="0" w:line="265" w:lineRule="auto"/>
        <w:tabs>
          <w:tab w:leader="none" w:pos="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net in each of the Registrants’ respective Condensed Statements of Consolidated Income.</w:t>
      </w:r>
    </w:p>
    <w:p>
      <w:pPr>
        <w:spacing w:after="0" w:line="200" w:lineRule="exact"/>
        <w:rPr>
          <w:rFonts w:ascii="Arial" w:cs="Arial" w:eastAsia="Arial" w:hAnsi="Arial"/>
          <w:sz w:val="18"/>
          <w:szCs w:val="18"/>
          <w:color w:val="auto"/>
        </w:rPr>
      </w:pPr>
    </w:p>
    <w:p>
      <w:pPr>
        <w:ind w:left="340" w:hanging="334"/>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1" w:lineRule="exact"/>
        <w:rPr>
          <w:sz w:val="20"/>
          <w:szCs w:val="20"/>
          <w:color w:val="auto"/>
        </w:rPr>
      </w:pPr>
    </w:p>
    <w:p>
      <w:pPr>
        <w:jc w:val="both"/>
        <w:ind w:firstLine="319"/>
        <w:spacing w:after="0" w:line="309" w:lineRule="auto"/>
        <w:rPr>
          <w:sz w:val="20"/>
          <w:szCs w:val="20"/>
          <w:color w:val="auto"/>
        </w:rPr>
      </w:pPr>
      <w:r>
        <w:rPr>
          <w:rFonts w:ascii="Arial" w:cs="Arial" w:eastAsia="Arial" w:hAnsi="Arial"/>
          <w:sz w:val="15"/>
          <w:szCs w:val="15"/>
          <w:color w:val="auto"/>
        </w:rPr>
        <w:t>In 2021, Houston Electric entered into a temporary short-term lease and long-term leases for mobile generation. The short-term lease agreement allowed Houston Electric to take delivery of TEEEF assets on a short-term basis with an initial term ending on September 30, 2022 and extended until December 31, 2022. As of December 31, 2022, the short-term lease agreement has expired and all mobile generation assets are leased under the long-term lease agreement. Per Houston Electric’s short-term lease accounting policy election, a ROU asset and lease liability are not reflected on Houston Electric’s Condensed Consolidated Balance Sheets. Expenses associated with the short-term lease, including carrying costs, are deferred to a regulatory asset and totaled, net of amounts recovered in rates, $104 million and $103 million as of June 30, 2023 and December 31, 2022, respectively.</w:t>
      </w:r>
    </w:p>
    <w:p>
      <w:pPr>
        <w:spacing w:after="0" w:line="182"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The long-term lease agreement includes up to 505 MW of TEEEF, all of which was delivered as of December 31, 2022, triggering lease commencement at delivery, with an initial term ending in 2029 for all TEEEF leases. These assets were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 xml:space="preserve">previously available under the short-term lease agreement. Houston Electric derecognized the finance lease liability when the extinguishment criteria in Topic 405 - </w:t>
      </w:r>
      <w:r>
        <w:rPr>
          <w:rFonts w:ascii="Arial" w:cs="Arial" w:eastAsia="Arial" w:hAnsi="Arial"/>
          <w:sz w:val="15"/>
          <w:szCs w:val="15"/>
          <w:i w:val="1"/>
          <w:iCs w:val="1"/>
          <w:color w:val="auto"/>
        </w:rPr>
        <w:t>Liabilities</w:t>
      </w:r>
      <w:r>
        <w:rPr>
          <w:rFonts w:ascii="Arial" w:cs="Arial" w:eastAsia="Arial" w:hAnsi="Arial"/>
          <w:sz w:val="15"/>
          <w:szCs w:val="15"/>
          <w:color w:val="auto"/>
        </w:rPr>
        <w:t xml:space="preserve"> was achieved. Per the terms of the agreement, lease payments are due and made in full by Houston Electric upon taking possession of the asset, relieving substantially all of the associated finance lease liability at that time. The remaining finance lease liability associated with the commenced long-term TEEEF agreement was not significant as of June 30, 2023 and December 31, 2022 and relates to removal costs that will be incurred at the end of the lease term. As of June 30, 2023, Houston Electric has secured a first lien on the assets leased under the prepayment agreement, except for assets with lease payments totaling $113 million. The $113 million prepayment is being held in an escrow account, not controlled by Houston Electric, and the funds will be released when a first lien can be secured for Houston Electric. Expenses associated with the long-term lease, including depreciation expense on the right of use asset and carrying costs, are deferred to a regulatory asset and totaled, net of amounts recovered in rates, $106 million and $60 million as of June 30, 2023 and December 31, 2022, respectively. The long-term lease agreement contains a termination clause that can be exercised in the event of material adverse regulatory actions. If the right to terminate is elected, subject to the satisfaction of certain conditions, 75% of Houston Electric’s prepaid lease costs that is attributable to the period from the effective date of termination to the end of the lease term would be refunded. In December 2022, the long-term lease agreement was amended to include a disallowance reimbursement clause that can be exercised in the event that any regulatory proceeding or settlement agreement results in a disallowance of Houston Electric’s recovery of deferred costs under either the long-term lease agreement, short-term lease agreement or any other quantifiable adverse financial impact to Houston Electric. If the disallowance reimbursement clause is exercised, 85% of such disallowance up to $53 million would be paid to Houston Electric. Any disallowance greater than $53 million would remain subject to the 75% limit set forth in the termination clause. For further discussion of the regulatory impacts, see Note 6.</w:t>
      </w:r>
    </w:p>
    <w:p>
      <w:pPr>
        <w:spacing w:after="0" w:line="200" w:lineRule="exact"/>
        <w:rPr>
          <w:sz w:val="20"/>
          <w:szCs w:val="20"/>
          <w:color w:val="auto"/>
        </w:rPr>
      </w:pPr>
    </w:p>
    <w:p>
      <w:pPr>
        <w:spacing w:after="0" w:line="20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Houston Electric will also incur variable costs throughout the lease term for the operation and maintenance of the generators. Lease costs, including variable and ROU asset amortization costs, are deferred to Regulatory assets as incurred as a recoverable cost under the 2021 Texas legislation. See Note 6 for further information regarding recovery of these deferred costs.</w:t>
      </w:r>
    </w:p>
    <w:p>
      <w:pPr>
        <w:spacing w:after="0" w:line="201" w:lineRule="exact"/>
        <w:rPr>
          <w:sz w:val="20"/>
          <w:szCs w:val="20"/>
          <w:color w:val="auto"/>
        </w:rPr>
      </w:pPr>
    </w:p>
    <w:p>
      <w:pPr>
        <w:jc w:val="both"/>
        <w:ind w:firstLine="319"/>
        <w:spacing w:after="0" w:line="237" w:lineRule="auto"/>
        <w:rPr>
          <w:sz w:val="20"/>
          <w:szCs w:val="20"/>
          <w:color w:val="auto"/>
        </w:rPr>
      </w:pPr>
      <w:r>
        <w:rPr>
          <w:rFonts w:ascii="Arial" w:cs="Arial" w:eastAsia="Arial" w:hAnsi="Arial"/>
          <w:sz w:val="18"/>
          <w:szCs w:val="18"/>
          <w:color w:val="auto"/>
        </w:rPr>
        <w:t>The components of lease cost, included in Operation and maintenance expense on the Registrants’ respective Condensed Statements of Consolidated Income,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80" w:type="dxa"/>
            <w:vAlign w:val="bottom"/>
            <w:gridSpan w:val="6"/>
          </w:tcPr>
          <w:p>
            <w:pPr>
              <w:jc w:val="center"/>
              <w:ind w:left="296"/>
              <w:spacing w:after="0"/>
              <w:rPr>
                <w:sz w:val="20"/>
                <w:szCs w:val="20"/>
                <w:color w:val="auto"/>
              </w:rPr>
            </w:pPr>
            <w:r>
              <w:rPr>
                <w:rFonts w:ascii="Arial" w:cs="Arial" w:eastAsia="Arial" w:hAnsi="Arial"/>
                <w:sz w:val="14"/>
                <w:szCs w:val="14"/>
                <w:b w:val="1"/>
                <w:bCs w:val="1"/>
                <w:color w:val="auto"/>
                <w:w w:val="91"/>
              </w:rPr>
              <w:t>Three Months Ended June 30, 2023</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June 30, 2022</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88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CenterPoint Energy</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59"/>
              <w:spacing w:after="0" w:line="130" w:lineRule="exact"/>
              <w:rPr>
                <w:sz w:val="20"/>
                <w:szCs w:val="20"/>
                <w:color w:val="auto"/>
              </w:rPr>
            </w:pPr>
            <w:r>
              <w:rPr>
                <w:rFonts w:ascii="Arial" w:cs="Arial" w:eastAsia="Arial" w:hAnsi="Arial"/>
                <w:sz w:val="14"/>
                <w:szCs w:val="14"/>
                <w:b w:val="1"/>
                <w:bCs w:val="1"/>
                <w:color w:val="auto"/>
                <w:w w:val="87"/>
              </w:rPr>
              <w:t>Houston</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CERC</w:t>
            </w:r>
          </w:p>
        </w:tc>
        <w:tc>
          <w:tcPr>
            <w:tcW w:w="100" w:type="dxa"/>
            <w:vAlign w:val="bottom"/>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CenterPoint Energy</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ind w:left="140"/>
              <w:spacing w:after="0" w:line="130" w:lineRule="exact"/>
              <w:rPr>
                <w:sz w:val="20"/>
                <w:szCs w:val="20"/>
                <w:color w:val="auto"/>
              </w:rPr>
            </w:pPr>
            <w:r>
              <w:rPr>
                <w:rFonts w:ascii="Arial" w:cs="Arial" w:eastAsia="Arial" w:hAnsi="Arial"/>
                <w:sz w:val="14"/>
                <w:szCs w:val="14"/>
                <w:b w:val="1"/>
                <w:bCs w:val="1"/>
                <w:color w:val="auto"/>
              </w:rPr>
              <w:t>Houston</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Electric</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Electric</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46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lease cost </w:t>
            </w:r>
            <w:r>
              <w:rPr>
                <w:rFonts w:ascii="Arial" w:cs="Arial" w:eastAsia="Arial" w:hAnsi="Arial"/>
                <w:sz w:val="10"/>
                <w:szCs w:val="10"/>
                <w:color w:val="auto"/>
              </w:rPr>
              <w:t>(1)</w:t>
            </w:r>
          </w:p>
        </w:tc>
        <w:tc>
          <w:tcPr>
            <w:tcW w:w="56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80" w:type="dxa"/>
            <w:vAlign w:val="bottom"/>
            <w:gridSpan w:val="6"/>
          </w:tcPr>
          <w:p>
            <w:pPr>
              <w:jc w:val="center"/>
              <w:ind w:left="296"/>
              <w:spacing w:after="0"/>
              <w:rPr>
                <w:sz w:val="20"/>
                <w:szCs w:val="20"/>
                <w:color w:val="auto"/>
              </w:rPr>
            </w:pPr>
            <w:r>
              <w:rPr>
                <w:rFonts w:ascii="Arial" w:cs="Arial" w:eastAsia="Arial" w:hAnsi="Arial"/>
                <w:sz w:val="14"/>
                <w:szCs w:val="14"/>
                <w:b w:val="1"/>
                <w:bCs w:val="1"/>
                <w:color w:val="auto"/>
                <w:w w:val="91"/>
              </w:rPr>
              <w:t>Six Months Ended June 30, 2023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40" w:type="dxa"/>
            <w:vAlign w:val="bottom"/>
            <w:gridSpan w:val="6"/>
          </w:tcPr>
          <w:p>
            <w:pPr>
              <w:jc w:val="right"/>
              <w:ind w:right="51"/>
              <w:spacing w:after="0"/>
              <w:rPr>
                <w:sz w:val="20"/>
                <w:szCs w:val="20"/>
                <w:color w:val="auto"/>
              </w:rPr>
            </w:pPr>
            <w:r>
              <w:rPr>
                <w:rFonts w:ascii="Arial" w:cs="Arial" w:eastAsia="Arial" w:hAnsi="Arial"/>
                <w:sz w:val="14"/>
                <w:szCs w:val="14"/>
                <w:b w:val="1"/>
                <w:bCs w:val="1"/>
                <w:color w:val="auto"/>
              </w:rPr>
              <w:t>Six Months Ended June 30, 2022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88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CenterPoint Energy</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59"/>
              <w:spacing w:after="0" w:line="130" w:lineRule="exact"/>
              <w:rPr>
                <w:sz w:val="20"/>
                <w:szCs w:val="20"/>
                <w:color w:val="auto"/>
              </w:rPr>
            </w:pPr>
            <w:r>
              <w:rPr>
                <w:rFonts w:ascii="Arial" w:cs="Arial" w:eastAsia="Arial" w:hAnsi="Arial"/>
                <w:sz w:val="14"/>
                <w:szCs w:val="14"/>
                <w:b w:val="1"/>
                <w:bCs w:val="1"/>
                <w:color w:val="auto"/>
                <w:w w:val="87"/>
              </w:rPr>
              <w:t>Houston</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CERC</w:t>
            </w:r>
          </w:p>
        </w:tc>
        <w:tc>
          <w:tcPr>
            <w:tcW w:w="100" w:type="dxa"/>
            <w:vAlign w:val="bottom"/>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CenterPoint Energy</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ind w:left="140"/>
              <w:spacing w:after="0" w:line="130" w:lineRule="exact"/>
              <w:rPr>
                <w:sz w:val="20"/>
                <w:szCs w:val="20"/>
                <w:color w:val="auto"/>
              </w:rPr>
            </w:pPr>
            <w:r>
              <w:rPr>
                <w:rFonts w:ascii="Arial" w:cs="Arial" w:eastAsia="Arial" w:hAnsi="Arial"/>
                <w:sz w:val="14"/>
                <w:szCs w:val="14"/>
                <w:b w:val="1"/>
                <w:bCs w:val="1"/>
                <w:color w:val="auto"/>
              </w:rPr>
              <w:t>Houston</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Electric</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Electric</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46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lease cost </w:t>
            </w:r>
            <w:r>
              <w:rPr>
                <w:rFonts w:ascii="Arial" w:cs="Arial" w:eastAsia="Arial" w:hAnsi="Arial"/>
                <w:sz w:val="10"/>
                <w:szCs w:val="10"/>
                <w:color w:val="auto"/>
              </w:rPr>
              <w:t>(1)</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46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83</w:t>
            </w:r>
          </w:p>
        </w:tc>
        <w:tc>
          <w:tcPr>
            <w:tcW w:w="46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firstLine="325"/>
        <w:spacing w:after="0" w:line="265" w:lineRule="auto"/>
        <w:tabs>
          <w:tab w:leader="none" w:pos="5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CenterPoint Energy and Houston Electric defer finance lease costs for TEEEF to Regulatory assets for recovery rather than recognizing Depreciation and Amortization in the Condensed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Lease income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right="740"/>
        <w:spacing w:after="0" w:line="351" w:lineRule="auto"/>
        <w:rPr>
          <w:sz w:val="20"/>
          <w:szCs w:val="20"/>
          <w:color w:val="auto"/>
        </w:rPr>
      </w:pPr>
      <w:r>
        <w:rPr>
          <w:rFonts w:ascii="Arial" w:cs="Arial" w:eastAsia="Arial" w:hAnsi="Arial"/>
          <w:sz w:val="15"/>
          <w:szCs w:val="15"/>
          <w:color w:val="auto"/>
        </w:rPr>
        <w:t>Operating lease income Variable lease income</w:t>
      </w:r>
    </w:p>
    <w:p>
      <w:pPr>
        <w:ind w:left="20"/>
        <w:spacing w:after="0"/>
        <w:rPr>
          <w:sz w:val="20"/>
          <w:szCs w:val="20"/>
          <w:color w:val="auto"/>
        </w:rPr>
      </w:pPr>
      <w:r>
        <w:rPr>
          <w:rFonts w:ascii="Arial" w:cs="Arial" w:eastAsia="Arial" w:hAnsi="Arial"/>
          <w:sz w:val="18"/>
          <w:szCs w:val="18"/>
          <w:color w:val="auto"/>
        </w:rPr>
        <w:t>Total lease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right="740"/>
        <w:spacing w:after="0" w:line="351" w:lineRule="auto"/>
        <w:rPr>
          <w:sz w:val="20"/>
          <w:szCs w:val="20"/>
          <w:color w:val="auto"/>
        </w:rPr>
      </w:pPr>
      <w:r>
        <w:rPr>
          <w:rFonts w:ascii="Arial" w:cs="Arial" w:eastAsia="Arial" w:hAnsi="Arial"/>
          <w:sz w:val="15"/>
          <w:szCs w:val="15"/>
          <w:color w:val="auto"/>
        </w:rPr>
        <w:t>Operating lease income Variable lease income</w:t>
      </w:r>
    </w:p>
    <w:p>
      <w:pPr>
        <w:ind w:left="20"/>
        <w:spacing w:after="0"/>
        <w:rPr>
          <w:sz w:val="20"/>
          <w:szCs w:val="20"/>
          <w:color w:val="auto"/>
        </w:rPr>
      </w:pPr>
      <w:r>
        <w:rPr>
          <w:rFonts w:ascii="Arial" w:cs="Arial" w:eastAsia="Arial" w:hAnsi="Arial"/>
          <w:sz w:val="18"/>
          <w:szCs w:val="18"/>
          <w:color w:val="auto"/>
        </w:rPr>
        <w:t>Total lease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296"/>
              <w:spacing w:after="0"/>
              <w:rPr>
                <w:sz w:val="20"/>
                <w:szCs w:val="20"/>
                <w:color w:val="auto"/>
              </w:rPr>
            </w:pPr>
            <w:r>
              <w:rPr>
                <w:rFonts w:ascii="Arial" w:cs="Arial" w:eastAsia="Arial" w:hAnsi="Arial"/>
                <w:sz w:val="14"/>
                <w:szCs w:val="14"/>
                <w:b w:val="1"/>
                <w:bCs w:val="1"/>
                <w:color w:val="auto"/>
                <w:w w:val="92"/>
              </w:rPr>
              <w:t>Three Months Ended June 30, 2023</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216"/>
              <w:spacing w:after="0"/>
              <w:rPr>
                <w:sz w:val="20"/>
                <w:szCs w:val="20"/>
                <w:color w:val="auto"/>
              </w:rPr>
            </w:pPr>
            <w:r>
              <w:rPr>
                <w:rFonts w:ascii="Arial" w:cs="Arial" w:eastAsia="Arial" w:hAnsi="Arial"/>
                <w:sz w:val="14"/>
                <w:szCs w:val="14"/>
                <w:b w:val="1"/>
                <w:bCs w:val="1"/>
                <w:color w:val="auto"/>
                <w:w w:val="91"/>
              </w:rPr>
              <w:t>Three Months Ended June 30, 2022</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CenterPoint Energy</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3"/>
          </w:tcPr>
          <w:p>
            <w:pPr>
              <w:ind w:left="140"/>
              <w:spacing w:after="0" w:line="136" w:lineRule="exact"/>
              <w:rPr>
                <w:sz w:val="20"/>
                <w:szCs w:val="20"/>
                <w:color w:val="auto"/>
              </w:rPr>
            </w:pPr>
            <w:r>
              <w:rPr>
                <w:rFonts w:ascii="Arial" w:cs="Arial" w:eastAsia="Arial" w:hAnsi="Arial"/>
                <w:sz w:val="14"/>
                <w:szCs w:val="14"/>
                <w:b w:val="1"/>
                <w:bCs w:val="1"/>
                <w:color w:val="auto"/>
              </w:rPr>
              <w:t>Houston</w:t>
            </w: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CERC</w:t>
            </w:r>
          </w:p>
        </w:tc>
        <w:tc>
          <w:tcPr>
            <w:tcW w:w="8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CenterPoint Energy</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3"/>
          </w:tcPr>
          <w:p>
            <w:pPr>
              <w:ind w:left="160"/>
              <w:spacing w:after="0" w:line="136" w:lineRule="exact"/>
              <w:rPr>
                <w:sz w:val="20"/>
                <w:szCs w:val="20"/>
                <w:color w:val="auto"/>
              </w:rPr>
            </w:pPr>
            <w:r>
              <w:rPr>
                <w:rFonts w:ascii="Arial" w:cs="Arial" w:eastAsia="Arial" w:hAnsi="Arial"/>
                <w:sz w:val="14"/>
                <w:szCs w:val="14"/>
                <w:b w:val="1"/>
                <w:bCs w:val="1"/>
                <w:color w:val="auto"/>
              </w:rPr>
              <w:t>Houston</w:t>
            </w:r>
          </w:p>
        </w:tc>
        <w:tc>
          <w:tcPr>
            <w:tcW w:w="9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ind w:left="160"/>
              <w:spacing w:after="0"/>
              <w:rPr>
                <w:sz w:val="20"/>
                <w:szCs w:val="20"/>
                <w:color w:val="auto"/>
              </w:rPr>
            </w:pPr>
            <w:r>
              <w:rPr>
                <w:rFonts w:ascii="Arial" w:cs="Arial" w:eastAsia="Arial" w:hAnsi="Arial"/>
                <w:sz w:val="14"/>
                <w:szCs w:val="14"/>
                <w:b w:val="1"/>
                <w:bCs w:val="1"/>
                <w:color w:val="auto"/>
              </w:rPr>
              <w:t>Electric</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auto"/>
              </w:rPr>
              <w:t>Electric</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3"/>
          </w:tcPr>
          <w:p>
            <w:pPr>
              <w:jc w:val="right"/>
              <w:ind w:right="269"/>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60" w:type="dxa"/>
            <w:vAlign w:val="bottom"/>
          </w:tcPr>
          <w:p>
            <w:pPr>
              <w:jc w:val="right"/>
              <w:ind w:right="35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44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0"/>
        </w:trPr>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60" w:type="dxa"/>
            <w:vAlign w:val="bottom"/>
          </w:tcPr>
          <w:p>
            <w:pPr>
              <w:jc w:val="right"/>
              <w:ind w:right="35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52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44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560" w:type="dxa"/>
            <w:vAlign w:val="bottom"/>
          </w:tcPr>
          <w:p>
            <w:pPr>
              <w:spacing w:after="0"/>
              <w:rPr>
                <w:sz w:val="24"/>
                <w:szCs w:val="24"/>
                <w:color w:val="auto"/>
              </w:rPr>
            </w:pPr>
          </w:p>
        </w:tc>
        <w:tc>
          <w:tcPr>
            <w:tcW w:w="2660" w:type="dxa"/>
            <w:vAlign w:val="bottom"/>
            <w:gridSpan w:val="6"/>
          </w:tcPr>
          <w:p>
            <w:pPr>
              <w:jc w:val="center"/>
              <w:ind w:left="296"/>
              <w:spacing w:after="0"/>
              <w:rPr>
                <w:sz w:val="20"/>
                <w:szCs w:val="20"/>
                <w:color w:val="auto"/>
              </w:rPr>
            </w:pPr>
            <w:r>
              <w:rPr>
                <w:rFonts w:ascii="Arial" w:cs="Arial" w:eastAsia="Arial" w:hAnsi="Arial"/>
                <w:sz w:val="14"/>
                <w:szCs w:val="14"/>
                <w:b w:val="1"/>
                <w:bCs w:val="1"/>
                <w:color w:val="auto"/>
                <w:w w:val="90"/>
              </w:rPr>
              <w:t>Six Months Ended June 30, 2023</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60" w:type="dxa"/>
            <w:vAlign w:val="bottom"/>
            <w:gridSpan w:val="6"/>
          </w:tcPr>
          <w:p>
            <w:pPr>
              <w:jc w:val="center"/>
              <w:ind w:left="216"/>
              <w:spacing w:after="0"/>
              <w:rPr>
                <w:sz w:val="20"/>
                <w:szCs w:val="20"/>
                <w:color w:val="auto"/>
              </w:rPr>
            </w:pPr>
            <w:r>
              <w:rPr>
                <w:rFonts w:ascii="Arial" w:cs="Arial" w:eastAsia="Arial" w:hAnsi="Arial"/>
                <w:sz w:val="14"/>
                <w:szCs w:val="14"/>
                <w:b w:val="1"/>
                <w:bCs w:val="1"/>
                <w:color w:val="auto"/>
                <w:w w:val="91"/>
              </w:rPr>
              <w:t>Six Months Ended June 30, 2022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CenterPoint Energy</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3"/>
          </w:tcPr>
          <w:p>
            <w:pPr>
              <w:ind w:left="140"/>
              <w:spacing w:after="0" w:line="130" w:lineRule="exact"/>
              <w:rPr>
                <w:sz w:val="20"/>
                <w:szCs w:val="20"/>
                <w:color w:val="auto"/>
              </w:rPr>
            </w:pPr>
            <w:r>
              <w:rPr>
                <w:rFonts w:ascii="Arial" w:cs="Arial" w:eastAsia="Arial" w:hAnsi="Arial"/>
                <w:sz w:val="14"/>
                <w:szCs w:val="14"/>
                <w:b w:val="1"/>
                <w:bCs w:val="1"/>
                <w:color w:val="auto"/>
              </w:rPr>
              <w:t>Houston</w:t>
            </w: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CERC</w:t>
            </w:r>
          </w:p>
        </w:tc>
        <w:tc>
          <w:tcPr>
            <w:tcW w:w="8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CenterPoint Energy</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3"/>
          </w:tcPr>
          <w:p>
            <w:pPr>
              <w:ind w:left="160"/>
              <w:spacing w:after="0" w:line="130" w:lineRule="exact"/>
              <w:rPr>
                <w:sz w:val="20"/>
                <w:szCs w:val="20"/>
                <w:color w:val="auto"/>
              </w:rPr>
            </w:pPr>
            <w:r>
              <w:rPr>
                <w:rFonts w:ascii="Arial" w:cs="Arial" w:eastAsia="Arial" w:hAnsi="Arial"/>
                <w:sz w:val="14"/>
                <w:szCs w:val="14"/>
                <w:b w:val="1"/>
                <w:bCs w:val="1"/>
                <w:color w:val="auto"/>
              </w:rPr>
              <w:t>Houston</w:t>
            </w:r>
          </w:p>
        </w:tc>
        <w:tc>
          <w:tcPr>
            <w:tcW w:w="9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Electric</w:t>
            </w: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Electric</w:t>
            </w: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3"/>
          </w:tcPr>
          <w:p>
            <w:pPr>
              <w:jc w:val="right"/>
              <w:ind w:right="269"/>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60" w:type="dxa"/>
            <w:vAlign w:val="bottom"/>
          </w:tcPr>
          <w:p>
            <w:pPr>
              <w:jc w:val="right"/>
              <w:ind w:right="35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ind w:right="44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3"/>
        </w:trPr>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0" w:type="dxa"/>
            <w:vAlign w:val="bottom"/>
          </w:tcPr>
          <w:p>
            <w:pPr>
              <w:jc w:val="right"/>
              <w:ind w:right="35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ind w:right="44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-1593215</wp:posOffset>
            </wp:positionV>
            <wp:extent cx="7134860" cy="151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-1297940</wp:posOffset>
            </wp:positionV>
            <wp:extent cx="7134860" cy="168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68910"/>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-480060</wp:posOffset>
            </wp:positionV>
            <wp:extent cx="7134860" cy="143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43510"/>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-184785</wp:posOffset>
            </wp:positionV>
            <wp:extent cx="7134860" cy="168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440"/>
            <w:col w:w="8360"/>
          </w:cols>
          <w:pgMar w:left="320" w:top="127" w:right="339" w:bottom="1440" w:gutter="0" w:footer="0" w:header="0"/>
        </w:sectPr>
      </w:pP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43"/>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30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CenterPoint Energy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283"/>
              <w:spacing w:after="0" w:line="130" w:lineRule="exact"/>
              <w:rPr>
                <w:sz w:val="20"/>
                <w:szCs w:val="20"/>
                <w:color w:val="auto"/>
              </w:rPr>
            </w:pPr>
            <w:r>
              <w:rPr>
                <w:rFonts w:ascii="Arial" w:cs="Arial" w:eastAsia="Arial" w:hAnsi="Arial"/>
                <w:sz w:val="14"/>
                <w:szCs w:val="14"/>
                <w:b w:val="1"/>
                <w:bCs w:val="1"/>
                <w:color w:val="auto"/>
              </w:rPr>
              <w:t>Houston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CERC</w:t>
            </w:r>
          </w:p>
        </w:tc>
        <w:tc>
          <w:tcPr>
            <w:tcW w:w="8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CenterPoint Energy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ind w:right="282"/>
              <w:spacing w:after="0" w:line="130" w:lineRule="exact"/>
              <w:rPr>
                <w:sz w:val="20"/>
                <w:szCs w:val="20"/>
                <w:color w:val="auto"/>
              </w:rPr>
            </w:pPr>
            <w:r>
              <w:rPr>
                <w:rFonts w:ascii="Arial" w:cs="Arial" w:eastAsia="Arial" w:hAnsi="Arial"/>
                <w:sz w:val="14"/>
                <w:szCs w:val="14"/>
                <w:b w:val="1"/>
                <w:bCs w:val="1"/>
                <w:color w:val="auto"/>
              </w:rPr>
              <w:t>Houston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Electric</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Electric</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00" w:type="dxa"/>
            <w:vAlign w:val="bottom"/>
            <w:gridSpan w:val="9"/>
          </w:tcPr>
          <w:p>
            <w:pPr>
              <w:ind w:left="980"/>
              <w:spacing w:after="0"/>
              <w:rPr>
                <w:sz w:val="20"/>
                <w:szCs w:val="20"/>
                <w:color w:val="auto"/>
              </w:rPr>
            </w:pPr>
            <w:r>
              <w:rPr>
                <w:rFonts w:ascii="Arial" w:cs="Arial" w:eastAsia="Arial" w:hAnsi="Arial"/>
                <w:sz w:val="14"/>
                <w:szCs w:val="14"/>
                <w:b w:val="1"/>
                <w:bCs w:val="1"/>
                <w:color w:val="auto"/>
                <w:w w:val="95"/>
              </w:rPr>
              <w:t>(in millions, except lease term and discount rate)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Arial" w:cs="Arial" w:eastAsia="Arial" w:hAnsi="Arial"/>
                <w:sz w:val="16"/>
                <w:szCs w:val="16"/>
                <w:color w:val="auto"/>
              </w:rPr>
              <w:t>Assets: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Operating ROU assets </w:t>
            </w:r>
            <w:r>
              <w:rPr>
                <w:rFonts w:ascii="Arial" w:cs="Arial" w:eastAsia="Arial" w:hAnsi="Arial"/>
                <w:sz w:val="12"/>
                <w:szCs w:val="12"/>
                <w:color w:val="auto"/>
              </w:rPr>
              <w:t>(1)</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 xml:space="preserve">Finance ROU assets </w:t>
            </w:r>
            <w:r>
              <w:rPr>
                <w:rFonts w:ascii="Arial" w:cs="Arial" w:eastAsia="Arial" w:hAnsi="Arial"/>
                <w:sz w:val="12"/>
                <w:szCs w:val="12"/>
                <w:color w:val="auto"/>
              </w:rPr>
              <w:t>(2)</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Total leased assets</w:t>
            </w:r>
          </w:p>
        </w:tc>
        <w:tc>
          <w:tcPr>
            <w:tcW w:w="4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rPr>
              <w:t>590</w:t>
            </w:r>
          </w:p>
        </w:tc>
        <w:tc>
          <w:tcPr>
            <w:tcW w:w="26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3"/>
              <w:spacing w:after="0" w:line="182" w:lineRule="exact"/>
              <w:rPr>
                <w:sz w:val="20"/>
                <w:szCs w:val="20"/>
                <w:color w:val="auto"/>
              </w:rPr>
            </w:pPr>
            <w:r>
              <w:rPr>
                <w:rFonts w:ascii="Arial" w:cs="Arial" w:eastAsia="Arial" w:hAnsi="Arial"/>
                <w:sz w:val="16"/>
                <w:szCs w:val="16"/>
                <w:color w:val="auto"/>
              </w:rPr>
              <w:t>581</w:t>
            </w:r>
          </w:p>
        </w:tc>
        <w:tc>
          <w:tcPr>
            <w:tcW w:w="36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line="182" w:lineRule="exact"/>
              <w:rPr>
                <w:sz w:val="20"/>
                <w:szCs w:val="20"/>
                <w:color w:val="auto"/>
              </w:rPr>
            </w:pPr>
            <w:r>
              <w:rPr>
                <w:rFonts w:ascii="Arial" w:cs="Arial" w:eastAsia="Arial" w:hAnsi="Arial"/>
                <w:sz w:val="16"/>
                <w:szCs w:val="16"/>
                <w:color w:val="auto"/>
              </w:rPr>
              <w:t>5</w:t>
            </w:r>
          </w:p>
        </w:tc>
        <w:tc>
          <w:tcPr>
            <w:tcW w:w="54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640</w:t>
            </w:r>
          </w:p>
        </w:tc>
        <w:tc>
          <w:tcPr>
            <w:tcW w:w="320" w:type="dxa"/>
            <w:vAlign w:val="bottom"/>
            <w:gridSpan w:val="2"/>
            <w:shd w:val="clear" w:color="auto" w:fill="CCEEFF"/>
          </w:tcPr>
          <w:p>
            <w:pPr>
              <w:ind w:left="120"/>
              <w:spacing w:after="0" w:line="18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02"/>
              <w:spacing w:after="0" w:line="182" w:lineRule="exact"/>
              <w:rPr>
                <w:sz w:val="20"/>
                <w:szCs w:val="20"/>
                <w:color w:val="auto"/>
              </w:rPr>
            </w:pPr>
            <w:r>
              <w:rPr>
                <w:rFonts w:ascii="Arial" w:cs="Arial" w:eastAsia="Arial" w:hAnsi="Arial"/>
                <w:sz w:val="16"/>
                <w:szCs w:val="16"/>
                <w:color w:val="auto"/>
              </w:rPr>
              <w:t>627</w:t>
            </w:r>
          </w:p>
        </w:tc>
        <w:tc>
          <w:tcPr>
            <w:tcW w:w="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line="182"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Current operating lease liability </w:t>
            </w:r>
            <w:r>
              <w:rPr>
                <w:rFonts w:ascii="Arial" w:cs="Arial" w:eastAsia="Arial" w:hAnsi="Arial"/>
                <w:sz w:val="12"/>
                <w:szCs w:val="12"/>
                <w:color w:val="auto"/>
              </w:rPr>
              <w:t>(3)</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3300" w:type="dxa"/>
            <w:vAlign w:val="bottom"/>
          </w:tcPr>
          <w:p>
            <w:pPr>
              <w:ind w:left="20"/>
              <w:spacing w:after="0"/>
              <w:rPr>
                <w:sz w:val="20"/>
                <w:szCs w:val="20"/>
                <w:color w:val="auto"/>
              </w:rPr>
            </w:pPr>
            <w:r>
              <w:rPr>
                <w:rFonts w:ascii="Arial" w:cs="Arial" w:eastAsia="Arial" w:hAnsi="Arial"/>
                <w:sz w:val="16"/>
                <w:szCs w:val="16"/>
                <w:color w:val="auto"/>
              </w:rPr>
              <w:t xml:space="preserve">Non-current operating lease liability </w:t>
            </w:r>
            <w:r>
              <w:rPr>
                <w:rFonts w:ascii="Arial" w:cs="Arial" w:eastAsia="Arial" w:hAnsi="Arial"/>
                <w:sz w:val="12"/>
                <w:szCs w:val="12"/>
                <w:color w:val="auto"/>
              </w:rPr>
              <w:t>(4)</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Total leased liabilities </w:t>
            </w:r>
            <w:r>
              <w:rPr>
                <w:rFonts w:ascii="Arial" w:cs="Arial" w:eastAsia="Arial" w:hAnsi="Arial"/>
                <w:sz w:val="12"/>
                <w:szCs w:val="12"/>
                <w:color w:val="auto"/>
              </w:rPr>
              <w:t>(5)</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3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w w:val="91"/>
              </w:rPr>
              <w:t>Weighted-average remaining lease term (in years)</w:t>
            </w:r>
          </w:p>
        </w:tc>
        <w:tc>
          <w:tcPr>
            <w:tcW w:w="4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operating leases</w:t>
            </w:r>
          </w:p>
        </w:tc>
        <w:tc>
          <w:tcPr>
            <w:tcW w:w="4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w w:val="90"/>
              </w:rPr>
              <w:t>Weighted-average discount rate - operating leases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3.58 %</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1"/>
              </w:rPr>
              <w:t>Weighted-average remaining lease term (in years)</w:t>
            </w:r>
          </w:p>
        </w:tc>
        <w:tc>
          <w:tcPr>
            <w:tcW w:w="4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finance leases</w:t>
            </w:r>
          </w:p>
        </w:tc>
        <w:tc>
          <w:tcPr>
            <w:tcW w:w="4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00" w:type="dxa"/>
            <w:vAlign w:val="bottom"/>
          </w:tcPr>
          <w:p>
            <w:pPr>
              <w:ind w:left="20"/>
              <w:spacing w:after="0"/>
              <w:rPr>
                <w:sz w:val="20"/>
                <w:szCs w:val="20"/>
                <w:color w:val="auto"/>
              </w:rPr>
            </w:pPr>
            <w:r>
              <w:rPr>
                <w:rFonts w:ascii="Arial" w:cs="Arial" w:eastAsia="Arial" w:hAnsi="Arial"/>
                <w:sz w:val="16"/>
                <w:szCs w:val="16"/>
                <w:color w:val="auto"/>
                <w:w w:val="94"/>
              </w:rPr>
              <w:t>Weighted-average discount rate - finance leases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40" w:hanging="315"/>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Reported within Other assets in the Registrants’ respective Condensed Consolidated Balance Sheets.</w:t>
      </w:r>
    </w:p>
    <w:p>
      <w:pPr>
        <w:spacing w:after="0" w:line="16"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Reported within Property, Plant and Equipment in the Registrants’ respective Condensed Consolidated Balance Sheets. Finance lease assets are recorded net of accumulated amortization.</w:t>
      </w:r>
    </w:p>
    <w:p>
      <w:pPr>
        <w:ind w:left="640" w:hanging="315"/>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Reported within Current other liabilities in the Registrants’ respective Condensed Consolidated Balance Sheets.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Reported within Other liabilities in the Registrants’ respective Condensed Consolidated Balance Sheets.</w:t>
      </w:r>
    </w:p>
    <w:p>
      <w:pPr>
        <w:spacing w:after="0" w:line="5" w:lineRule="exact"/>
        <w:rPr>
          <w:rFonts w:ascii="Arial" w:cs="Arial" w:eastAsia="Arial" w:hAnsi="Arial"/>
          <w:sz w:val="18"/>
          <w:szCs w:val="18"/>
          <w:color w:val="auto"/>
        </w:rPr>
      </w:pPr>
    </w:p>
    <w:p>
      <w:pPr>
        <w:ind w:left="640" w:hanging="315"/>
        <w:spacing w:after="0" w:line="252"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Finance lease liabilities were not significant as of June 30, 2023 or December 31, 2022 and are reported within Other long-term debt in the Registrants’ respective Condensed Consolidated Balance Sheets when applicable.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ind w:right="100" w:firstLine="319"/>
        <w:spacing w:after="0" w:line="250" w:lineRule="auto"/>
        <w:rPr>
          <w:sz w:val="20"/>
          <w:szCs w:val="20"/>
          <w:color w:val="auto"/>
        </w:rPr>
      </w:pPr>
      <w:r>
        <w:rPr>
          <w:rFonts w:ascii="Arial" w:cs="Arial" w:eastAsia="Arial" w:hAnsi="Arial"/>
          <w:sz w:val="18"/>
          <w:szCs w:val="18"/>
          <w:color w:val="auto"/>
        </w:rPr>
        <w:t>As of June 30, 2023, finance lease liabilities were not significant to the Registrants. As of June 30, 2023, maturities of operating lease liabilities were as follows: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20" w:type="dxa"/>
            <w:vAlign w:val="bottom"/>
          </w:tcPr>
          <w:p>
            <w:pPr>
              <w:jc w:val="right"/>
              <w:ind w:right="20"/>
              <w:spacing w:after="0"/>
              <w:rPr>
                <w:sz w:val="20"/>
                <w:szCs w:val="20"/>
                <w:color w:val="auto"/>
              </w:rPr>
            </w:pPr>
            <w:r>
              <w:rPr>
                <w:rFonts w:ascii="Arial" w:cs="Arial" w:eastAsia="Arial" w:hAnsi="Arial"/>
                <w:sz w:val="14"/>
                <w:szCs w:val="14"/>
                <w:b w:val="1"/>
                <w:bCs w:val="1"/>
                <w:color w:val="auto"/>
              </w:rPr>
              <w:t>CenterPoint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196"/>
              <w:spacing w:after="0"/>
              <w:rPr>
                <w:sz w:val="20"/>
                <w:szCs w:val="20"/>
                <w:color w:val="auto"/>
              </w:rPr>
            </w:pPr>
            <w:r>
              <w:rPr>
                <w:rFonts w:ascii="Arial" w:cs="Arial" w:eastAsia="Arial" w:hAnsi="Arial"/>
                <w:sz w:val="14"/>
                <w:szCs w:val="14"/>
                <w:b w:val="1"/>
                <w:bCs w:val="1"/>
                <w:color w:val="auto"/>
                <w:w w:val="87"/>
              </w:rPr>
              <w:t>Houston</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3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Energy</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320" w:type="dxa"/>
            <w:vAlign w:val="bottom"/>
            <w:shd w:val="clear" w:color="auto" w:fill="CCEEFF"/>
          </w:tcPr>
          <w:p>
            <w:pPr>
              <w:jc w:val="right"/>
              <w:ind w:right="1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020" w:type="dxa"/>
            <w:vAlign w:val="bottom"/>
          </w:tcPr>
          <w:p>
            <w:pPr>
              <w:ind w:left="20"/>
              <w:spacing w:after="0"/>
              <w:rPr>
                <w:sz w:val="20"/>
                <w:szCs w:val="20"/>
                <w:color w:val="auto"/>
              </w:rPr>
            </w:pPr>
            <w:r>
              <w:rPr>
                <w:rFonts w:ascii="Arial" w:cs="Arial" w:eastAsia="Arial" w:hAnsi="Arial"/>
                <w:sz w:val="18"/>
                <w:szCs w:val="18"/>
                <w:color w:val="auto"/>
              </w:rPr>
              <w:t>2024</w:t>
            </w:r>
          </w:p>
        </w:tc>
        <w:tc>
          <w:tcPr>
            <w:tcW w:w="1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2"/>
        </w:trPr>
        <w:tc>
          <w:tcPr>
            <w:tcW w:w="6020" w:type="dxa"/>
            <w:vAlign w:val="bottom"/>
          </w:tcPr>
          <w:p>
            <w:pPr>
              <w:ind w:left="20"/>
              <w:spacing w:after="0"/>
              <w:rPr>
                <w:sz w:val="20"/>
                <w:szCs w:val="20"/>
                <w:color w:val="auto"/>
              </w:rPr>
            </w:pPr>
            <w:r>
              <w:rPr>
                <w:rFonts w:ascii="Arial" w:cs="Arial" w:eastAsia="Arial" w:hAnsi="Arial"/>
                <w:sz w:val="18"/>
                <w:szCs w:val="18"/>
                <w:color w:val="auto"/>
              </w:rPr>
              <w:t>2026</w:t>
            </w:r>
          </w:p>
        </w:tc>
        <w:tc>
          <w:tcPr>
            <w:tcW w:w="13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3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20" w:type="dxa"/>
            <w:vAlign w:val="bottom"/>
          </w:tcPr>
          <w:p>
            <w:pPr>
              <w:ind w:left="20"/>
              <w:spacing w:after="0"/>
              <w:rPr>
                <w:sz w:val="20"/>
                <w:szCs w:val="20"/>
                <w:color w:val="auto"/>
              </w:rPr>
            </w:pPr>
            <w:r>
              <w:rPr>
                <w:rFonts w:ascii="Arial" w:cs="Arial" w:eastAsia="Arial" w:hAnsi="Arial"/>
                <w:sz w:val="18"/>
                <w:szCs w:val="18"/>
                <w:color w:val="auto"/>
              </w:rPr>
              <w:t>2028</w:t>
            </w:r>
          </w:p>
        </w:tc>
        <w:tc>
          <w:tcPr>
            <w:tcW w:w="1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and beyond</w:t>
            </w:r>
          </w:p>
        </w:tc>
        <w:tc>
          <w:tcPr>
            <w:tcW w:w="13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020" w:type="dxa"/>
            <w:vAlign w:val="bottom"/>
          </w:tcPr>
          <w:p>
            <w:pPr>
              <w:ind w:left="20"/>
              <w:spacing w:after="0" w:line="205" w:lineRule="exact"/>
              <w:rPr>
                <w:sz w:val="20"/>
                <w:szCs w:val="20"/>
                <w:color w:val="auto"/>
              </w:rPr>
            </w:pPr>
            <w:r>
              <w:rPr>
                <w:rFonts w:ascii="Arial" w:cs="Arial" w:eastAsia="Arial" w:hAnsi="Arial"/>
                <w:sz w:val="18"/>
                <w:szCs w:val="18"/>
                <w:color w:val="auto"/>
              </w:rPr>
              <w:t>Total lease payments</w:t>
            </w:r>
          </w:p>
        </w:tc>
        <w:tc>
          <w:tcPr>
            <w:tcW w:w="1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1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2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320" w:type="dxa"/>
            <w:vAlign w:val="bottom"/>
          </w:tcPr>
          <w:p>
            <w:pPr>
              <w:jc w:val="right"/>
              <w:ind w:right="112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100" w:firstLine="319"/>
        <w:spacing w:after="0" w:line="265" w:lineRule="auto"/>
        <w:rPr>
          <w:sz w:val="20"/>
          <w:szCs w:val="20"/>
          <w:color w:val="auto"/>
        </w:rPr>
      </w:pPr>
      <w:r>
        <w:rPr>
          <w:rFonts w:ascii="Arial" w:cs="Arial" w:eastAsia="Arial" w:hAnsi="Arial"/>
          <w:sz w:val="18"/>
          <w:szCs w:val="18"/>
          <w:color w:val="auto"/>
        </w:rPr>
        <w:t>As of June 30, 2023, future minimum finance lease payments were not significant to the Registrants. As of June 30, 2023, maturities of undiscounted operating lease payments to be received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left="149"/>
              <w:spacing w:after="0"/>
              <w:rPr>
                <w:sz w:val="20"/>
                <w:szCs w:val="20"/>
                <w:color w:val="auto"/>
              </w:rPr>
            </w:pPr>
            <w:r>
              <w:rPr>
                <w:rFonts w:ascii="Arial" w:cs="Arial" w:eastAsia="Arial" w:hAnsi="Arial"/>
                <w:sz w:val="14"/>
                <w:szCs w:val="14"/>
                <w:b w:val="1"/>
                <w:bCs w:val="1"/>
                <w:color w:val="auto"/>
                <w:w w:val="93"/>
              </w:rPr>
              <w:t>CenterPoint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441"/>
              <w:spacing w:after="0"/>
              <w:rPr>
                <w:sz w:val="20"/>
                <w:szCs w:val="20"/>
                <w:color w:val="auto"/>
              </w:rPr>
            </w:pPr>
            <w:r>
              <w:rPr>
                <w:rFonts w:ascii="Arial" w:cs="Arial" w:eastAsia="Arial" w:hAnsi="Arial"/>
                <w:sz w:val="14"/>
                <w:szCs w:val="14"/>
                <w:b w:val="1"/>
                <w:bCs w:val="1"/>
                <w:color w:val="auto"/>
                <w:w w:val="95"/>
              </w:rPr>
              <w:t>Houston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left="329"/>
              <w:spacing w:after="0"/>
              <w:rPr>
                <w:sz w:val="20"/>
                <w:szCs w:val="20"/>
                <w:color w:val="auto"/>
              </w:rPr>
            </w:pPr>
            <w:r>
              <w:rPr>
                <w:rFonts w:ascii="Arial" w:cs="Arial" w:eastAsia="Arial" w:hAnsi="Arial"/>
                <w:sz w:val="14"/>
                <w:szCs w:val="14"/>
                <w:b w:val="1"/>
                <w:bCs w:val="1"/>
                <w:color w:val="auto"/>
                <w:w w:val="92"/>
              </w:rPr>
              <w:t>Energy</w:t>
            </w: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Electric</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40" w:type="dxa"/>
            <w:vAlign w:val="bottom"/>
            <w:gridSpan w:val="2"/>
          </w:tcPr>
          <w:p>
            <w:pPr>
              <w:ind w:left="34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40" w:type="dxa"/>
            <w:vAlign w:val="bottom"/>
            <w:gridSpan w:val="2"/>
          </w:tcPr>
          <w:p>
            <w:pPr>
              <w:ind w:left="34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540" w:type="dxa"/>
            <w:vAlign w:val="bottom"/>
            <w:gridSpan w:val="2"/>
          </w:tcPr>
          <w:p>
            <w:pPr>
              <w:ind w:left="34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and beyond</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w:t>
            </w:r>
          </w:p>
        </w:tc>
        <w:tc>
          <w:tcPr>
            <w:tcW w:w="12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3220" w:type="dxa"/>
            <w:vAlign w:val="bottom"/>
          </w:tcPr>
          <w:p>
            <w:pPr>
              <w:ind w:left="20"/>
              <w:spacing w:after="0" w:line="205" w:lineRule="exact"/>
              <w:rPr>
                <w:sz w:val="20"/>
                <w:szCs w:val="20"/>
                <w:color w:val="auto"/>
              </w:rPr>
            </w:pPr>
            <w:r>
              <w:rPr>
                <w:rFonts w:ascii="Arial" w:cs="Arial" w:eastAsia="Arial" w:hAnsi="Arial"/>
                <w:sz w:val="18"/>
                <w:szCs w:val="18"/>
                <w:color w:val="auto"/>
              </w:rPr>
              <w:t>Total lease payments to be received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216</w:t>
            </w:r>
          </w:p>
        </w:tc>
        <w:tc>
          <w:tcPr>
            <w:tcW w:w="640" w:type="dxa"/>
            <w:vAlign w:val="bottom"/>
            <w:gridSpan w:val="2"/>
          </w:tcPr>
          <w:p>
            <w:pPr>
              <w:jc w:val="right"/>
              <w:ind w:right="349"/>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3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w w:val="89"/>
              </w:rPr>
              <w:t>Other information related to leases is as follows:</w:t>
            </w: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2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Three Months Ended June 30, 2023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Three Months Ended June 30, 2022</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right="209"/>
              <w:spacing w:after="0" w:line="136" w:lineRule="exact"/>
              <w:rPr>
                <w:sz w:val="20"/>
                <w:szCs w:val="20"/>
                <w:color w:val="auto"/>
              </w:rPr>
            </w:pPr>
            <w:r>
              <w:rPr>
                <w:rFonts w:ascii="Arial" w:cs="Arial" w:eastAsia="Arial" w:hAnsi="Arial"/>
                <w:sz w:val="14"/>
                <w:szCs w:val="14"/>
                <w:b w:val="1"/>
                <w:bCs w:val="1"/>
                <w:color w:val="auto"/>
                <w:w w:val="93"/>
              </w:rPr>
              <w:t>CenterPoint</w:t>
            </w:r>
          </w:p>
        </w:tc>
        <w:tc>
          <w:tcPr>
            <w:tcW w:w="300" w:type="dxa"/>
            <w:vAlign w:val="bottom"/>
          </w:tcPr>
          <w:p>
            <w:pPr>
              <w:spacing w:after="0"/>
              <w:rPr>
                <w:sz w:val="11"/>
                <w:szCs w:val="11"/>
                <w:color w:val="auto"/>
              </w:rPr>
            </w:pPr>
          </w:p>
        </w:tc>
        <w:tc>
          <w:tcPr>
            <w:tcW w:w="1000" w:type="dxa"/>
            <w:vAlign w:val="bottom"/>
          </w:tcPr>
          <w:p>
            <w:pPr>
              <w:ind w:left="120"/>
              <w:spacing w:after="0" w:line="136"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1040" w:type="dxa"/>
            <w:vAlign w:val="bottom"/>
            <w:gridSpan w:val="3"/>
          </w:tcPr>
          <w:p>
            <w:pPr>
              <w:jc w:val="center"/>
              <w:ind w:right="69"/>
              <w:spacing w:after="0" w:line="136" w:lineRule="exact"/>
              <w:rPr>
                <w:sz w:val="20"/>
                <w:szCs w:val="20"/>
                <w:color w:val="auto"/>
              </w:rPr>
            </w:pPr>
            <w:r>
              <w:rPr>
                <w:rFonts w:ascii="Arial" w:cs="Arial" w:eastAsia="Arial" w:hAnsi="Arial"/>
                <w:sz w:val="14"/>
                <w:szCs w:val="14"/>
                <w:b w:val="1"/>
                <w:bCs w:val="1"/>
                <w:color w:val="auto"/>
                <w:w w:val="93"/>
              </w:rPr>
              <w:t>CenterPoint</w:t>
            </w:r>
          </w:p>
        </w:tc>
        <w:tc>
          <w:tcPr>
            <w:tcW w:w="1080" w:type="dxa"/>
            <w:vAlign w:val="bottom"/>
          </w:tcPr>
          <w:p>
            <w:pPr>
              <w:ind w:left="460"/>
              <w:spacing w:after="0" w:line="136" w:lineRule="exact"/>
              <w:rPr>
                <w:sz w:val="20"/>
                <w:szCs w:val="20"/>
                <w:color w:val="auto"/>
              </w:rPr>
            </w:pPr>
            <w:r>
              <w:rPr>
                <w:rFonts w:ascii="Arial" w:cs="Arial" w:eastAsia="Arial" w:hAnsi="Arial"/>
                <w:sz w:val="14"/>
                <w:szCs w:val="14"/>
                <w:b w:val="1"/>
                <w:bCs w:val="1"/>
                <w:color w:val="auto"/>
              </w:rPr>
              <w:t>Houston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49"/>
              <w:spacing w:after="0"/>
              <w:rPr>
                <w:sz w:val="20"/>
                <w:szCs w:val="20"/>
                <w:color w:val="auto"/>
              </w:rPr>
            </w:pPr>
            <w:r>
              <w:rPr>
                <w:rFonts w:ascii="Arial" w:cs="Arial" w:eastAsia="Arial" w:hAnsi="Arial"/>
                <w:sz w:val="14"/>
                <w:szCs w:val="14"/>
                <w:b w:val="1"/>
                <w:bCs w:val="1"/>
                <w:color w:val="auto"/>
                <w:w w:val="92"/>
              </w:rPr>
              <w:t>Energy</w:t>
            </w:r>
          </w:p>
        </w:tc>
        <w:tc>
          <w:tcPr>
            <w:tcW w:w="30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Electric</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49"/>
              <w:spacing w:after="0"/>
              <w:rPr>
                <w:sz w:val="20"/>
                <w:szCs w:val="20"/>
                <w:color w:val="auto"/>
              </w:rPr>
            </w:pPr>
            <w:r>
              <w:rPr>
                <w:rFonts w:ascii="Arial" w:cs="Arial" w:eastAsia="Arial" w:hAnsi="Arial"/>
                <w:sz w:val="14"/>
                <w:szCs w:val="14"/>
                <w:b w:val="1"/>
                <w:bCs w:val="1"/>
                <w:color w:val="auto"/>
                <w:w w:val="92"/>
              </w:rPr>
              <w:t>Energy</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Electric</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4"/>
          </w:tcPr>
          <w:p>
            <w:pPr>
              <w:jc w:val="right"/>
              <w:ind w:right="177"/>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w w:val="96"/>
              </w:rPr>
              <w:t>Operating cash flows from operating leases included in the</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measurement of lease liabilities</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5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Six Months Ended June 30, 2023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Six Months Ended June 30, 2022</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right="209"/>
              <w:spacing w:after="0" w:line="136" w:lineRule="exact"/>
              <w:rPr>
                <w:sz w:val="20"/>
                <w:szCs w:val="20"/>
                <w:color w:val="auto"/>
              </w:rPr>
            </w:pPr>
            <w:r>
              <w:rPr>
                <w:rFonts w:ascii="Arial" w:cs="Arial" w:eastAsia="Arial" w:hAnsi="Arial"/>
                <w:sz w:val="14"/>
                <w:szCs w:val="14"/>
                <w:b w:val="1"/>
                <w:bCs w:val="1"/>
                <w:color w:val="auto"/>
                <w:w w:val="93"/>
              </w:rPr>
              <w:t>CenterPoint</w:t>
            </w:r>
          </w:p>
        </w:tc>
        <w:tc>
          <w:tcPr>
            <w:tcW w:w="300" w:type="dxa"/>
            <w:vAlign w:val="bottom"/>
          </w:tcPr>
          <w:p>
            <w:pPr>
              <w:spacing w:after="0"/>
              <w:rPr>
                <w:sz w:val="11"/>
                <w:szCs w:val="11"/>
                <w:color w:val="auto"/>
              </w:rPr>
            </w:pPr>
          </w:p>
        </w:tc>
        <w:tc>
          <w:tcPr>
            <w:tcW w:w="1000" w:type="dxa"/>
            <w:vAlign w:val="bottom"/>
          </w:tcPr>
          <w:p>
            <w:pPr>
              <w:ind w:left="120"/>
              <w:spacing w:after="0" w:line="136"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1040" w:type="dxa"/>
            <w:vAlign w:val="bottom"/>
            <w:gridSpan w:val="3"/>
          </w:tcPr>
          <w:p>
            <w:pPr>
              <w:jc w:val="center"/>
              <w:ind w:right="69"/>
              <w:spacing w:after="0" w:line="136" w:lineRule="exact"/>
              <w:rPr>
                <w:sz w:val="20"/>
                <w:szCs w:val="20"/>
                <w:color w:val="auto"/>
              </w:rPr>
            </w:pPr>
            <w:r>
              <w:rPr>
                <w:rFonts w:ascii="Arial" w:cs="Arial" w:eastAsia="Arial" w:hAnsi="Arial"/>
                <w:sz w:val="14"/>
                <w:szCs w:val="14"/>
                <w:b w:val="1"/>
                <w:bCs w:val="1"/>
                <w:color w:val="auto"/>
                <w:w w:val="93"/>
              </w:rPr>
              <w:t>CenterPoint</w:t>
            </w:r>
          </w:p>
        </w:tc>
        <w:tc>
          <w:tcPr>
            <w:tcW w:w="1080" w:type="dxa"/>
            <w:vAlign w:val="bottom"/>
          </w:tcPr>
          <w:p>
            <w:pPr>
              <w:ind w:left="460"/>
              <w:spacing w:after="0" w:line="136" w:lineRule="exact"/>
              <w:rPr>
                <w:sz w:val="20"/>
                <w:szCs w:val="20"/>
                <w:color w:val="auto"/>
              </w:rPr>
            </w:pPr>
            <w:r>
              <w:rPr>
                <w:rFonts w:ascii="Arial" w:cs="Arial" w:eastAsia="Arial" w:hAnsi="Arial"/>
                <w:sz w:val="14"/>
                <w:szCs w:val="14"/>
                <w:b w:val="1"/>
                <w:bCs w:val="1"/>
                <w:color w:val="auto"/>
              </w:rPr>
              <w:t>Houston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49"/>
              <w:spacing w:after="0"/>
              <w:rPr>
                <w:sz w:val="20"/>
                <w:szCs w:val="20"/>
                <w:color w:val="auto"/>
              </w:rPr>
            </w:pPr>
            <w:r>
              <w:rPr>
                <w:rFonts w:ascii="Arial" w:cs="Arial" w:eastAsia="Arial" w:hAnsi="Arial"/>
                <w:sz w:val="14"/>
                <w:szCs w:val="14"/>
                <w:b w:val="1"/>
                <w:bCs w:val="1"/>
                <w:color w:val="auto"/>
                <w:w w:val="92"/>
              </w:rPr>
              <w:t>Energy</w:t>
            </w:r>
          </w:p>
        </w:tc>
        <w:tc>
          <w:tcPr>
            <w:tcW w:w="30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Electric</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49"/>
              <w:spacing w:after="0"/>
              <w:rPr>
                <w:sz w:val="20"/>
                <w:szCs w:val="20"/>
                <w:color w:val="auto"/>
              </w:rPr>
            </w:pPr>
            <w:r>
              <w:rPr>
                <w:rFonts w:ascii="Arial" w:cs="Arial" w:eastAsia="Arial" w:hAnsi="Arial"/>
                <w:sz w:val="14"/>
                <w:szCs w:val="14"/>
                <w:b w:val="1"/>
                <w:bCs w:val="1"/>
                <w:color w:val="auto"/>
                <w:w w:val="92"/>
              </w:rPr>
              <w:t>Energy</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Electric</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4"/>
          </w:tcPr>
          <w:p>
            <w:pPr>
              <w:jc w:val="right"/>
              <w:ind w:right="177"/>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w w:val="96"/>
              </w:rPr>
              <w:t>Operating cash flows from operating leases included in the</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measurement of lease liabilities</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5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Financing cash flows from finance leases included in the</w:t>
            </w:r>
          </w:p>
        </w:tc>
        <w:tc>
          <w:tcPr>
            <w:tcW w:w="240" w:type="dxa"/>
            <w:vAlign w:val="bottom"/>
          </w:tcPr>
          <w:p>
            <w:pPr>
              <w:spacing w:after="0"/>
              <w:rPr>
                <w:sz w:val="11"/>
                <w:szCs w:val="11"/>
                <w:color w:val="auto"/>
              </w:rPr>
            </w:pP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171</w:t>
            </w:r>
          </w:p>
        </w:tc>
        <w:tc>
          <w:tcPr>
            <w:tcW w:w="1240" w:type="dxa"/>
            <w:vAlign w:val="bottom"/>
            <w:gridSpan w:val="4"/>
            <w:vMerge w:val="restart"/>
          </w:tcPr>
          <w:p>
            <w:pPr>
              <w:jc w:val="right"/>
              <w:spacing w:after="0"/>
              <w:rPr>
                <w:sz w:val="20"/>
                <w:szCs w:val="20"/>
                <w:color w:val="auto"/>
              </w:rPr>
            </w:pPr>
            <w:r>
              <w:rPr>
                <w:rFonts w:ascii="Arial" w:cs="Arial" w:eastAsia="Arial" w:hAnsi="Arial"/>
                <w:sz w:val="14"/>
                <w:szCs w:val="14"/>
                <w:color w:val="auto"/>
              </w:rPr>
              <w:t>171</w:t>
            </w:r>
          </w:p>
        </w:tc>
        <w:tc>
          <w:tcPr>
            <w:tcW w:w="5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gridSpan w:val="2"/>
          </w:tcPr>
          <w:p>
            <w:pPr>
              <w:ind w:left="180"/>
              <w:spacing w:after="0"/>
              <w:rPr>
                <w:sz w:val="20"/>
                <w:szCs w:val="20"/>
                <w:color w:val="auto"/>
              </w:rPr>
            </w:pPr>
            <w:r>
              <w:rPr>
                <w:rFonts w:ascii="Arial" w:cs="Arial" w:eastAsia="Arial" w:hAnsi="Arial"/>
                <w:sz w:val="14"/>
                <w:szCs w:val="14"/>
                <w:color w:val="auto"/>
              </w:rPr>
              <w:t>measurement of lease liabilities</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16 for information on ROU assets obtained in exchange for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 (CenterPoint Energy)</w:t>
      </w:r>
    </w:p>
    <w:p>
      <w:pPr>
        <w:spacing w:after="0" w:line="251" w:lineRule="exact"/>
        <w:rPr>
          <w:sz w:val="20"/>
          <w:szCs w:val="20"/>
          <w:color w:val="auto"/>
        </w:rPr>
      </w:pPr>
    </w:p>
    <w:p>
      <w:pPr>
        <w:ind w:right="620" w:firstLine="638"/>
        <w:spacing w:after="0" w:line="265" w:lineRule="auto"/>
        <w:rPr>
          <w:sz w:val="20"/>
          <w:szCs w:val="20"/>
          <w:color w:val="auto"/>
        </w:rPr>
      </w:pPr>
      <w:r>
        <w:rPr>
          <w:rFonts w:ascii="Arial" w:cs="Arial" w:eastAsia="Arial" w:hAnsi="Arial"/>
          <w:sz w:val="18"/>
          <w:szCs w:val="18"/>
          <w:color w:val="auto"/>
        </w:rPr>
        <w:t>On July 19, 2023, CenterPoint Energy’s Board of Directors declared the following cash dividends to shareholders of record as of the close of business on the applicable record dates.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Equity Instrument</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Declaration Date</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 Date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Per Share</w:t>
            </w:r>
          </w:p>
        </w:tc>
      </w:tr>
      <w:tr>
        <w:trPr>
          <w:trHeight w:val="21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July 19, 2023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August 17, 2023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September 14, 2023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0.1900</w:t>
            </w: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auto"/>
              </w:rPr>
              <w:t>Series A Preferred Stock</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0"/>
              </w:rPr>
              <w:t>July 19, 2023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0"/>
              </w:rPr>
              <w:t>August 15, 2023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8"/>
              </w:rPr>
              <w:t>September 1, 2023</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30.6250</w:t>
            </w:r>
          </w:p>
        </w:tc>
      </w:tr>
    </w:tbl>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both"/>
        <w:ind w:left="800" w:hanging="796"/>
        <w:spacing w:after="0" w:line="272" w:lineRule="auto"/>
        <w:tabs>
          <w:tab w:leader="none" w:pos="7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20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i w:val="1"/>
          <w:iCs w:val="1"/>
          <w:color w:val="auto"/>
        </w:rPr>
        <w:t>The following combined discussion and analysis should be read in combination with the Interim Condensed Financial Statements contained in this combined Form 10-Q and the Registrants’ combined 2022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combined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6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7"/>
          <w:szCs w:val="17"/>
          <w:b w:val="1"/>
          <w:bCs w:val="1"/>
          <w:i w:val="1"/>
          <w:iCs w:val="1"/>
          <w:color w:val="auto"/>
        </w:rPr>
        <w:t xml:space="preserve">Divestiture of Energy Systems Group. </w:t>
      </w:r>
      <w:r>
        <w:rPr>
          <w:rFonts w:ascii="Arial" w:cs="Arial" w:eastAsia="Arial" w:hAnsi="Arial"/>
          <w:sz w:val="17"/>
          <w:szCs w:val="17"/>
          <w:color w:val="auto"/>
        </w:rPr>
        <w:t>On May 21, 2023, Vectren Energy Services entered into an Equity Purchase Agreement to sell all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limited liability company interests of Energy Systems Group to ESG Holdings Group, for a purchase price of $157 million, subject to customary adjustments set forth in the Equity Purchase Agreement, including adjustments based on Energy Systems Group’s net working capital at closing, indebtedness, cash and cash equivalents and transaction expenses. The transaction closed on June 30, 2023 for $154 million in cash, subject to finalization of the purchase price adjustment. For further information, see Note 3 to the Interim Condensed Financial Statements.</w:t>
      </w:r>
    </w:p>
    <w:p>
      <w:pPr>
        <w:spacing w:after="0" w:line="205" w:lineRule="exact"/>
        <w:rPr>
          <w:sz w:val="20"/>
          <w:szCs w:val="20"/>
          <w:color w:val="auto"/>
        </w:rPr>
      </w:pPr>
    </w:p>
    <w:p>
      <w:pPr>
        <w:jc w:val="both"/>
        <w:ind w:firstLine="319"/>
        <w:spacing w:after="0" w:line="285" w:lineRule="auto"/>
        <w:rPr>
          <w:sz w:val="20"/>
          <w:szCs w:val="20"/>
          <w:color w:val="auto"/>
        </w:rPr>
      </w:pPr>
      <w:r>
        <w:rPr>
          <w:rFonts w:ascii="Arial" w:cs="Arial" w:eastAsia="Arial" w:hAnsi="Arial"/>
          <w:sz w:val="15"/>
          <w:szCs w:val="15"/>
          <w:b w:val="1"/>
          <w:bCs w:val="1"/>
          <w:i w:val="1"/>
          <w:iCs w:val="1"/>
          <w:color w:val="auto"/>
        </w:rPr>
        <w:t xml:space="preserve">Regulatory Proceedings. </w:t>
      </w:r>
      <w:r>
        <w:rPr>
          <w:rFonts w:ascii="Arial" w:cs="Arial" w:eastAsia="Arial" w:hAnsi="Arial"/>
          <w:sz w:val="15"/>
          <w:szCs w:val="15"/>
          <w:color w:val="auto"/>
        </w:rPr>
        <w:t>On March 23, 2023, CenterPoint Energy and CERC, collectively, received approximately $1.1 billion in proceeds from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rate relief bonds issued by the Texas Public Financing Authority related to the February 2021 Winter Storm Event. On April 5, 2023, a final order was issued approving the $39 million revenue requirement from Houston Electric’s 2021 investment in TEEEF. On April 5, 2023, Houston Electric filed its second TEEEF filing requesting recovery of $188 million of TEEEF related costs incurred through December 31, 2022. On June 29, 2023, Indiana Electric received the net securitization proceeds of $337 million to reimburse it for or fund qualified costs approved by the IURC related to the planned retirement of its A.B. Brown coal-fired generation facilities. For further information, see Note 6 to the Interim Condensed Financial Statements. For information related to our pending and completed regulatory proceedings to date in 2023, see “—Liquidity and Capital Resources —Regulatory Matters” below.</w:t>
      </w:r>
    </w:p>
    <w:p>
      <w:pPr>
        <w:spacing w:after="0" w:line="200"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b w:val="1"/>
          <w:bCs w:val="1"/>
          <w:i w:val="1"/>
          <w:iCs w:val="1"/>
          <w:color w:val="auto"/>
        </w:rPr>
        <w:t xml:space="preserve">Debt Transactions. </w:t>
      </w:r>
      <w:r>
        <w:rPr>
          <w:rFonts w:ascii="Arial" w:cs="Arial" w:eastAsia="Arial" w:hAnsi="Arial"/>
          <w:sz w:val="17"/>
          <w:szCs w:val="17"/>
          <w:color w:val="auto"/>
        </w:rPr>
        <w:t>During the six months ended June 30, 2023, CenterPoint Energy issued or borrowed a combined $3.7 billion in new debt,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Houston Electric’s issuance of $900 million aggregate principal amount of general mortgage bonds, CERC’s issuance of $1.5 billion aggregate principal amount of senior notes, CERC’s $500 million term loan, Securitization Subsidiary’s issuance of $341 million aggregate principal amount of SIGECO Securitization Bonds, SIGECO’s issuance of $180 million aggregate principal amount of first mortgage bonds and CenterPoint Energy’s $250 million term loan. CenterPoint Energy repaid or redeemed a combined $2.54 billion of debt, including CERC’s repayment of $1.0 billion of term loans and $1.275 billion of senior notes maturing in 2023, CenterPoint Energy’s repayment of its $250 million term loan and SIGECO’s early redemption of $11 million of first mortgage bonds maturing in 2044, excluding scheduled principal payments on Securitization Bonds. For information about debt transactions to date in 2023, see Note 11 to the Interim Condensed Financial Statements.</w:t>
      </w:r>
    </w:p>
    <w:p>
      <w:pPr>
        <w:spacing w:after="0" w:line="212"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b w:val="1"/>
          <w:bCs w:val="1"/>
          <w:i w:val="1"/>
          <w:iCs w:val="1"/>
          <w:color w:val="auto"/>
        </w:rPr>
        <w:t xml:space="preserve">CenterPoint Energy Leadership Transition. </w:t>
      </w:r>
      <w:r>
        <w:rPr>
          <w:rFonts w:ascii="Arial" w:cs="Arial" w:eastAsia="Arial" w:hAnsi="Arial"/>
          <w:sz w:val="18"/>
          <w:szCs w:val="18"/>
          <w:color w:val="auto"/>
        </w:rPr>
        <w:t>On March 15, 2023, CenterPoint Energy announced the appointment of Christopher Foster to the position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and Chief Financial Officer, effective May 5, 2023.</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51"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2022 Form 10-K.</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for the three and six months ended June 30, 2023 and 2022 was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7"/>
          </w:tcPr>
          <w:p>
            <w:pPr>
              <w:jc w:val="right"/>
              <w:ind w:right="77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6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218"/>
              <w:spacing w:after="0" w:line="126" w:lineRule="exact"/>
              <w:rPr>
                <w:sz w:val="20"/>
                <w:szCs w:val="20"/>
                <w:color w:val="auto"/>
              </w:rPr>
            </w:pPr>
            <w:r>
              <w:rPr>
                <w:rFonts w:ascii="Arial" w:cs="Arial" w:eastAsia="Arial" w:hAnsi="Arial"/>
                <w:sz w:val="14"/>
                <w:szCs w:val="14"/>
                <w:b w:val="1"/>
                <w:bCs w:val="1"/>
                <w:color w:val="auto"/>
              </w:rPr>
              <w:t>Favorable</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right"/>
              <w:ind w:right="217"/>
              <w:spacing w:after="0" w:line="126"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5"/>
              </w:rPr>
              <w:t>(Unfavorable)</w:t>
            </w:r>
          </w:p>
        </w:tc>
        <w:tc>
          <w:tcPr>
            <w:tcW w:w="84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3"/>
              </w:rPr>
              <w:t>(Unfavorable)</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1"/>
              </w:rPr>
              <w:t>(in millions)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269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3"/>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Utility Operations</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4"/>
                <w:szCs w:val="14"/>
                <w:color w:val="auto"/>
              </w:rPr>
              <w:t>(1)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0"/>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CenterPoint Energy</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line="295" w:lineRule="auto"/>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Includes energy performance contracting and sustainable infrastructure services through </w:t>
      </w:r>
      <w:r>
        <w:rPr>
          <w:rFonts w:ascii="Arial" w:cs="Arial" w:eastAsia="Arial" w:hAnsi="Arial"/>
          <w:sz w:val="17"/>
          <w:szCs w:val="17"/>
          <w:color w:val="221F1F"/>
        </w:rPr>
        <w:t>Energy Systems Group</w:t>
      </w:r>
      <w:r>
        <w:rPr>
          <w:rFonts w:ascii="Arial" w:cs="Arial" w:eastAsia="Arial" w:hAnsi="Arial"/>
          <w:sz w:val="17"/>
          <w:szCs w:val="17"/>
          <w:color w:val="auto"/>
        </w:rPr>
        <w:t>, unallocated corporate costs, interest income and interest expense, intercompany eliminations and the reduction of income allocated to preferred shareholders.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decreased $73 million primarily due to the following items:</w:t>
      </w:r>
    </w:p>
    <w:p>
      <w:pPr>
        <w:spacing w:after="0" w:line="245" w:lineRule="exact"/>
        <w:rPr>
          <w:sz w:val="20"/>
          <w:szCs w:val="20"/>
          <w:color w:val="auto"/>
        </w:rPr>
      </w:pPr>
    </w:p>
    <w:p>
      <w:pPr>
        <w:ind w:left="640" w:hanging="315"/>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in income available to common shareholders of $7 million for the Electric reportable segment, as further discussed below;</w:t>
      </w:r>
    </w:p>
    <w:p>
      <w:pPr>
        <w:spacing w:after="0" w:line="28" w:lineRule="exact"/>
        <w:rPr>
          <w:rFonts w:ascii="Arial" w:cs="Arial" w:eastAsia="Arial" w:hAnsi="Arial"/>
          <w:sz w:val="17"/>
          <w:szCs w:val="17"/>
          <w:color w:val="auto"/>
        </w:rPr>
      </w:pPr>
    </w:p>
    <w:p>
      <w:pPr>
        <w:ind w:left="640" w:hanging="315"/>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in income available to common shareholders of $7 million for the Natural Gas reportable segment, as further discussed below;</w:t>
      </w:r>
    </w:p>
    <w:p>
      <w:pPr>
        <w:spacing w:after="0" w:line="17" w:lineRule="exact"/>
        <w:rPr>
          <w:rFonts w:ascii="Arial" w:cs="Arial" w:eastAsia="Arial" w:hAnsi="Arial"/>
          <w:sz w:val="17"/>
          <w:szCs w:val="17"/>
          <w:color w:val="auto"/>
        </w:rPr>
      </w:pPr>
    </w:p>
    <w:p>
      <w:pPr>
        <w:jc w:val="both"/>
        <w:ind w:left="640" w:hanging="315"/>
        <w:spacing w:after="0" w:line="248"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in income available to common shareholders of $87 million for Corporate and Other, primarily due to a loss on sale of $12 million and current tax expense of $33 million related to the divestiture of Energy Systems Group further discussed in Note 3 to the Interim Condensed Financial Statements, as well as $19 million due to remeasurement of deferred income tax balances. The remaining variance is due largely to an approximately $20 million increase in borrowing costs due to higher interest rates.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decreased $278 million primarily due to the following items:</w:t>
      </w:r>
    </w:p>
    <w:p>
      <w:pPr>
        <w:spacing w:after="0" w:line="245" w:lineRule="exact"/>
        <w:rPr>
          <w:sz w:val="20"/>
          <w:szCs w:val="20"/>
          <w:color w:val="auto"/>
        </w:rPr>
      </w:pPr>
    </w:p>
    <w:p>
      <w:pPr>
        <w:ind w:left="640" w:hanging="315"/>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net income of $48 million for the Electric reportable segment, as further discussed below;</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in net income of $157 million for the Natural Gas reportable segment, as further discussed below;</w:t>
      </w:r>
    </w:p>
    <w:p>
      <w:pPr>
        <w:spacing w:after="0" w:line="5" w:lineRule="exact"/>
        <w:rPr>
          <w:rFonts w:ascii="Arial" w:cs="Arial" w:eastAsia="Arial" w:hAnsi="Arial"/>
          <w:sz w:val="18"/>
          <w:szCs w:val="18"/>
          <w:color w:val="auto"/>
        </w:rPr>
      </w:pPr>
    </w:p>
    <w:p>
      <w:pPr>
        <w:jc w:val="both"/>
        <w:ind w:left="640" w:hanging="315"/>
        <w:spacing w:after="0" w:line="265"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decrease in income available to common shareholders of $169 million for Corporate and Other, primarily due to the pre-tax net gain of $86 million on the sale of Energy Transfer equity securities in 2022 further discussed in Note 10 to the Interim Condensed Financial Statements, partially offset by $45 million of costs associated with early redemption of long-term debt in first quarter 2022, a loss on sale of $12 million and current tax expense of $33 million related to the divestiture of Energy Systems Group further discussed in Note 3 to the Interim Condensed Financial Statements, as well as $19 million due to remeasurement of deferred income tax balances. The remaining variance is due largely to an approximately $30 million increase in borrowing costs due to higher interest rates.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ENERGY’S RESULTS OF OPERATIONS BY REPORTABLE SEGMENT</w:t>
      </w:r>
    </w:p>
    <w:p>
      <w:pPr>
        <w:spacing w:after="0" w:line="25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CenterPoint Energy’s CODM views net income as the measure of profit or loss for the reportable segments. Segment results include inter-segment interest income and expense, which may result in inter-segment profit and loss.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discussion of CenterPoint Energy’s results of operations is separated into two reportable segments, Electric and Natural Gas.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Electric (CenterPoint Energy)</w:t>
      </w:r>
    </w:p>
    <w:p>
      <w:pPr>
        <w:spacing w:after="0" w:line="251"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For information regarding factors that may affect the future results of operations of CenterPoint Energy’s Electric reportable segment, please read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the Electric reportable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60" w:type="dxa"/>
            <w:vAlign w:val="bottom"/>
            <w:gridSpan w:val="7"/>
          </w:tcPr>
          <w:p>
            <w:pPr>
              <w:jc w:val="right"/>
              <w:ind w:right="989"/>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right"/>
              <w:ind w:right="269"/>
              <w:spacing w:after="0" w:line="126" w:lineRule="exact"/>
              <w:rPr>
                <w:sz w:val="20"/>
                <w:szCs w:val="20"/>
                <w:color w:val="auto"/>
              </w:rPr>
            </w:pPr>
            <w:r>
              <w:rPr>
                <w:rFonts w:ascii="Arial" w:cs="Arial" w:eastAsia="Arial" w:hAnsi="Arial"/>
                <w:sz w:val="14"/>
                <w:szCs w:val="14"/>
                <w:b w:val="1"/>
                <w:bCs w:val="1"/>
                <w:color w:val="auto"/>
              </w:rPr>
              <w:t>Favorable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ind w:right="269"/>
              <w:spacing w:after="0" w:line="126"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(Unfavorable)</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0"/>
              </w:rPr>
              <w:t>(in millions, except operating statistics)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1,037</w:t>
            </w:r>
          </w:p>
        </w:tc>
        <w:tc>
          <w:tcPr>
            <w:tcW w:w="3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(16)</w:t>
            </w:r>
          </w:p>
        </w:tc>
        <w:tc>
          <w:tcPr>
            <w:tcW w:w="3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1,989</w:t>
            </w:r>
          </w:p>
        </w:tc>
        <w:tc>
          <w:tcPr>
            <w:tcW w:w="3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1,946</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9"/>
        </w:trPr>
        <w:tc>
          <w:tcPr>
            <w:tcW w:w="332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4"/>
                <w:szCs w:val="14"/>
                <w:color w:val="auto"/>
              </w:rPr>
              <w:t>Operation and maintenance</w:t>
            </w:r>
          </w:p>
        </w:tc>
        <w:tc>
          <w:tcPr>
            <w:tcW w:w="26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5"/>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409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 other than income taxes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755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1,499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1,520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490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6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3"/>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 net</w:t>
            </w: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Throughput (in GWh):</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5"/>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49,765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Arial" w:cs="Arial" w:eastAsia="Arial" w:hAnsi="Arial"/>
                <w:sz w:val="14"/>
                <w:szCs w:val="14"/>
                <w:color w:val="auto"/>
                <w:w w:val="90"/>
              </w:rPr>
              <w:t>Weather (percentage of 10-year average for service area):</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Cooling degree days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332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2,561,331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2,517,362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2,561,331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2,517,362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5"/>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2,887,492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2,840,830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2,887,492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2,840,830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following table provides variance explanations for the three months ended June 30, 2023 compared to the three months ended June 30, 2022 as well as for the six months ended June 30, 2023 compared to the six months ended June 30, 2022 by major income statement caption for the Electric reportable segment: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3"/>
          </w:tcPr>
          <w:p>
            <w:pPr>
              <w:jc w:val="right"/>
              <w:ind w:right="585"/>
              <w:spacing w:after="0"/>
              <w:rPr>
                <w:sz w:val="20"/>
                <w:szCs w:val="20"/>
                <w:color w:val="auto"/>
              </w:rPr>
            </w:pPr>
            <w:r>
              <w:rPr>
                <w:rFonts w:ascii="Arial" w:cs="Arial" w:eastAsia="Arial" w:hAnsi="Arial"/>
                <w:sz w:val="14"/>
                <w:szCs w:val="14"/>
                <w:b w:val="1"/>
                <w:bCs w:val="1"/>
                <w:color w:val="auto"/>
              </w:rPr>
              <w:t>Favorable (Unfavorable)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jc w:val="right"/>
              <w:ind w:right="161"/>
              <w:spacing w:after="0" w:line="126" w:lineRule="exact"/>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0"/>
                <w:szCs w:val="10"/>
                <w:color w:val="auto"/>
              </w:rPr>
            </w:pPr>
          </w:p>
        </w:tc>
        <w:tc>
          <w:tcPr>
            <w:tcW w:w="17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2"/>
              </w:rPr>
              <w:t>June 30, 2023 vs 2022</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2023 vs 2022</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3"/>
          </w:tcPr>
          <w:p>
            <w:pPr>
              <w:jc w:val="right"/>
              <w:ind w:right="965"/>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w w:val="95"/>
              </w:rPr>
              <w:t>Transmission Revenues, including TCOS and TCRF, inclusive of costs billed by transmission providers, partially</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60" w:type="dxa"/>
            <w:vAlign w:val="bottom"/>
            <w:gridSpan w:val="2"/>
            <w:vMerge w:val="restart"/>
            <w:shd w:val="clear" w:color="auto" w:fill="CCEEFF"/>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9"/>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offset in operation and maintenance below</w:t>
            </w:r>
          </w:p>
        </w:tc>
        <w:tc>
          <w:tcPr>
            <w:tcW w:w="18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Customer rates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fuel and purchased power, offset in utility natural gas, fuel and purchased power below</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Miscellaneous revenues, including service connections and off-system sales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3"/>
        </w:trPr>
        <w:tc>
          <w:tcPr>
            <w:tcW w:w="7620" w:type="dxa"/>
            <w:vAlign w:val="bottom"/>
            <w:gridSpan w:val="2"/>
          </w:tcPr>
          <w:p>
            <w:pPr>
              <w:ind w:left="20"/>
              <w:spacing w:after="0" w:line="163" w:lineRule="exact"/>
              <w:rPr>
                <w:sz w:val="20"/>
                <w:szCs w:val="20"/>
                <w:color w:val="auto"/>
              </w:rPr>
            </w:pPr>
            <w:r>
              <w:rPr>
                <w:rFonts w:ascii="Arial" w:cs="Arial" w:eastAsia="Arial" w:hAnsi="Arial"/>
                <w:sz w:val="16"/>
                <w:szCs w:val="16"/>
                <w:color w:val="auto"/>
                <w:w w:val="99"/>
              </w:rPr>
              <w:t>Bond Companies equity return, related to the annual true-up of transition charges for amounts over or under</w:t>
            </w:r>
          </w:p>
        </w:tc>
        <w:tc>
          <w:tcPr>
            <w:tcW w:w="1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7620" w:type="dxa"/>
            <w:vAlign w:val="bottom"/>
            <w:gridSpan w:val="2"/>
          </w:tcPr>
          <w:p>
            <w:pPr>
              <w:ind w:left="180"/>
              <w:spacing w:after="0"/>
              <w:rPr>
                <w:sz w:val="20"/>
                <w:szCs w:val="20"/>
                <w:color w:val="auto"/>
              </w:rPr>
            </w:pPr>
            <w:r>
              <w:rPr>
                <w:rFonts w:ascii="Arial" w:cs="Arial" w:eastAsia="Arial" w:hAnsi="Arial"/>
                <w:sz w:val="16"/>
                <w:szCs w:val="16"/>
                <w:color w:val="auto"/>
              </w:rPr>
              <w:t>collected in prior periods</w:t>
            </w:r>
          </w:p>
        </w:tc>
        <w:tc>
          <w:tcPr>
            <w:tcW w:w="1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and other pass-through, offset in operation and maintenance below</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Weather, efficiency improvements and other usage impacts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offset in other line items below</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6"/>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w:t>
            </w:r>
          </w:p>
        </w:tc>
        <w:tc>
          <w:tcPr>
            <w:tcW w:w="1460" w:type="dxa"/>
            <w:vAlign w:val="bottom"/>
            <w:gridSpan w:val="2"/>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78"/>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Utility natural gas, fuel and purchased power</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Cost of fuel, including coal, natural gas, and fuel oil, offset in revenues above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w:t>
            </w:r>
          </w:p>
        </w:tc>
        <w:tc>
          <w:tcPr>
            <w:tcW w:w="1460" w:type="dxa"/>
            <w:vAlign w:val="bottom"/>
            <w:gridSpan w:val="2"/>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purchased power, offset in revenues above</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6"/>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37</w:t>
            </w:r>
          </w:p>
        </w:tc>
        <w:tc>
          <w:tcPr>
            <w:tcW w:w="1460" w:type="dxa"/>
            <w:vAlign w:val="bottom"/>
            <w:gridSpan w:val="2"/>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Operation and maintenance</w:t>
            </w: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All other operation and maintenance expense, including materials and supplies and insurance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c>
          <w:tcPr>
            <w:tcW w:w="1460" w:type="dxa"/>
            <w:vAlign w:val="bottom"/>
            <w:gridSpan w:val="2"/>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and other pass-through, offset in revenues above</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Labor and benefits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Support services, primarily information technology cost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 above</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60" w:type="dxa"/>
            <w:vAlign w:val="bottom"/>
            <w:gridSpan w:val="2"/>
            <w:shd w:val="clear" w:color="auto" w:fill="CCEEFF"/>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2"/>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Depreciation and amortization</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58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60" w:type="dxa"/>
            <w:vAlign w:val="bottom"/>
            <w:gridSpan w:val="2"/>
            <w:shd w:val="clear" w:color="auto" w:fill="CCEEFF"/>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Ongoing additions to plant-in-service</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60" w:type="dxa"/>
            <w:vAlign w:val="bottom"/>
            <w:gridSpan w:val="2"/>
            <w:shd w:val="clear" w:color="auto" w:fill="CCEEFF"/>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5"/>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fees and other taxes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60" w:type="dxa"/>
            <w:vAlign w:val="bottom"/>
            <w:gridSpan w:val="2"/>
            <w:shd w:val="clear" w:color="auto" w:fill="CCEEFF"/>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Incremental capital projects placed in service, net of updated property tax rates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60" w:type="dxa"/>
            <w:vAlign w:val="bottom"/>
            <w:gridSpan w:val="2"/>
            <w:shd w:val="clear" w:color="auto" w:fill="CCEEFF"/>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6"/>
        </w:trPr>
        <w:tc>
          <w:tcPr>
            <w:tcW w:w="754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158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136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outstanding debt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60" w:type="dxa"/>
            <w:vAlign w:val="bottom"/>
            <w:gridSpan w:val="2"/>
            <w:shd w:val="clear" w:color="auto" w:fill="CCEEFF"/>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primarily AFUDC and impacts of regulatory deferrals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(12)</w:t>
            </w:r>
          </w:p>
        </w:tc>
        <w:tc>
          <w:tcPr>
            <w:tcW w:w="1460" w:type="dxa"/>
            <w:vAlign w:val="bottom"/>
            <w:gridSpan w:val="2"/>
          </w:tcPr>
          <w:p>
            <w:pPr>
              <w:jc w:val="right"/>
              <w:ind w:right="118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2"/>
        </w:trPr>
        <w:tc>
          <w:tcPr>
            <w:tcW w:w="754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Other income, net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Other income, including AFUDC -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118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8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For a discussion of effective tax rate per period by Registrant,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(CenterPoint Energy)</w:t>
      </w:r>
    </w:p>
    <w:p>
      <w:pPr>
        <w:spacing w:after="0" w:line="251"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For information regarding factors that may affect the future results of operations of CenterPoint Energy’s Natural Gas reportable segment, please read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CenterPoint Energy’s Natural Gas reportable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40" w:type="dxa"/>
            <w:vAlign w:val="bottom"/>
            <w:gridSpan w:val="7"/>
          </w:tcPr>
          <w:p>
            <w:pPr>
              <w:jc w:val="right"/>
              <w:ind w:right="929"/>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right"/>
              <w:ind w:right="269"/>
              <w:spacing w:after="0" w:line="126" w:lineRule="exact"/>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ind w:right="249"/>
              <w:spacing w:after="0" w:line="126"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9"/>
              </w:rPr>
              <w:t>(Unfavorable)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(in millions, except operating statistics)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764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818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2,539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2,642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9"/>
        </w:trPr>
        <w:tc>
          <w:tcPr>
            <w:tcW w:w="344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1,279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0"/>
        </w:trPr>
        <w:tc>
          <w:tcPr>
            <w:tcW w:w="3440" w:type="dxa"/>
            <w:vAlign w:val="bottom"/>
          </w:tcPr>
          <w:p>
            <w:pPr>
              <w:ind w:left="140"/>
              <w:spacing w:after="0"/>
              <w:rPr>
                <w:sz w:val="20"/>
                <w:szCs w:val="20"/>
                <w:color w:val="auto"/>
              </w:rPr>
            </w:pPr>
            <w:r>
              <w:rPr>
                <w:rFonts w:ascii="Arial" w:cs="Arial" w:eastAsia="Arial" w:hAnsi="Arial"/>
                <w:sz w:val="14"/>
                <w:szCs w:val="14"/>
                <w:color w:val="auto"/>
              </w:rPr>
              <w:t>Non-utility cost of revenues, including natural gas</w:t>
            </w:r>
          </w:p>
        </w:tc>
        <w:tc>
          <w:tcPr>
            <w:tcW w:w="26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5"/>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0"/>
        </w:trPr>
        <w:tc>
          <w:tcPr>
            <w:tcW w:w="34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3440" w:type="dxa"/>
            <w:vAlign w:val="bottom"/>
          </w:tcPr>
          <w:p>
            <w:pPr>
              <w:ind w:left="34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2,109</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2,238</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430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404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sale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90"/>
        </w:trPr>
        <w:tc>
          <w:tcPr>
            <w:tcW w:w="344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6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3"/>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634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3"/>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208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9"/>
        </w:trPr>
        <w:tc>
          <w:tcPr>
            <w:tcW w:w="34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35</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28</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7</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269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426</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Throughput (in Bcf):</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4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344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w w:val="93"/>
              </w:rPr>
              <w:t>Weather (percentage of 10-year average for service area):</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4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3,965,118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3,919,079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3,965,118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3,919,079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299,213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295,487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299,213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295,487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8"/>
        </w:trPr>
        <w:tc>
          <w:tcPr>
            <w:tcW w:w="344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4,264,331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4,214,566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4,264,331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4,214,566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following table provides variance explanations for the three months ended June 30, 2023 compared to the three months ended June 30, 2022 as well as for the six months ended June 30, 2023 compared to the six months ended June 30, 2022 by major income statement caption for the Natural Gas reportable segment: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3"/>
          </w:tcPr>
          <w:p>
            <w:pPr>
              <w:jc w:val="right"/>
              <w:ind w:right="544"/>
              <w:spacing w:after="0"/>
              <w:rPr>
                <w:sz w:val="20"/>
                <w:szCs w:val="20"/>
                <w:color w:val="auto"/>
              </w:rPr>
            </w:pPr>
            <w:r>
              <w:rPr>
                <w:rFonts w:ascii="Arial" w:cs="Arial" w:eastAsia="Arial" w:hAnsi="Arial"/>
                <w:sz w:val="14"/>
                <w:szCs w:val="14"/>
                <w:b w:val="1"/>
                <w:bCs w:val="1"/>
                <w:color w:val="auto"/>
              </w:rPr>
              <w:t>Favorable (Unfavorable)</w:t>
            </w:r>
          </w:p>
        </w:tc>
        <w:tc>
          <w:tcPr>
            <w:tcW w:w="44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26"/>
        </w:trPr>
        <w:tc>
          <w:tcPr>
            <w:tcW w:w="7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jc w:val="right"/>
              <w:ind w:right="141"/>
              <w:spacing w:after="0" w:line="126" w:lineRule="exact"/>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0"/>
                <w:szCs w:val="10"/>
                <w:color w:val="auto"/>
              </w:rPr>
            </w:pPr>
          </w:p>
        </w:tc>
        <w:tc>
          <w:tcPr>
            <w:tcW w:w="17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2"/>
              </w:rPr>
              <w:t>Six Months Ended June 30,</w:t>
            </w:r>
          </w:p>
        </w:tc>
      </w:tr>
      <w:tr>
        <w:trPr>
          <w:trHeight w:val="192"/>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2"/>
              </w:rPr>
              <w:t>June 30, 2023 vs 2022</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 vs 2022</w:t>
            </w:r>
          </w:p>
        </w:tc>
        <w:tc>
          <w:tcPr>
            <w:tcW w:w="440" w:type="dxa"/>
            <w:vAlign w:val="bottom"/>
            <w:tcBorders>
              <w:bottom w:val="single" w:sz="8" w:color="auto"/>
            </w:tcBorders>
          </w:tcPr>
          <w:p>
            <w:pPr>
              <w:spacing w:after="0"/>
              <w:rPr>
                <w:sz w:val="16"/>
                <w:szCs w:val="16"/>
                <w:color w:val="auto"/>
              </w:rPr>
            </w:pPr>
          </w:p>
        </w:tc>
      </w:tr>
      <w:tr>
        <w:trPr>
          <w:trHeight w:val="184"/>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3"/>
          </w:tcPr>
          <w:p>
            <w:pPr>
              <w:jc w:val="right"/>
              <w:ind w:right="924"/>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r>
      <w:tr>
        <w:trPr>
          <w:trHeight w:val="195"/>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Weather and usage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natural gas, offset in utility natural gas, fuel and purchased power below</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Gross receipts tax, offset in taxes other than income taxes below</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offset in operation and maintenance below</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Non-volumetric and miscellaneous revenue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non-utility revenues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Pass-through revenues, offset in operation and maintenance below</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Customer rates and impact of the change in rate design</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06"/>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178"/>
        </w:trPr>
        <w:tc>
          <w:tcPr>
            <w:tcW w:w="754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Utility natural gas, fuel and purchased power</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natural gas, offset in revenues above</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08"/>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172"/>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Non-utility costs of revenues, including natural gas</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primarily non-utility cost of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1420" w:type="dxa"/>
            <w:vAlign w:val="bottom"/>
            <w:gridSpan w:val="2"/>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68"/>
        </w:trPr>
        <w:tc>
          <w:tcPr>
            <w:tcW w:w="754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Operation and maintenance</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5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04"/>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Corporate support services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c>
          <w:tcPr>
            <w:tcW w:w="1420" w:type="dxa"/>
            <w:vAlign w:val="bottom"/>
            <w:gridSpan w:val="2"/>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 above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Miscellaneous operations and maintenance expense, including bad debt expense</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Pass-through expense, offset in revenues above</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6"/>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78"/>
        </w:trPr>
        <w:tc>
          <w:tcPr>
            <w:tcW w:w="754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Depreciation and amortization</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172"/>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revenues above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Other, primarily property taxes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c>
          <w:tcPr>
            <w:tcW w:w="1420" w:type="dxa"/>
            <w:vAlign w:val="bottom"/>
            <w:gridSpan w:val="2"/>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2"/>
        </w:trPr>
        <w:tc>
          <w:tcPr>
            <w:tcW w:w="754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Gain on sale</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r>
      <w:tr>
        <w:trPr>
          <w:trHeight w:val="192"/>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Net gain on sale of Arkansas and Oklahoma Natural Gas businesses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1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r>
      <w:tr>
        <w:trPr>
          <w:trHeight w:val="206"/>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178"/>
        </w:trPr>
        <w:tc>
          <w:tcPr>
            <w:tcW w:w="754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outstanding debt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2"/>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Other, primarily AFUDC and impacts of regulatory deferrals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172"/>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Other income (expense), net</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AFUDC - Equity, primarily from increased capital spend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Decrease to non-service benefit cost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1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For a discussion of effective tax rate per period by Registrant, see Note 12 to the Interim Condensed Financial Statements.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33" w:lineRule="exact"/>
        <w:rPr>
          <w:sz w:val="20"/>
          <w:szCs w:val="20"/>
          <w:color w:val="auto"/>
        </w:rPr>
      </w:pPr>
    </w:p>
    <w:p>
      <w:pPr>
        <w:jc w:val="both"/>
        <w:ind w:firstLine="319"/>
        <w:spacing w:after="0" w:line="307" w:lineRule="auto"/>
        <w:rPr>
          <w:sz w:val="20"/>
          <w:szCs w:val="20"/>
          <w:color w:val="auto"/>
        </w:rPr>
      </w:pPr>
      <w:r>
        <w:rPr>
          <w:rFonts w:ascii="Arial" w:cs="Arial" w:eastAsia="Arial" w:hAnsi="Arial"/>
          <w:sz w:val="15"/>
          <w:szCs w:val="15"/>
          <w:color w:val="auto"/>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60" w:type="dxa"/>
            <w:vAlign w:val="bottom"/>
            <w:gridSpan w:val="7"/>
          </w:tcPr>
          <w:p>
            <w:pPr>
              <w:jc w:val="right"/>
              <w:ind w:right="989"/>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right"/>
              <w:ind w:right="269"/>
              <w:spacing w:after="0" w:line="126" w:lineRule="exact"/>
              <w:rPr>
                <w:sz w:val="20"/>
                <w:szCs w:val="20"/>
                <w:color w:val="auto"/>
              </w:rPr>
            </w:pPr>
            <w:r>
              <w:rPr>
                <w:rFonts w:ascii="Arial" w:cs="Arial" w:eastAsia="Arial" w:hAnsi="Arial"/>
                <w:sz w:val="14"/>
                <w:szCs w:val="14"/>
                <w:b w:val="1"/>
                <w:bCs w:val="1"/>
                <w:color w:val="auto"/>
              </w:rPr>
              <w:t>Favorable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ind w:right="269"/>
              <w:spacing w:after="0" w:line="126"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(Unfavorable)</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0"/>
              </w:rPr>
              <w:t>(in millions, except operating statistics)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TDU</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868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1,628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1,515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Bond Companies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909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881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1,701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1,627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320" w:type="dxa"/>
            <w:vAlign w:val="bottom"/>
            <w:shd w:val="clear" w:color="auto" w:fill="CCEEFF"/>
          </w:tcPr>
          <w:p>
            <w:pPr>
              <w:ind w:left="180"/>
              <w:spacing w:after="0" w:line="144" w:lineRule="exact"/>
              <w:rPr>
                <w:sz w:val="20"/>
                <w:szCs w:val="20"/>
                <w:color w:val="auto"/>
              </w:rPr>
            </w:pPr>
            <w:r>
              <w:rPr>
                <w:rFonts w:ascii="Arial" w:cs="Arial" w:eastAsia="Arial" w:hAnsi="Arial"/>
                <w:sz w:val="14"/>
                <w:szCs w:val="14"/>
                <w:color w:val="auto"/>
              </w:rPr>
              <w:t>Operation and maintenance, excluding Bond</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Companies</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779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797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3"/>
        </w:trPr>
        <w:tc>
          <w:tcPr>
            <w:tcW w:w="3320" w:type="dxa"/>
            <w:vAlign w:val="bottom"/>
          </w:tcPr>
          <w:p>
            <w:pPr>
              <w:ind w:left="180"/>
              <w:spacing w:after="0" w:line="133" w:lineRule="exact"/>
              <w:rPr>
                <w:sz w:val="20"/>
                <w:szCs w:val="20"/>
                <w:color w:val="auto"/>
              </w:rPr>
            </w:pPr>
            <w:r>
              <w:rPr>
                <w:rFonts w:ascii="Arial" w:cs="Arial" w:eastAsia="Arial" w:hAnsi="Arial"/>
                <w:sz w:val="14"/>
                <w:szCs w:val="14"/>
                <w:color w:val="auto"/>
              </w:rPr>
              <w:t>Depreciation and amortization, excluding Bond</w:t>
            </w:r>
          </w:p>
        </w:tc>
        <w:tc>
          <w:tcPr>
            <w:tcW w:w="260" w:type="dxa"/>
            <w:vAlign w:val="bottom"/>
          </w:tcPr>
          <w:p>
            <w:pPr>
              <w:spacing w:after="0"/>
              <w:rPr>
                <w:sz w:val="11"/>
                <w:szCs w:val="11"/>
                <w:color w:val="auto"/>
              </w:rPr>
            </w:pPr>
          </w:p>
        </w:tc>
        <w:tc>
          <w:tcPr>
            <w:tcW w:w="960" w:type="dxa"/>
            <w:vAlign w:val="bottom"/>
            <w:vMerge w:val="restart"/>
          </w:tcPr>
          <w:p>
            <w:pPr>
              <w:jc w:val="right"/>
              <w:ind w:right="109"/>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109"/>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109"/>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69"/>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0"/>
        </w:trPr>
        <w:tc>
          <w:tcPr>
            <w:tcW w:w="3320" w:type="dxa"/>
            <w:vAlign w:val="bottom"/>
          </w:tcPr>
          <w:p>
            <w:pPr>
              <w:ind w:left="340"/>
              <w:spacing w:after="0"/>
              <w:rPr>
                <w:sz w:val="20"/>
                <w:szCs w:val="20"/>
                <w:color w:val="auto"/>
              </w:rPr>
            </w:pPr>
            <w:r>
              <w:rPr>
                <w:rFonts w:ascii="Arial" w:cs="Arial" w:eastAsia="Arial" w:hAnsi="Arial"/>
                <w:sz w:val="14"/>
                <w:szCs w:val="14"/>
                <w:color w:val="auto"/>
              </w:rPr>
              <w:t>Companies</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320" w:type="dxa"/>
            <w:vAlign w:val="bottom"/>
          </w:tcPr>
          <w:p>
            <w:pPr>
              <w:ind w:left="140"/>
              <w:spacing w:after="0"/>
              <w:rPr>
                <w:sz w:val="20"/>
                <w:szCs w:val="20"/>
                <w:color w:val="auto"/>
              </w:rPr>
            </w:pPr>
            <w:r>
              <w:rPr>
                <w:rFonts w:ascii="Arial" w:cs="Arial" w:eastAsia="Arial" w:hAnsi="Arial"/>
                <w:sz w:val="14"/>
                <w:szCs w:val="14"/>
                <w:color w:val="auto"/>
              </w:rPr>
              <w:t>Bond Companies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0"/>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654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645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1,257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1,265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444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362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6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on Securitization Bonds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4"/>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net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4"/>
        </w:trPr>
        <w:tc>
          <w:tcPr>
            <w:tcW w:w="332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8"/>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208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Throughput (in GWh):</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3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0"/>
        </w:trPr>
        <w:tc>
          <w:tcPr>
            <w:tcW w:w="3320" w:type="dxa"/>
            <w:vAlign w:val="bottom"/>
          </w:tcPr>
          <w:p>
            <w:pPr>
              <w:ind w:left="34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47,438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49,638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Weather (percentage of 10-year average for service area):</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340"/>
              <w:spacing w:after="0"/>
              <w:rPr>
                <w:sz w:val="20"/>
                <w:szCs w:val="20"/>
                <w:color w:val="auto"/>
              </w:rPr>
            </w:pPr>
            <w:r>
              <w:rPr>
                <w:rFonts w:ascii="Arial" w:cs="Arial" w:eastAsia="Arial" w:hAnsi="Arial"/>
                <w:sz w:val="14"/>
                <w:szCs w:val="14"/>
                <w:color w:val="auto"/>
              </w:rPr>
              <w:t>Cooling degree days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Heating degree days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2,428,904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2,382,145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2,428,904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2,382,145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0"/>
        </w:trPr>
        <w:tc>
          <w:tcPr>
            <w:tcW w:w="3320" w:type="dxa"/>
            <w:vAlign w:val="bottom"/>
          </w:tcPr>
          <w:p>
            <w:pPr>
              <w:ind w:left="34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2,735,799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2,686,295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2,735,799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2,686,295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ind w:firstLine="319"/>
        <w:spacing w:after="0" w:line="366" w:lineRule="auto"/>
        <w:rPr>
          <w:sz w:val="20"/>
          <w:szCs w:val="20"/>
          <w:color w:val="auto"/>
        </w:rPr>
      </w:pPr>
      <w:r>
        <w:rPr>
          <w:rFonts w:ascii="Arial" w:cs="Arial" w:eastAsia="Arial" w:hAnsi="Arial"/>
          <w:sz w:val="15"/>
          <w:szCs w:val="15"/>
          <w:color w:val="auto"/>
        </w:rPr>
        <w:t>The following table provides variance explanations for the three months ended June 30, 2023 compared to the three months ended June 30, 2022 as well as for the six months ended June 30, 2023 compared to the six months ended June 30, 2022 by major income statement caption for Houston Electric: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Favorable (Unfavorable)</w:t>
            </w:r>
          </w:p>
        </w:tc>
        <w:tc>
          <w:tcPr>
            <w:tcW w:w="40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26"/>
        </w:trPr>
        <w:tc>
          <w:tcPr>
            <w:tcW w:w="7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jc w:val="right"/>
              <w:ind w:right="161"/>
              <w:spacing w:after="0" w:line="126" w:lineRule="exact"/>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0"/>
                <w:szCs w:val="10"/>
                <w:color w:val="auto"/>
              </w:rPr>
            </w:pPr>
          </w:p>
        </w:tc>
        <w:tc>
          <w:tcPr>
            <w:tcW w:w="17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2"/>
              </w:rPr>
              <w:t>Six Months Ended June 30,</w:t>
            </w:r>
          </w:p>
        </w:tc>
      </w:tr>
      <w:tr>
        <w:trPr>
          <w:trHeight w:val="192"/>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June 30, 2023 vs 2022</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2023 vs 2022</w:t>
            </w:r>
          </w:p>
        </w:tc>
        <w:tc>
          <w:tcPr>
            <w:tcW w:w="400" w:type="dxa"/>
            <w:vAlign w:val="bottom"/>
            <w:tcBorders>
              <w:bottom w:val="single" w:sz="8" w:color="auto"/>
            </w:tcBorders>
          </w:tcPr>
          <w:p>
            <w:pPr>
              <w:spacing w:after="0"/>
              <w:rPr>
                <w:sz w:val="16"/>
                <w:szCs w:val="16"/>
                <w:color w:val="auto"/>
              </w:rPr>
            </w:pPr>
          </w:p>
        </w:tc>
      </w:tr>
      <w:tr>
        <w:trPr>
          <w:trHeight w:val="184"/>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3"/>
          </w:tcPr>
          <w:p>
            <w:pPr>
              <w:jc w:val="right"/>
              <w:ind w:right="963"/>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r>
      <w:tr>
        <w:trPr>
          <w:trHeight w:val="195"/>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Transmission Revenues, including TCOS and TCRF, inclusive of costs billed by transmission providers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60" w:type="dxa"/>
            <w:vAlign w:val="bottom"/>
            <w:gridSpan w:val="2"/>
            <w:shd w:val="clear" w:color="auto" w:fill="CCEEFF"/>
          </w:tcPr>
          <w:p>
            <w:pPr>
              <w:jc w:val="right"/>
              <w:ind w:right="118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Customer rates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growth</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w w:val="92"/>
              </w:rPr>
              <w:t>Equity return, related to the annual true-up of transition charges for amounts over or under collected in prior periods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Weather impacts and other usage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operations and maintenance below</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offset in other line items below</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3"/>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28</w:t>
            </w:r>
          </w:p>
        </w:tc>
        <w:tc>
          <w:tcPr>
            <w:tcW w:w="1460" w:type="dxa"/>
            <w:vAlign w:val="bottom"/>
            <w:gridSpan w:val="2"/>
          </w:tcPr>
          <w:p>
            <w:pPr>
              <w:jc w:val="right"/>
              <w:ind w:right="118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182"/>
        </w:trPr>
        <w:tc>
          <w:tcPr>
            <w:tcW w:w="754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Operation and maintenance, excluding Bond Companies</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All other operation and maintenance expense, including materials and supplies and insurance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w:t>
            </w:r>
          </w:p>
        </w:tc>
        <w:tc>
          <w:tcPr>
            <w:tcW w:w="1460" w:type="dxa"/>
            <w:vAlign w:val="bottom"/>
            <w:gridSpan w:val="2"/>
          </w:tcPr>
          <w:p>
            <w:pPr>
              <w:jc w:val="right"/>
              <w:ind w:right="118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Support services, primarily information technology cost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 above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 above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1460" w:type="dxa"/>
            <w:vAlign w:val="bottom"/>
            <w:gridSpan w:val="2"/>
          </w:tcPr>
          <w:p>
            <w:pPr>
              <w:jc w:val="right"/>
              <w:ind w:right="118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75"/>
        </w:trPr>
        <w:tc>
          <w:tcPr>
            <w:tcW w:w="754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Depreciation and amortization, excluding Bond Companies</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Ongoing additions to plant-in-service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8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08"/>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60" w:type="dxa"/>
            <w:vAlign w:val="bottom"/>
            <w:gridSpan w:val="2"/>
            <w:shd w:val="clear" w:color="auto" w:fill="CCEEFF"/>
          </w:tcPr>
          <w:p>
            <w:pPr>
              <w:jc w:val="right"/>
              <w:ind w:right="118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172"/>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6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CCEEFF"/>
            </w:tcBorders>
          </w:tcPr>
          <w:p>
            <w:pPr>
              <w:spacing w:after="0"/>
              <w:rPr>
                <w:sz w:val="15"/>
                <w:szCs w:val="15"/>
                <w:color w:val="auto"/>
              </w:rPr>
            </w:pPr>
          </w:p>
        </w:tc>
      </w:tr>
      <w:tr>
        <w:trPr>
          <w:trHeight w:val="199"/>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Franchise fees and other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8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1460" w:type="dxa"/>
            <w:vAlign w:val="bottom"/>
            <w:gridSpan w:val="2"/>
          </w:tcPr>
          <w:p>
            <w:pPr>
              <w:jc w:val="right"/>
              <w:ind w:right="118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8"/>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Bond Companies expense</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04"/>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Operations and maintenance and depreciation expense, offset in revenues above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08"/>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60" w:type="dxa"/>
            <w:vAlign w:val="bottom"/>
            <w:gridSpan w:val="2"/>
            <w:shd w:val="clear" w:color="auto" w:fill="CCEEFF"/>
          </w:tcPr>
          <w:p>
            <w:pPr>
              <w:jc w:val="right"/>
              <w:ind w:right="118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172"/>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outstanding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60" w:type="dxa"/>
            <w:vAlign w:val="bottom"/>
            <w:gridSpan w:val="2"/>
            <w:shd w:val="clear" w:color="auto" w:fill="CCEEFF"/>
          </w:tcPr>
          <w:p>
            <w:pPr>
              <w:jc w:val="right"/>
              <w:ind w:right="118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Other, primarily AFUDC, impacts of regulatory deferrals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60" w:type="dxa"/>
            <w:vAlign w:val="bottom"/>
            <w:gridSpan w:val="2"/>
            <w:shd w:val="clear" w:color="auto" w:fill="CCEEFF"/>
          </w:tcPr>
          <w:p>
            <w:pPr>
              <w:jc w:val="right"/>
              <w:ind w:right="118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172"/>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 expense on Securitization Bonds</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6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CCEEFF"/>
            </w:tcBorders>
          </w:tcPr>
          <w:p>
            <w:pPr>
              <w:spacing w:after="0"/>
              <w:rPr>
                <w:sz w:val="15"/>
                <w:szCs w:val="15"/>
                <w:color w:val="auto"/>
              </w:rPr>
            </w:pPr>
          </w:p>
        </w:tc>
      </w:tr>
      <w:tr>
        <w:trPr>
          <w:trHeight w:val="199"/>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Lower outstanding principal balance, offset in revenues above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8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6"/>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460" w:type="dxa"/>
            <w:vAlign w:val="bottom"/>
            <w:gridSpan w:val="2"/>
          </w:tcPr>
          <w:p>
            <w:pPr>
              <w:jc w:val="right"/>
              <w:ind w:right="118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78"/>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Other income, net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04"/>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income, including AFUDC -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6"/>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8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37" w:lineRule="exact"/>
        <w:rPr>
          <w:sz w:val="20"/>
          <w:szCs w:val="20"/>
          <w:color w:val="auto"/>
        </w:rPr>
      </w:pPr>
    </w:p>
    <w:p>
      <w:pPr>
        <w:jc w:val="both"/>
        <w:ind w:firstLine="319"/>
        <w:spacing w:after="0" w:line="247" w:lineRule="auto"/>
        <w:rPr>
          <w:sz w:val="20"/>
          <w:szCs w:val="20"/>
          <w:color w:val="auto"/>
        </w:rPr>
      </w:pPr>
      <w:r>
        <w:rPr>
          <w:rFonts w:ascii="Arial" w:cs="Arial" w:eastAsia="Arial" w:hAnsi="Arial"/>
          <w:sz w:val="17"/>
          <w:szCs w:val="17"/>
          <w:color w:val="auto"/>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As a result of the Restructuring further discussed in Note 1 to the Interim Condensed Financial Statements, prior year amounts have been recast. For more information regarding factors that may affect the future results of operations for CERC’s business, please read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7"/>
          </w:tcPr>
          <w:p>
            <w:pPr>
              <w:jc w:val="right"/>
              <w:ind w:right="869"/>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249"/>
              <w:spacing w:after="0" w:line="130" w:lineRule="exact"/>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249"/>
              <w:spacing w:after="0" w:line="130"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7"/>
              </w:rPr>
              <w:t>(Unfavorable)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(in millions, except operating statistics)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(51)</w:t>
            </w:r>
          </w:p>
        </w:tc>
        <w:tc>
          <w:tcPr>
            <w:tcW w:w="3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2,560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0"/>
        </w:trPr>
        <w:tc>
          <w:tcPr>
            <w:tcW w:w="3540" w:type="dxa"/>
            <w:vAlign w:val="bottom"/>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1,258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0"/>
        </w:trPr>
        <w:tc>
          <w:tcPr>
            <w:tcW w:w="3540" w:type="dxa"/>
            <w:vAlign w:val="bottom"/>
          </w:tcPr>
          <w:p>
            <w:pPr>
              <w:ind w:left="140"/>
              <w:spacing w:after="0"/>
              <w:rPr>
                <w:sz w:val="20"/>
                <w:szCs w:val="20"/>
                <w:color w:val="auto"/>
              </w:rPr>
            </w:pPr>
            <w:r>
              <w:rPr>
                <w:rFonts w:ascii="Arial" w:cs="Arial" w:eastAsia="Arial" w:hAnsi="Arial"/>
                <w:sz w:val="14"/>
                <w:szCs w:val="14"/>
                <w:color w:val="auto"/>
              </w:rPr>
              <w:t>Non-utility cost of revenues, including natural gas</w:t>
            </w:r>
          </w:p>
        </w:tc>
        <w:tc>
          <w:tcPr>
            <w:tcW w:w="260" w:type="dxa"/>
            <w:vAlign w:val="bottom"/>
          </w:tcPr>
          <w:p>
            <w:pPr>
              <w:spacing w:after="0"/>
              <w:rPr>
                <w:sz w:val="16"/>
                <w:szCs w:val="16"/>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35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7"/>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652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727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2,056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2,181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406</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379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sale</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90"/>
        </w:trPr>
        <w:tc>
          <w:tcPr>
            <w:tcW w:w="354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6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866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203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27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16</w:t>
            </w:r>
          </w:p>
        </w:tc>
        <w:tc>
          <w:tcPr>
            <w:tcW w:w="36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663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Throughput (in Bcf):</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4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8"/>
        </w:trPr>
        <w:tc>
          <w:tcPr>
            <w:tcW w:w="354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w w:val="96"/>
              </w:rPr>
              <w:t>Weather (percentage of 10-year average for service area):</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54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3,861,596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3,815,625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3,861,596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3,815,625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288,662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284,914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288,662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284,914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8"/>
        </w:trPr>
        <w:tc>
          <w:tcPr>
            <w:tcW w:w="354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4,150,258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4,100,539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4,150,258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4,100,539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firstLine="319"/>
        <w:spacing w:after="0" w:line="316" w:lineRule="auto"/>
        <w:rPr>
          <w:sz w:val="20"/>
          <w:szCs w:val="20"/>
          <w:color w:val="auto"/>
        </w:rPr>
      </w:pPr>
      <w:r>
        <w:rPr>
          <w:rFonts w:ascii="Arial" w:cs="Arial" w:eastAsia="Arial" w:hAnsi="Arial"/>
          <w:sz w:val="15"/>
          <w:szCs w:val="15"/>
          <w:color w:val="auto"/>
        </w:rPr>
        <w:t>The following table provides variance explanations for the three months ended June 30, 2023 compared to the three months ended June 30, 2022 as well as for the six months ended June 30, 2023 compared to the six months ended June 30, 2022 by major income statement caption for CERC:</w:t>
      </w: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3"/>
          </w:tcPr>
          <w:p>
            <w:pPr>
              <w:jc w:val="right"/>
              <w:ind w:right="544"/>
              <w:spacing w:after="0"/>
              <w:rPr>
                <w:sz w:val="20"/>
                <w:szCs w:val="20"/>
                <w:color w:val="auto"/>
              </w:rPr>
            </w:pPr>
            <w:r>
              <w:rPr>
                <w:rFonts w:ascii="Arial" w:cs="Arial" w:eastAsia="Arial" w:hAnsi="Arial"/>
                <w:sz w:val="14"/>
                <w:szCs w:val="14"/>
                <w:b w:val="1"/>
                <w:bCs w:val="1"/>
                <w:color w:val="auto"/>
              </w:rPr>
              <w:t>Favorable (Unfavorable)</w:t>
            </w:r>
          </w:p>
        </w:tc>
        <w:tc>
          <w:tcPr>
            <w:tcW w:w="44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26"/>
        </w:trPr>
        <w:tc>
          <w:tcPr>
            <w:tcW w:w="7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jc w:val="right"/>
              <w:ind w:right="141"/>
              <w:spacing w:after="0" w:line="126" w:lineRule="exact"/>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0"/>
                <w:szCs w:val="10"/>
                <w:color w:val="auto"/>
              </w:rPr>
            </w:pPr>
          </w:p>
        </w:tc>
        <w:tc>
          <w:tcPr>
            <w:tcW w:w="17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2"/>
              </w:rPr>
              <w:t>Six Months Ended June 30,</w:t>
            </w:r>
          </w:p>
        </w:tc>
      </w:tr>
      <w:tr>
        <w:trPr>
          <w:trHeight w:val="192"/>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2"/>
              </w:rPr>
              <w:t>June 30, 2023 vs 2022</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 vs 2022</w:t>
            </w:r>
          </w:p>
        </w:tc>
        <w:tc>
          <w:tcPr>
            <w:tcW w:w="440" w:type="dxa"/>
            <w:vAlign w:val="bottom"/>
            <w:tcBorders>
              <w:bottom w:val="single" w:sz="8" w:color="auto"/>
            </w:tcBorders>
          </w:tcPr>
          <w:p>
            <w:pPr>
              <w:spacing w:after="0"/>
              <w:rPr>
                <w:sz w:val="16"/>
                <w:szCs w:val="16"/>
                <w:color w:val="auto"/>
              </w:rPr>
            </w:pPr>
          </w:p>
        </w:tc>
      </w:tr>
      <w:tr>
        <w:trPr>
          <w:trHeight w:val="184"/>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3"/>
          </w:tcPr>
          <w:p>
            <w:pPr>
              <w:jc w:val="right"/>
              <w:ind w:right="924"/>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r>
      <w:tr>
        <w:trPr>
          <w:trHeight w:val="195"/>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Weather and usage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natural gas, offset in utility natural gas, fuel and purchased power below</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Gross receipts tax, offset in taxes other than income taxes below</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offset in operation and maintenance below</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Non-volumetric and miscellaneous revenue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non-utility revenues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Pass-through revenues, offset in operation and maintenance below</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growth</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Customer rates and impact of the change in rate design</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06"/>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178"/>
        </w:trPr>
        <w:tc>
          <w:tcPr>
            <w:tcW w:w="754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Utility natural gas, fuel and purchased power</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natural gas, offset in revenues above</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08"/>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172"/>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Non-utility costs of revenues, including natural gas</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primarily non-utility cost of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1420" w:type="dxa"/>
            <w:vAlign w:val="bottom"/>
            <w:gridSpan w:val="2"/>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2"/>
        </w:trPr>
        <w:tc>
          <w:tcPr>
            <w:tcW w:w="754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Operation and maintenance</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Corporate support services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c>
          <w:tcPr>
            <w:tcW w:w="1420" w:type="dxa"/>
            <w:vAlign w:val="bottom"/>
            <w:gridSpan w:val="2"/>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 above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Miscellaneous operations and maintenance expense, including bad debt expense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Pass-through expense, offset in revenues above</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178"/>
        </w:trPr>
        <w:tc>
          <w:tcPr>
            <w:tcW w:w="754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Depreciation and amortization</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172"/>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revenues above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2"/>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20" w:type="dxa"/>
            <w:vAlign w:val="bottom"/>
            <w:gridSpan w:val="2"/>
            <w:shd w:val="clear" w:color="auto" w:fill="CCEEFF"/>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178"/>
        </w:trPr>
        <w:tc>
          <w:tcPr>
            <w:tcW w:w="754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Gain on sale</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gain on sale of Arkansas and Oklahoma Natural Gas businesses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03"/>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182"/>
        </w:trPr>
        <w:tc>
          <w:tcPr>
            <w:tcW w:w="754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Changes in outstanding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w:t>
            </w:r>
          </w:p>
        </w:tc>
        <w:tc>
          <w:tcPr>
            <w:tcW w:w="1420" w:type="dxa"/>
            <w:vAlign w:val="bottom"/>
            <w:gridSpan w:val="2"/>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primarily AFUDC and impacts of regulatory deferrals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192"/>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(15)</w:t>
            </w:r>
          </w:p>
        </w:tc>
        <w:tc>
          <w:tcPr>
            <w:tcW w:w="1420" w:type="dxa"/>
            <w:vAlign w:val="bottom"/>
            <w:gridSpan w:val="2"/>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Other income (expense), net</w:t>
            </w: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AFUDC - Equity, primarily from increased capital spend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c>
          <w:tcPr>
            <w:tcW w:w="1420" w:type="dxa"/>
            <w:vAlign w:val="bottom"/>
            <w:gridSpan w:val="2"/>
          </w:tcPr>
          <w:p>
            <w:pPr>
              <w:jc w:val="right"/>
              <w:ind w:right="114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Decrease to non-service benefit cost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6"/>
        </w:trPr>
        <w:tc>
          <w:tcPr>
            <w:tcW w:w="7620" w:type="dxa"/>
            <w:vAlign w:val="bottom"/>
            <w:tcBorders>
              <w:bottom w:val="single" w:sz="8" w:color="CCEEFF"/>
            </w:tcBorders>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51"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2022 Form 10-K, and “Cautionary Statement Regarding Forward-Looking Information” in this combined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a result of the Restructuring further discussed in Note 1 to the Interim Condensed Financial Statements, prior year amounts for CERC have been recast. The following table summarizes the net cash provided by (used in) operating, investing and financing activities during the six months ended June 30, 2023 and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180"/>
              <w:spacing w:after="0"/>
              <w:rPr>
                <w:sz w:val="20"/>
                <w:szCs w:val="20"/>
                <w:color w:val="auto"/>
              </w:rPr>
            </w:pPr>
            <w:r>
              <w:rPr>
                <w:rFonts w:ascii="Arial" w:cs="Arial" w:eastAsia="Arial" w:hAnsi="Arial"/>
                <w:sz w:val="14"/>
                <w:szCs w:val="14"/>
                <w:b w:val="1"/>
                <w:bCs w:val="1"/>
                <w:color w:val="auto"/>
                <w:w w:val="90"/>
              </w:rPr>
              <w:t>Six Months Ended June 30,</w:t>
            </w: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1"/>
        </w:trPr>
        <w:tc>
          <w:tcPr>
            <w:tcW w:w="28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2"/>
        </w:trPr>
        <w:tc>
          <w:tcPr>
            <w:tcW w:w="284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4"/>
              </w:rPr>
              <w:t>CenterPoint Energy</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Houston Electric</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CERC</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4"/>
              </w:rPr>
              <w:t>CenterPoint Energy</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1"/>
              </w:rPr>
              <w:t>Houston Electric</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CERC</w:t>
            </w:r>
          </w:p>
        </w:tc>
      </w:tr>
      <w:tr>
        <w:trPr>
          <w:trHeight w:val="184"/>
        </w:trPr>
        <w:tc>
          <w:tcPr>
            <w:tcW w:w="2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3"/>
          </w:tcPr>
          <w:p>
            <w:pPr>
              <w:jc w:val="center"/>
              <w:ind w:left="180"/>
              <w:spacing w:after="0"/>
              <w:rPr>
                <w:sz w:val="20"/>
                <w:szCs w:val="20"/>
                <w:color w:val="auto"/>
              </w:rPr>
            </w:pPr>
            <w:r>
              <w:rPr>
                <w:rFonts w:ascii="Arial" w:cs="Arial" w:eastAsia="Arial" w:hAnsi="Arial"/>
                <w:sz w:val="14"/>
                <w:szCs w:val="14"/>
                <w:b w:val="1"/>
                <w:bCs w:val="1"/>
                <w:color w:val="auto"/>
                <w:w w:val="91"/>
              </w:rPr>
              <w:t>(in millions)</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284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3"/>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415</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88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25"/>
        </w:trPr>
        <w:tc>
          <w:tcPr>
            <w:tcW w:w="28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(2,154)</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(1,198)</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942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40"/>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769</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(1,597)</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1,066</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r>
    </w:tbl>
    <w:p>
      <w:pPr>
        <w:spacing w:after="0" w:line="300"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Operating Activities. </w:t>
      </w:r>
      <w:r>
        <w:rPr>
          <w:rFonts w:ascii="Arial" w:cs="Arial" w:eastAsia="Arial" w:hAnsi="Arial"/>
          <w:sz w:val="15"/>
          <w:szCs w:val="15"/>
          <w:color w:val="auto"/>
        </w:rPr>
        <w:t>The following items contributed to increased (decreased) net cash provided by operating activities for the six months ended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June 30, 2023 compared to the six months ended June 30,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CenterPoint Energy</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Houston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net income after adjusting for non-cash items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Change in net regulatory assets and liabilities </w:t>
            </w: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9"/>
        </w:trPr>
        <w:tc>
          <w:tcPr>
            <w:tcW w:w="67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640" w:hanging="315"/>
        <w:spacing w:after="0" w:line="265"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change is primarily related to the receipt of proceeds at CenterPoint Energy and CERC from the Texas securitization program. For further details, see Note 6 to the Interim Condensed Financial Statements.</w:t>
      </w:r>
    </w:p>
    <w:p>
      <w:pPr>
        <w:spacing w:after="0" w:line="201" w:lineRule="exact"/>
        <w:rPr>
          <w:sz w:val="20"/>
          <w:szCs w:val="20"/>
          <w:color w:val="auto"/>
        </w:rPr>
      </w:pPr>
    </w:p>
    <w:p>
      <w:pPr>
        <w:ind w:firstLine="319"/>
        <w:spacing w:after="0" w:line="272"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items contributed to (increased) decreased net cash used in investing activities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2023 compared to the six months ended June 30, 2022:</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1"/>
              </w:rPr>
              <w:t>CenterPoint Energy</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Houston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sale of 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7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notes receivable from affiliated companies</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Proceeds from divestitures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(3,096)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319"/>
        <w:spacing w:after="0" w:line="272"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following items contributed to (increased) decreased net cash used in financing activities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2023 compared to the six months ended June 30, 2022: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CenterPoint Energy</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Houston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commercial paper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w w:val="95"/>
              </w:rPr>
              <w:t>Net changes in long-term debt and term loans outstanding, excluding 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debt issuance costs</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changes in short-term borrowings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government grants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720" w:type="dxa"/>
            <w:vAlign w:val="bottom"/>
          </w:tcPr>
          <w:p>
            <w:pPr>
              <w:ind w:left="20"/>
              <w:spacing w:after="0"/>
              <w:rPr>
                <w:sz w:val="20"/>
                <w:szCs w:val="20"/>
                <w:color w:val="auto"/>
              </w:rPr>
            </w:pPr>
            <w:r>
              <w:rPr>
                <w:rFonts w:ascii="Arial" w:cs="Arial" w:eastAsia="Arial" w:hAnsi="Arial"/>
                <w:sz w:val="18"/>
                <w:szCs w:val="18"/>
                <w:color w:val="auto"/>
              </w:rPr>
              <w:t>Payment of obligation for finance lease</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Increased payment of common stock dividends</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change in notes payable from affiliated companies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from parent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Dividend to parent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and Common Stock and interest payments on debt, the Registrants’ principal anticipated cash requirements for the remaining six months of 2023 include the following: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02"/>
              <w:spacing w:after="0"/>
              <w:rPr>
                <w:sz w:val="20"/>
                <w:szCs w:val="20"/>
                <w:color w:val="auto"/>
              </w:rPr>
            </w:pPr>
            <w:r>
              <w:rPr>
                <w:rFonts w:ascii="Arial" w:cs="Arial" w:eastAsia="Arial" w:hAnsi="Arial"/>
                <w:sz w:val="14"/>
                <w:szCs w:val="14"/>
                <w:b w:val="1"/>
                <w:bCs w:val="1"/>
                <w:color w:val="auto"/>
                <w:w w:val="93"/>
              </w:rPr>
              <w:t>CenterPoint Energy</w:t>
            </w:r>
          </w:p>
        </w:tc>
        <w:tc>
          <w:tcPr>
            <w:tcW w:w="260" w:type="dxa"/>
            <w:vAlign w:val="bottom"/>
          </w:tcPr>
          <w:p>
            <w:pPr>
              <w:spacing w:after="0"/>
              <w:rPr>
                <w:sz w:val="16"/>
                <w:szCs w:val="16"/>
                <w:color w:val="auto"/>
              </w:rPr>
            </w:pPr>
          </w:p>
        </w:tc>
        <w:tc>
          <w:tcPr>
            <w:tcW w:w="1380" w:type="dxa"/>
            <w:vAlign w:val="bottom"/>
          </w:tcPr>
          <w:p>
            <w:pPr>
              <w:jc w:val="right"/>
              <w:ind w:right="203"/>
              <w:spacing w:after="0"/>
              <w:rPr>
                <w:sz w:val="20"/>
                <w:szCs w:val="20"/>
                <w:color w:val="auto"/>
              </w:rPr>
            </w:pPr>
            <w:r>
              <w:rPr>
                <w:rFonts w:ascii="Arial" w:cs="Arial" w:eastAsia="Arial" w:hAnsi="Arial"/>
                <w:sz w:val="14"/>
                <w:szCs w:val="14"/>
                <w:b w:val="1"/>
                <w:bCs w:val="1"/>
                <w:color w:val="auto"/>
                <w:w w:val="97"/>
              </w:rPr>
              <w:t>Houston Electric</w:t>
            </w:r>
          </w:p>
        </w:tc>
        <w:tc>
          <w:tcPr>
            <w:tcW w:w="42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CERC</w:t>
            </w:r>
          </w:p>
        </w:tc>
      </w:tr>
      <w:tr>
        <w:trPr>
          <w:trHeight w:val="24"/>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8"/>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363"/>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1,391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618</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620</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Scheduled principal payments on Securitization Bonds</w:t>
            </w:r>
          </w:p>
        </w:tc>
        <w:tc>
          <w:tcPr>
            <w:tcW w:w="140" w:type="dxa"/>
            <w:vAlign w:val="bottom"/>
          </w:tcPr>
          <w:p>
            <w:pPr>
              <w:spacing w:after="0"/>
              <w:rPr>
                <w:sz w:val="18"/>
                <w:szCs w:val="18"/>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18"/>
                <w:szCs w:val="18"/>
                <w:color w:val="auto"/>
              </w:rPr>
            </w:pP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79</w:t>
            </w:r>
          </w:p>
        </w:tc>
        <w:tc>
          <w:tcPr>
            <w:tcW w:w="4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Maturing senior notes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w:t>
            </w:r>
          </w:p>
        </w:tc>
      </w:tr>
      <w:tr>
        <w:trPr>
          <w:trHeight w:val="207"/>
        </w:trPr>
        <w:tc>
          <w:tcPr>
            <w:tcW w:w="6400" w:type="dxa"/>
            <w:vAlign w:val="bottom"/>
          </w:tcPr>
          <w:p>
            <w:pPr>
              <w:ind w:left="20"/>
              <w:spacing w:after="0"/>
              <w:rPr>
                <w:sz w:val="20"/>
                <w:szCs w:val="20"/>
                <w:color w:val="auto"/>
              </w:rPr>
            </w:pPr>
            <w:r>
              <w:rPr>
                <w:rFonts w:ascii="Arial" w:cs="Arial" w:eastAsia="Arial" w:hAnsi="Arial"/>
                <w:sz w:val="16"/>
                <w:szCs w:val="16"/>
                <w:color w:val="auto"/>
              </w:rPr>
              <w:t>Minimum contributions to pension plans and other post-retirement plans</w:t>
            </w:r>
          </w:p>
        </w:tc>
        <w:tc>
          <w:tcPr>
            <w:tcW w:w="140" w:type="dxa"/>
            <w:vAlign w:val="bottom"/>
          </w:tcPr>
          <w:p>
            <w:pPr>
              <w:spacing w:after="0"/>
              <w:rPr>
                <w:sz w:val="18"/>
                <w:szCs w:val="18"/>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r>
    </w:tbl>
    <w:p>
      <w:pPr>
        <w:spacing w:after="0" w:line="32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Registrants expect that anticipated cash needs for the remaining six months of 2023 will be met with borrowings under their credit facilities, proceeds from the issuance of long-term debt, term loans, anticipated cash flows from operations, and, with respect to CenterPoint Energy and CERC, proceeds from commercial paper. Discretionary financing or refinancing may result in the issuance of debt securities of the Registrants in the capital markets or the arrangement of additional credit facilities or term bank loans. Issuances of debt in the capital markets, funds raised in the commercial paper markets and additional credit facilities may not, however, be available on acceptable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1"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7"/>
          <w:szCs w:val="17"/>
          <w:color w:val="auto"/>
        </w:rPr>
        <w:t>Other than Houston Electric’s general mortgage bonds issued as collateral for tax-exempt long-term debt of CenterPoint Energy as discussed in Note 11 and guarantees as discussed in Note 13(b) to the Interim Condensed Financial Statements, we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about the February 2021 Winter Storm Event, see Note 6 to the Interim Condensed Financial Statements.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Securitization of Planned Generation Retirements (CenterPoint Energy)</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about the issuance of SIGECO Securitization Bonds, see Note 6 to the Interim Condensed Financial Statements.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CPCN (CenterPoint Energy)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BTAs</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On February 23, 2021, Indiana Electric filed a CPCN with the IURC seeking approval to purchase the Posey Solar project. On October 27, 2021, the IURC issued an order approving the CPCN, authorizing Indiana Electric to purchase the Posey Solar project through a BTA to acquire its solar array assets for a fixed purchase price and approved recovery of costs via a levelized rate over the anticipated 35-year life. Due to community feedback and rising project costs caused by inflation and supply chain issues affecting the energy industry, Indiana Electric, along with Arevon, the developer, announced plans in January 2022 to downsize the Posey Solar project to 191 MW. Indiana Electric collaboratively agreed to the scope change, and on February 1, 2023, Indiana Electric entered into an amended and restated BTA that is contingent on further IURC review and approval. On February 7, 2023, Indiana Electric filed a CPCN with the IURC to approve the amended BTA. With the passage of the IRA, Indiana Electric can now pursue PTCs for solar projects. Indiana Electric has filed an updated CPCN with a request that project costs, net of PTCs, be recovered in rate base, through base rates or the CECA mechanism, depending on which provides more timely recovery. The Posey Solar project is expected to be placed in service in 2025.</w:t>
      </w:r>
    </w:p>
    <w:p>
      <w:pPr>
        <w:spacing w:after="0" w:line="3" w:lineRule="exact"/>
        <w:rPr>
          <w:sz w:val="20"/>
          <w:szCs w:val="20"/>
          <w:color w:val="auto"/>
        </w:rPr>
      </w:pPr>
    </w:p>
    <w:p>
      <w:pPr>
        <w:jc w:val="both"/>
        <w:ind w:firstLine="319"/>
        <w:spacing w:after="0" w:line="247" w:lineRule="auto"/>
        <w:rPr>
          <w:sz w:val="20"/>
          <w:szCs w:val="20"/>
          <w:color w:val="auto"/>
        </w:rPr>
      </w:pPr>
      <w:r>
        <w:rPr>
          <w:rFonts w:ascii="Arial" w:cs="Arial" w:eastAsia="Arial" w:hAnsi="Arial"/>
          <w:sz w:val="18"/>
          <w:szCs w:val="18"/>
          <w:color w:val="auto"/>
        </w:rPr>
        <w:t>On July 5, 2022, Indiana Electric entered into a BTA to acquire a 130 MW solar array in Pike County, Indiana through a special purpose entity for a capped purchase price. A CPCN for the project was filed with the IURC on July 29, 2022. On September 21, 2022, an agreement in principle was reached resolving all the issues between Indiana Electric and OUCC. The Stipulation and Settlement agreement was filed on October 6, 2022 and a settlement hearing was held on November 1, 2022. On January 11, 2023, the IURC issued an order approving the settlement agreement granting Indiana Electric to purchase and acquire the Pike County solar project through a BTA and approved the estimated cost. The IURC also designated the project as a clean energy project, approved the proposed levelized rate and associated ratemaking and accounting treatment. The project is expected to be placed in service by the first quarter of 2025.</w:t>
      </w:r>
    </w:p>
    <w:p>
      <w:pPr>
        <w:spacing w:after="0" w:line="22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On January 10, 2023, Indiana Electric filed a CPCN with the IURC to acquire a wind energy generating facility with installed capacity of 200 MWs through a BTA, consistent with its 2019/2020 IRP that calls for up to 300 MWs of wind generation. The wind project is located in MISO’s Central Region zone 4. Commercial operation is expected as early as the end of 2025; however, factors (such as MISO interconnection process timing) could delay the project into 2026. Indiana Electric has requested recovery via the CECA mechanism or through base rates in the next general rate case, depending on which provides more timely recovery. On June 6, 2023 the IURC issued an order approving the CPCN, and thereby authorizing Indiana Electric to purchase the wind generating facility. However, as of the date of the filing of this Form 10-Q, Indiana Electric has not entered into any definitive agreement relating to this wind energy generating facility, and it is not certain that a definitive agreement will be entered into at all.</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PPAs</w:t>
      </w:r>
    </w:p>
    <w:p>
      <w:pPr>
        <w:spacing w:after="0" w:line="245" w:lineRule="exact"/>
        <w:rPr>
          <w:sz w:val="20"/>
          <w:szCs w:val="20"/>
          <w:color w:val="auto"/>
        </w:rPr>
      </w:pPr>
    </w:p>
    <w:p>
      <w:pPr>
        <w:jc w:val="both"/>
        <w:ind w:firstLine="319"/>
        <w:spacing w:after="0" w:line="309" w:lineRule="auto"/>
        <w:rPr>
          <w:sz w:val="20"/>
          <w:szCs w:val="20"/>
          <w:color w:val="auto"/>
        </w:rPr>
      </w:pPr>
      <w:r>
        <w:rPr>
          <w:rFonts w:ascii="Arial" w:cs="Arial" w:eastAsia="Arial" w:hAnsi="Arial"/>
          <w:sz w:val="15"/>
          <w:szCs w:val="15"/>
          <w:color w:val="auto"/>
        </w:rPr>
        <w:t>Indiana Electric also sought approval in February 2021 for a 100 MW solar PPA with Clenera LLC in Warrick County, Indiana. The request accounted for increased cost of debt related to this PPA, which provides equivalent equity return to offset imputed debt during the 25 year life of the PPA. In October 2021, the IURC approved the Warrick County solar PPA but denied the request to preemptively offset imputed debt in the PPA cost. Due to rising project costs caused by inflation and supply chain issues affecting the energy industry, Clenera LLC and Indiana Electric were compelled to renegotiate terms of the</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agreement to increase the PPA price. On January 17, 2023, Indiana Electric filed a request with the IURC to amend the previously approved PPA with certain modifications. Revised purchase power costs are requested to be recovered through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fuel adjustment clause proceedings over the term of the amended PPA. The amended PPA was approved by the IURC in the second quarter of 2023. The Clenera LLC solar array is expected to be placed in service in the second quarter of 2025.</w:t>
      </w:r>
    </w:p>
    <w:p>
      <w:pPr>
        <w:spacing w:after="0" w:line="207"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7"/>
          <w:szCs w:val="17"/>
          <w:color w:val="auto"/>
        </w:rPr>
        <w:t xml:space="preserve">On August 25, 2021, Indiana Electric filed with the IURC seeking approval to purchase 185 MW of solar power, under a 15-year PPA, from </w:t>
      </w:r>
      <w:r>
        <w:rPr>
          <w:rFonts w:ascii="Arial" w:cs="Arial" w:eastAsia="Arial" w:hAnsi="Arial"/>
          <w:sz w:val="17"/>
          <w:szCs w:val="17"/>
          <w:color w:val="auto"/>
          <w:highlight w:val="white"/>
        </w:rPr>
        <w:t>Oriden,</w:t>
      </w:r>
      <w:r>
        <w:rPr>
          <w:rFonts w:ascii="Arial" w:cs="Arial" w:eastAsia="Arial" w:hAnsi="Arial"/>
          <w:sz w:val="17"/>
          <w:szCs w:val="17"/>
          <w:color w:val="auto"/>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County, Indiana had increased. The increase was largely driven by escalating commodity and supply chain costs impacting manufacturers worldwide. In August 2022, Indiana Electric and Origis entered into an amended PPA, which reiterated the terms contained in the 2021 PPA with certain modifications. On October 19, 2022, Indiana Electric filed with the IURC seeking approval of the amended PPA with Origis and a hearing was held on January 4, 2023. On February 22, 2023, the IURC issued an order authorizing Indiana Electric to (i) enter into the amended PPA with Origis; (ii) recover the cost of the amended PPA over its full term as proposed; and (iii) use the proposed ratemaking treatment. On January 17, 2023, Indiana Electric filed a request with the IURC to amend the previously approved PPA with Oriden with certain modifications. Revised purchase power costs are requested to be recovered through the fuel adjustment clause proceedings over the term of the amended PPA with Oriden. The amended PPA with Oriden was approved by the IURC in the second quarter of 2023. The Oriden solar array is expected to be placed in service in the second quarter of 2025 and the Origis solar array is expected to be placed in service by the third quarter of 2024.</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Natural Gas Combustion Turbines</w:t>
      </w:r>
    </w:p>
    <w:p>
      <w:pPr>
        <w:spacing w:after="0" w:line="245" w:lineRule="exact"/>
        <w:rPr>
          <w:sz w:val="20"/>
          <w:szCs w:val="20"/>
          <w:color w:val="auto"/>
        </w:rPr>
      </w:pPr>
    </w:p>
    <w:p>
      <w:pPr>
        <w:jc w:val="both"/>
        <w:ind w:firstLine="319"/>
        <w:spacing w:after="0" w:line="301" w:lineRule="auto"/>
        <w:rPr>
          <w:sz w:val="20"/>
          <w:szCs w:val="20"/>
          <w:color w:val="auto"/>
        </w:rPr>
      </w:pPr>
      <w:r>
        <w:rPr>
          <w:rFonts w:ascii="Arial" w:cs="Arial" w:eastAsia="Arial" w:hAnsi="Arial"/>
          <w:sz w:val="15"/>
          <w:szCs w:val="15"/>
          <w:color w:val="auto"/>
        </w:rPr>
        <w:t>On June 17, 2021, Indiana Electric filed a CPCN with the IURC seeking approval to construct two natural gas combustion turbines to replace portions of its existing coal-fired generation fleet. On June 28, 2022, the IURC approved the CPCN. The estimated $334 million turbine facility is planned to be constructed at the current site of the A.B. Brown power plant in Posey County, Indiana and would provide a combined output of 460 MW. Indiana Electric received approval for depreciation expense and post in-service carrying costs to be deferred in a regulatory asset until the date Indiana South’s base rates include a return on and recovery of depreciation expense on the facility. A new approximately 23.5 mile pipeline will be constructed and operated by Texas Gas Transmission, LLC to supply natural gas to the turbine facility. Indiana Electric entered into an agreement with Texas Gas Transmission, pending FERC approval of a necessary pipeline, to supply firm gas service to the new combustion turbines being constructed as part of the generation transition. On October 20, 2022, FERC granted Texas Gas Transmission a certificate to construct the pipeline. On November 21, 2022, the Citizens Action Coalition of Indiana, Inc. filed a request for rehearing which was denied on June 8, 2023 when FERC issued a Notice of Denial of Rehearing by Operation of Law. Separately, on February 21, 2023, Citizens Action Coalition of Indiana, Inc. filed a Petition for Review at the United States Court of Appeals for the District of Columbia. The appeal is pending with the briefing schedule recently being released. Finally, on July 7, 2023, FERC issued a Notice to Proceed with Full Construction and Modification Approvals, granting Texas Gas Transmission’s request to proceed, in full, with construction of the Henderson County Expansion Project. Indiana Electric granted its contractor a full notice to proceed to construct the turbines on December 9, 2022. The facility is targeted to be operational by mid-2025. Recovery of the proposed natural gas combustion turbines and regulatory asset will be requested in the next Indiana Electric rate case expected in 2023.</w:t>
      </w: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Culley Unit 3 Operations</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June 2022, F.B. Culley Unit 3, an Indiana Electric coal-fired electric generation unit with an installed generating capacity of 270 MW, experienced an operating issue relating to its boiler feed pump turbine. The unit returned to service in March 2023.</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Space City Solar Transmission Interconnection Project (CenterPoint Energy and Houston Electric)</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December 17, 2020, Houston Electric filed a certificate of convenience and necessity application with the PUCT for approval to build a 345 kV transmission line in Wharton County, Texas connecting the Hillje substation on Houston Electric’s transmission system to the planned 610 MW Space City Solar Generation facility being developed by third-party developer EDF Renewables. The actual capital costs of the project will depend on actual land acquisition costs, construction costs, and other factors. In November 2021, the PUCT approved a route that was estimated to cost $25 million and issued a final order 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January 12, 2022. There have been project delays due to supply chain constraints in the developer acquiring solar panels. Houston Electric expects to complete construction and the transmission line will be ready to be energized by the end of 2023.</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Texas Legislation (CenterPoint Energy, Houston Electric and CERC)</w:t>
      </w:r>
    </w:p>
    <w:p>
      <w:pPr>
        <w:spacing w:after="0" w:line="245" w:lineRule="exact"/>
        <w:rPr>
          <w:sz w:val="20"/>
          <w:szCs w:val="20"/>
          <w:color w:val="auto"/>
        </w:rPr>
      </w:pPr>
    </w:p>
    <w:p>
      <w:pPr>
        <w:jc w:val="both"/>
        <w:ind w:firstLine="319"/>
        <w:spacing w:after="0" w:line="314" w:lineRule="auto"/>
        <w:rPr>
          <w:sz w:val="20"/>
          <w:szCs w:val="20"/>
          <w:color w:val="auto"/>
        </w:rPr>
      </w:pPr>
      <w:r>
        <w:rPr>
          <w:rFonts w:ascii="Arial" w:cs="Arial" w:eastAsia="Arial" w:hAnsi="Arial"/>
          <w:sz w:val="15"/>
          <w:szCs w:val="15"/>
          <w:color w:val="auto"/>
        </w:rPr>
        <w:t>Houston Electric continues to review the effects of legislation passed in 2021. For example, pursuant to legislation passed in 2021, Houston Electric entered into two leases for TEEEF (mobile generation). Additionally, the 2021 legislation allows Houston Electric to seek recovery of transmission and distribution facilities that have a lead time of at least six months and would aid in restoring power to Houston Electric’s distribution customers following</w:t>
      </w:r>
    </w:p>
    <w:p>
      <w:pPr>
        <w:jc w:val="both"/>
        <w:spacing w:after="0" w:line="265" w:lineRule="auto"/>
        <w:rPr>
          <w:sz w:val="20"/>
          <w:szCs w:val="20"/>
          <w:color w:val="auto"/>
        </w:rPr>
      </w:pPr>
      <w:r>
        <w:rPr>
          <w:rFonts w:ascii="Arial" w:cs="Arial" w:eastAsia="Arial" w:hAnsi="Arial"/>
          <w:sz w:val="18"/>
          <w:szCs w:val="18"/>
          <w:color w:val="auto"/>
        </w:rPr>
        <w:t>certain widespread power outages. Houston Electric plans to seek recovery of costs associated with LLTF in a future DCRF or ratemaking proceeding. For additional information, see Note 6 to the Interim Condensed Financial Statements.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Houston Electric and CERC are also reviewing legislation passed in 2023, including the following pieces of legislation that became law during the 88th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Texas Legislature, including:</w:t>
      </w:r>
    </w:p>
    <w:p>
      <w:pPr>
        <w:spacing w:after="0" w:line="233" w:lineRule="exact"/>
        <w:rPr>
          <w:sz w:val="20"/>
          <w:szCs w:val="20"/>
          <w:color w:val="auto"/>
        </w:rPr>
      </w:pPr>
    </w:p>
    <w:p>
      <w:pPr>
        <w:jc w:val="both"/>
        <w:ind w:left="640" w:hanging="315"/>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House Bill 1500 is effective September 1, 2023 and continues the functions of the PUCT, the Office of Public Utility Counsel, and ERCOT through 2029. This bill also includes an amendment that clarifies the use cases under which TDUs may lease and operate temporary generation during “significant” power outages;</w:t>
      </w:r>
    </w:p>
    <w:p>
      <w:pPr>
        <w:spacing w:after="0" w:line="1"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House Bill 2263 is effective June 12, 2023 and authorizes local distribution companies to offer programs to promote energy conservation and to recover costs prudently incurred to implement such programs under Railroad Commission authority;</w:t>
      </w:r>
    </w:p>
    <w:p>
      <w:pPr>
        <w:jc w:val="both"/>
        <w:ind w:left="640" w:hanging="315"/>
        <w:spacing w:after="0" w:line="295" w:lineRule="auto"/>
        <w:tabs>
          <w:tab w:leader="none" w:pos="6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House Bill 2555 is effective June 13, 2023 and allows an electric utility to create a transmission and distribution system resiliency plan with the PUCT and associated cost recovery to enhance its system through hardening, undergrounding certain lines, flood mitigation measures, and vegetation management. We anticipate that the PUCT will open a rule making proceeding; the PUCT has until December 10, 2023 to adopt a rule;</w:t>
      </w:r>
    </w:p>
    <w:p>
      <w:pPr>
        <w:spacing w:after="0" w:line="1" w:lineRule="exact"/>
        <w:rPr>
          <w:rFonts w:ascii="Arial" w:cs="Arial" w:eastAsia="Arial" w:hAnsi="Arial"/>
          <w:sz w:val="15"/>
          <w:szCs w:val="15"/>
          <w:color w:val="auto"/>
        </w:rPr>
      </w:pPr>
    </w:p>
    <w:p>
      <w:pPr>
        <w:ind w:left="640" w:hanging="315"/>
        <w:spacing w:after="0" w:line="246"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Senate Bill 947 is effective September 1, 2023 and creates severe criminal offenses for intentional damage to critical infrastructure facilities that create extended power outages;</w:t>
      </w:r>
    </w:p>
    <w:p>
      <w:pPr>
        <w:ind w:left="640" w:hanging="315"/>
        <w:spacing w:after="0" w:line="246"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Senate Bill 1015 is effective June 18, 2023 and allows utilities to file the DCRF twice a year, on any day the PUCT is open (at least 185 days after filing a full base rate proceeding) and setting an administrative approval timeline of 60 days;</w:t>
      </w:r>
    </w:p>
    <w:p>
      <w:pPr>
        <w:jc w:val="both"/>
        <w:ind w:left="640" w:hanging="315"/>
        <w:spacing w:after="0" w:line="246"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Senate Bill 1016 is effective May 5, 2023 and requires the PUCT to presume that all employee compensation and benefits are reasonable and necessary when establishing a utility’s rates if based upon market compensation studies issued within the last three years; it includes exceptions for utility officer incentives that are based on financial metrics. Certain incentive compensation that is in-line with market studies will be presumed reasonable and recoverable; and</w:t>
      </w:r>
    </w:p>
    <w:p>
      <w:pPr>
        <w:spacing w:after="0" w:line="1" w:lineRule="exact"/>
        <w:rPr>
          <w:rFonts w:ascii="Arial" w:cs="Arial" w:eastAsia="Arial" w:hAnsi="Arial"/>
          <w:sz w:val="18"/>
          <w:szCs w:val="18"/>
          <w:color w:val="auto"/>
        </w:rPr>
      </w:pPr>
    </w:p>
    <w:p>
      <w:pPr>
        <w:ind w:left="640" w:hanging="315"/>
        <w:spacing w:after="0" w:line="252"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Senate Bill 1076 is effective June 2, 2023 and moves the timeline for the PUCT to approve certificates of convenience and necessity for transmission projects to 180 days after the date of filing, rather than the first anniversary of the day it was filed.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Legislation (CenterPoint Energy and CERC)</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greenhouse gas emissions and advancing the state’s clean energy future. The maximum allowable cost for an innovation plan will start at 1.75% of the utility's revenue in the state and could increase to 4% by 2033, subject to review and approval by the MPUC. Specifically, the Natural Gas Innovation Act allows a natural gas utility to submit an innovation plan for approval by the MPUC which could propose the use of renewable energy resources and innovative technologies such as:</w:t>
      </w:r>
    </w:p>
    <w:p>
      <w:pPr>
        <w:spacing w:after="0" w:line="220" w:lineRule="exact"/>
        <w:rPr>
          <w:sz w:val="20"/>
          <w:szCs w:val="20"/>
          <w:color w:val="auto"/>
        </w:rPr>
      </w:pPr>
    </w:p>
    <w:p>
      <w:pPr>
        <w:ind w:left="640" w:hanging="315"/>
        <w:spacing w:after="0"/>
        <w:tabs>
          <w:tab w:leader="none" w:pos="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renewable natural gas (produces energy from organic materials such as wastewater, agricultural manure, food waste, agricultural or forest waste);</w:t>
      </w:r>
    </w:p>
    <w:p>
      <w:pPr>
        <w:spacing w:after="0" w:line="51" w:lineRule="exact"/>
        <w:rPr>
          <w:rFonts w:ascii="Arial" w:cs="Arial" w:eastAsia="Arial" w:hAnsi="Arial"/>
          <w:sz w:val="15"/>
          <w:szCs w:val="15"/>
          <w:color w:val="auto"/>
        </w:rPr>
      </w:pPr>
    </w:p>
    <w:p>
      <w:pPr>
        <w:ind w:left="640" w:hanging="315"/>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renewable hydrogen gas (produces energy from water through electrolysis with renewable electricity such as solar);</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energy efficiency measures (avoids energy consumption in excess of the utility’s existing conservation programs);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innovative technologies (reduces or avoids greenhouse gas emissions using technologies such as carbon capture).</w:t>
      </w:r>
    </w:p>
    <w:p>
      <w:pPr>
        <w:spacing w:after="0" w:line="233" w:lineRule="exact"/>
        <w:rPr>
          <w:sz w:val="20"/>
          <w:szCs w:val="20"/>
          <w:color w:val="auto"/>
        </w:rPr>
      </w:pPr>
    </w:p>
    <w:p>
      <w:pPr>
        <w:jc w:val="both"/>
        <w:ind w:firstLine="319"/>
        <w:spacing w:after="0" w:line="313" w:lineRule="auto"/>
        <w:rPr>
          <w:sz w:val="20"/>
          <w:szCs w:val="20"/>
          <w:color w:val="auto"/>
        </w:rPr>
      </w:pPr>
      <w:r>
        <w:rPr>
          <w:rFonts w:ascii="Arial" w:cs="Arial" w:eastAsia="Arial" w:hAnsi="Arial"/>
          <w:sz w:val="15"/>
          <w:szCs w:val="15"/>
          <w:color w:val="auto"/>
        </w:rPr>
        <w:t>On June 28, 2023, CERC submitted its first innovation plan to the MPUC; the five-year plan includes 18 pilot projects and seven smaller research-and-development projects. These projects will deploy and evaluate a broad array of innovative resources including made-in-Minnesota alternative gases such as renewable natural gas and green hydrogen as well as pioneering technologies such as a networked geothermal district energy system and end-use carbon capture. The proposed plan requires approval from the MPUC through a review process that is expected to take about one year. The MPUC has asked for comments by September 15, 2023 if parties believe that the filing is incomplete based on the reporting requirements or if parties do not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believe that that the MPUC’s standard informal proceeding process is appropriate. The initial comment period closes November 3, 2023, reply comments are due January 12, 2024 and supplemental comments are due February 2, 2024; the MPUC has indicated that unless warranted by comments received by September 15, 2023, it does not intend to hear this matter before the completion of the entire comment period.</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Solar Panel Issues (CenterPoint Energy)</w:t>
      </w:r>
    </w:p>
    <w:p>
      <w:pPr>
        <w:spacing w:after="0" w:line="245"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5"/>
          <w:szCs w:val="15"/>
          <w:color w:val="auto"/>
        </w:rPr>
        <w:t>CenterPoint Energy’s current and future solar projects have been impacted by delays and/or increased costs. The delays and inflationary cost pressures communicated from the developers of our solar projects are primarily due to (i) unavailability of solar panels and other uncertainties related to the pending DOC investigation on anti-dumping and countervailing duties petition filed by a domestic solar manufacturer, (ii) the December 2021 Uyghur Forced Labor Prevention Act on solar modules and other products manufactured in China's Xinjiang Uyghur Autonomous Region and (iii) persistent general global supply chain and labor availability issues. On December 2, 2022, the DOC issued its preliminary determination, finding four of the eight companies being investigated are attempting to bypass U.S. duties; however, the investigation continues and the DOC’s final determination is now expected in August 2023. In June 2022, President Biden authorized an executive order which would suspend anti-circumvention tariffs on solar panels for two years; however, the executive order could be subject to legal and legislative challenges and its effects remain uncertain. The resolution of these issues will determine what additional costs or delays our solar projects will be subject to. These impacts have resulted in cost increases for certain projects, and may result in cost increases in other projects, and such impacts have resulted in, or are expected to result in, the need for us to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“Item 1A. Risk Factors” in the Registrants’ 2022 Form 10-K.</w:t>
      </w: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45" w:lineRule="exact"/>
        <w:rPr>
          <w:sz w:val="20"/>
          <w:szCs w:val="20"/>
          <w:color w:val="auto"/>
        </w:rPr>
      </w:pPr>
    </w:p>
    <w:p>
      <w:pPr>
        <w:jc w:val="both"/>
        <w:ind w:firstLine="319"/>
        <w:spacing w:after="0" w:line="313" w:lineRule="auto"/>
        <w:rPr>
          <w:sz w:val="20"/>
          <w:szCs w:val="20"/>
          <w:color w:val="auto"/>
        </w:rPr>
      </w:pPr>
      <w:r>
        <w:rPr>
          <w:rFonts w:ascii="Arial" w:cs="Arial" w:eastAsia="Arial" w:hAnsi="Arial"/>
          <w:sz w:val="15"/>
          <w:szCs w:val="15"/>
          <w:color w:val="auto"/>
        </w:rPr>
        <w:t>The Registrants are routinely involved in rate change applications before state regulatory authorities. Those applications include general rate cases, where the entire cost of service of the utility is assessed and reset. In addition, Registrants are periodically involved in proceedings to adjust its capital tracking mechanisms (e.g., CSIA, DCRF, DRR, GRIP, TCOS and TDSIC), its cost of service adjustments (e.g., RSP and RRA), its decoupling mechanism (e.g., Decoupling and SRC), and its energy efficiency cost trackers (e.g., CIP, DSMA, EECR, EECRF, EEFC and EEFR). The table below reflects significant applications pending or completed since the Registrants’ combined 2022 Form 10-K was filed with the SEC through the date of the filing of this 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180" w:type="dxa"/>
            <w:vAlign w:val="bottom"/>
          </w:tcPr>
          <w:p>
            <w:pPr>
              <w:jc w:val="center"/>
              <w:ind w:left="12"/>
              <w:spacing w:after="0"/>
              <w:rPr>
                <w:sz w:val="20"/>
                <w:szCs w:val="20"/>
                <w:color w:val="auto"/>
              </w:rPr>
            </w:pPr>
            <w:r>
              <w:rPr>
                <w:rFonts w:ascii="Arial" w:cs="Arial" w:eastAsia="Arial" w:hAnsi="Arial"/>
                <w:sz w:val="14"/>
                <w:szCs w:val="14"/>
                <w:b w:val="1"/>
                <w:bCs w:val="1"/>
                <w:color w:val="auto"/>
                <w:w w:val="96"/>
              </w:rPr>
              <w:t>Annual</w:t>
            </w: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180" w:type="dxa"/>
            <w:vAlign w:val="bottom"/>
          </w:tcPr>
          <w:p>
            <w:pPr>
              <w:jc w:val="center"/>
              <w:ind w:left="12"/>
              <w:spacing w:after="0" w:line="137" w:lineRule="exact"/>
              <w:rPr>
                <w:sz w:val="20"/>
                <w:szCs w:val="20"/>
                <w:color w:val="auto"/>
              </w:rPr>
            </w:pPr>
            <w:r>
              <w:rPr>
                <w:rFonts w:ascii="Arial" w:cs="Arial" w:eastAsia="Arial" w:hAnsi="Arial"/>
                <w:sz w:val="14"/>
                <w:szCs w:val="14"/>
                <w:b w:val="1"/>
                <w:bCs w:val="1"/>
                <w:color w:val="auto"/>
                <w:w w:val="87"/>
              </w:rPr>
              <w:t>Increase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16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Approval</w:t>
            </w:r>
          </w:p>
        </w:tc>
        <w:tc>
          <w:tcPr>
            <w:tcW w:w="5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60" w:type="dxa"/>
            <w:vAlign w:val="bottom"/>
            <w:vMerge w:val="restart"/>
          </w:tcPr>
          <w:p>
            <w:pPr>
              <w:jc w:val="center"/>
              <w:ind w:left="10"/>
              <w:spacing w:after="0"/>
              <w:rPr>
                <w:sz w:val="20"/>
                <w:szCs w:val="20"/>
                <w:color w:val="auto"/>
              </w:rPr>
            </w:pPr>
            <w:r>
              <w:rPr>
                <w:rFonts w:ascii="Arial" w:cs="Arial" w:eastAsia="Arial" w:hAnsi="Arial"/>
                <w:sz w:val="14"/>
                <w:szCs w:val="14"/>
                <w:b w:val="1"/>
                <w:bCs w:val="1"/>
                <w:color w:val="auto"/>
                <w:w w:val="91"/>
              </w:rPr>
              <w:t>Mechanism</w:t>
            </w:r>
          </w:p>
        </w:tc>
        <w:tc>
          <w:tcPr>
            <w:tcW w:w="1180" w:type="dxa"/>
            <w:vAlign w:val="bottom"/>
          </w:tcPr>
          <w:p>
            <w:pPr>
              <w:jc w:val="center"/>
              <w:ind w:left="12"/>
              <w:spacing w:after="0" w:line="142" w:lineRule="exact"/>
              <w:rPr>
                <w:sz w:val="20"/>
                <w:szCs w:val="20"/>
                <w:color w:val="auto"/>
              </w:rPr>
            </w:pPr>
            <w:r>
              <w:rPr>
                <w:rFonts w:ascii="Arial" w:cs="Arial" w:eastAsia="Arial" w:hAnsi="Arial"/>
                <w:sz w:val="14"/>
                <w:szCs w:val="14"/>
                <w:b w:val="1"/>
                <w:bCs w:val="1"/>
                <w:color w:val="auto"/>
                <w:w w:val="88"/>
              </w:rPr>
              <w:t xml:space="preserve">(Decrease) </w:t>
            </w:r>
            <w:r>
              <w:rPr>
                <w:rFonts w:ascii="Arial" w:cs="Arial" w:eastAsia="Arial" w:hAnsi="Arial"/>
                <w:sz w:val="10"/>
                <w:szCs w:val="10"/>
                <w:b w:val="1"/>
                <w:bCs w:val="1"/>
                <w:color w:val="auto"/>
                <w:w w:val="88"/>
              </w:rPr>
              <w:t>(1)</w:t>
            </w:r>
          </w:p>
        </w:tc>
        <w:tc>
          <w:tcPr>
            <w:tcW w:w="980" w:type="dxa"/>
            <w:vAlign w:val="bottom"/>
            <w:vMerge w:val="continue"/>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860" w:type="dxa"/>
            <w:vAlign w:val="bottom"/>
            <w:vMerge w:val="continue"/>
          </w:tcPr>
          <w:p>
            <w:pPr>
              <w:spacing w:after="0"/>
              <w:rPr>
                <w:sz w:val="12"/>
                <w:szCs w:val="12"/>
                <w:color w:val="auto"/>
              </w:rPr>
            </w:pPr>
          </w:p>
        </w:tc>
        <w:tc>
          <w:tcPr>
            <w:tcW w:w="580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59"/>
        </w:trPr>
        <w:tc>
          <w:tcPr>
            <w:tcW w:w="126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tcPr>
          <w:p>
            <w:pPr>
              <w:jc w:val="center"/>
              <w:ind w:left="12"/>
              <w:spacing w:after="0"/>
              <w:rPr>
                <w:sz w:val="20"/>
                <w:szCs w:val="20"/>
                <w:color w:val="auto"/>
              </w:rPr>
            </w:pPr>
            <w:r>
              <w:rPr>
                <w:rFonts w:ascii="Arial" w:cs="Arial" w:eastAsia="Arial" w:hAnsi="Arial"/>
                <w:sz w:val="11"/>
                <w:szCs w:val="11"/>
                <w:b w:val="1"/>
                <w:bCs w:val="1"/>
                <w:color w:val="auto"/>
                <w:w w:val="87"/>
              </w:rPr>
              <w:t>(in millions)</w:t>
            </w:r>
          </w:p>
        </w:tc>
        <w:tc>
          <w:tcPr>
            <w:tcW w:w="9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8"/>
              </w:rPr>
              <w:t>Date</w:t>
            </w:r>
          </w:p>
        </w:tc>
        <w:tc>
          <w:tcPr>
            <w:tcW w:w="11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5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CenterPoint Energy and Houston Electric (PUCT)</w:t>
            </w: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jc w:val="center"/>
              <w:ind w:left="10"/>
              <w:spacing w:after="0" w:line="139" w:lineRule="exact"/>
              <w:rPr>
                <w:sz w:val="20"/>
                <w:szCs w:val="20"/>
                <w:color w:val="auto"/>
              </w:rPr>
            </w:pPr>
            <w:r>
              <w:rPr>
                <w:rFonts w:ascii="Arial" w:cs="Arial" w:eastAsia="Arial" w:hAnsi="Arial"/>
                <w:sz w:val="14"/>
                <w:szCs w:val="14"/>
                <w:color w:val="auto"/>
                <w:w w:val="92"/>
              </w:rPr>
              <w:t xml:space="preserve">DCRF </w:t>
            </w:r>
            <w:r>
              <w:rPr>
                <w:rFonts w:ascii="Arial" w:cs="Arial" w:eastAsia="Arial" w:hAnsi="Arial"/>
                <w:sz w:val="9"/>
                <w:szCs w:val="9"/>
                <w:color w:val="auto"/>
                <w:w w:val="92"/>
              </w:rPr>
              <w:t>(1)</w:t>
            </w:r>
          </w:p>
        </w:tc>
        <w:tc>
          <w:tcPr>
            <w:tcW w:w="1180" w:type="dxa"/>
            <w:vAlign w:val="bottom"/>
            <w:shd w:val="clear" w:color="auto" w:fill="CCEEFF"/>
          </w:tcPr>
          <w:p>
            <w:pPr>
              <w:jc w:val="center"/>
              <w:ind w:left="12"/>
              <w:spacing w:after="0" w:line="139" w:lineRule="exact"/>
              <w:rPr>
                <w:sz w:val="20"/>
                <w:szCs w:val="20"/>
                <w:color w:val="auto"/>
              </w:rPr>
            </w:pPr>
            <w:r>
              <w:rPr>
                <w:rFonts w:ascii="Arial" w:cs="Arial" w:eastAsia="Arial" w:hAnsi="Arial"/>
                <w:sz w:val="14"/>
                <w:szCs w:val="14"/>
                <w:color w:val="auto"/>
                <w:w w:val="89"/>
              </w:rPr>
              <w:t>85</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April</w:t>
            </w: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TBD</w:t>
            </w:r>
          </w:p>
        </w:tc>
        <w:tc>
          <w:tcPr>
            <w:tcW w:w="8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9"/>
              </w:rPr>
              <w:t>TBD</w:t>
            </w:r>
          </w:p>
        </w:tc>
        <w:tc>
          <w:tcPr>
            <w:tcW w:w="58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The net change in distribution invested capital since its last base rate proceeding of approximately</w:t>
            </w:r>
          </w:p>
        </w:tc>
        <w:tc>
          <w:tcPr>
            <w:tcW w:w="0" w:type="dxa"/>
            <w:vAlign w:val="bottom"/>
          </w:tcPr>
          <w:p>
            <w:pPr>
              <w:spacing w:after="0"/>
              <w:rPr>
                <w:sz w:val="1"/>
                <w:szCs w:val="1"/>
                <w:color w:val="auto"/>
              </w:rPr>
            </w:pPr>
          </w:p>
        </w:tc>
      </w:tr>
      <w:tr>
        <w:trPr>
          <w:trHeight w:val="134"/>
        </w:trPr>
        <w:tc>
          <w:tcPr>
            <w:tcW w:w="1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89"/>
              </w:rPr>
              <w:t>2023</w:t>
            </w:r>
          </w:p>
        </w:tc>
        <w:tc>
          <w:tcPr>
            <w:tcW w:w="1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00" w:type="dxa"/>
            <w:vAlign w:val="bottom"/>
            <w:shd w:val="clear" w:color="auto" w:fill="CCEEFF"/>
          </w:tcPr>
          <w:p>
            <w:pPr>
              <w:ind w:left="140"/>
              <w:spacing w:after="0" w:line="134" w:lineRule="exact"/>
              <w:rPr>
                <w:sz w:val="20"/>
                <w:szCs w:val="20"/>
                <w:color w:val="auto"/>
              </w:rPr>
            </w:pPr>
            <w:r>
              <w:rPr>
                <w:rFonts w:ascii="Arial" w:cs="Arial" w:eastAsia="Arial" w:hAnsi="Arial"/>
                <w:sz w:val="14"/>
                <w:szCs w:val="14"/>
                <w:color w:val="auto"/>
                <w:w w:val="94"/>
              </w:rPr>
              <w:t>$1.9 billion for the period January 1, 2019 through December 31, 2022 for a revenue increase of</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w w:val="98"/>
              </w:rPr>
              <w:t>$85 million, adjusted for load growth. On July 14, 2023 a settlement was filed that results in a</w:t>
            </w:r>
          </w:p>
        </w:tc>
        <w:tc>
          <w:tcPr>
            <w:tcW w:w="0" w:type="dxa"/>
            <w:vAlign w:val="bottom"/>
          </w:tcPr>
          <w:p>
            <w:pPr>
              <w:spacing w:after="0"/>
              <w:rPr>
                <w:sz w:val="1"/>
                <w:szCs w:val="1"/>
                <w:color w:val="auto"/>
              </w:rPr>
            </w:pPr>
          </w:p>
        </w:tc>
      </w:tr>
      <w:tr>
        <w:trPr>
          <w:trHeight w:val="191"/>
        </w:trPr>
        <w:tc>
          <w:tcPr>
            <w:tcW w:w="1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revenue increase of $70 million adjusted for load growth.</w:t>
            </w:r>
          </w:p>
        </w:tc>
        <w:tc>
          <w:tcPr>
            <w:tcW w:w="0" w:type="dxa"/>
            <w:vAlign w:val="bottom"/>
          </w:tcPr>
          <w:p>
            <w:pPr>
              <w:spacing w:after="0"/>
              <w:rPr>
                <w:sz w:val="1"/>
                <w:szCs w:val="1"/>
                <w:color w:val="auto"/>
              </w:rPr>
            </w:pPr>
          </w:p>
        </w:tc>
      </w:tr>
      <w:tr>
        <w:trPr>
          <w:trHeight w:val="153"/>
        </w:trPr>
        <w:tc>
          <w:tcPr>
            <w:tcW w:w="1260" w:type="dxa"/>
            <w:vAlign w:val="bottom"/>
          </w:tcPr>
          <w:p>
            <w:pPr>
              <w:jc w:val="center"/>
              <w:spacing w:after="0" w:line="153" w:lineRule="exact"/>
              <w:rPr>
                <w:sz w:val="20"/>
                <w:szCs w:val="20"/>
                <w:color w:val="auto"/>
              </w:rPr>
            </w:pPr>
            <w:r>
              <w:rPr>
                <w:rFonts w:ascii="Arial" w:cs="Arial" w:eastAsia="Arial" w:hAnsi="Arial"/>
                <w:sz w:val="13"/>
                <w:szCs w:val="13"/>
                <w:color w:val="auto"/>
                <w:w w:val="94"/>
              </w:rPr>
              <w:t xml:space="preserve">TEEEF </w:t>
            </w:r>
            <w:r>
              <w:rPr>
                <w:rFonts w:ascii="Arial" w:cs="Arial" w:eastAsia="Arial" w:hAnsi="Arial"/>
                <w:sz w:val="17"/>
                <w:szCs w:val="17"/>
                <w:color w:val="auto"/>
                <w:w w:val="94"/>
                <w:vertAlign w:val="subscript"/>
              </w:rPr>
              <w:t>(1)</w:t>
            </w:r>
          </w:p>
        </w:tc>
        <w:tc>
          <w:tcPr>
            <w:tcW w:w="1180" w:type="dxa"/>
            <w:vAlign w:val="bottom"/>
          </w:tcPr>
          <w:p>
            <w:pPr>
              <w:jc w:val="center"/>
              <w:ind w:left="12"/>
              <w:spacing w:after="0" w:line="153" w:lineRule="exact"/>
              <w:rPr>
                <w:sz w:val="20"/>
                <w:szCs w:val="20"/>
                <w:color w:val="auto"/>
              </w:rPr>
            </w:pPr>
            <w:r>
              <w:rPr>
                <w:rFonts w:ascii="Arial" w:cs="Arial" w:eastAsia="Arial" w:hAnsi="Arial"/>
                <w:sz w:val="14"/>
                <w:szCs w:val="14"/>
                <w:color w:val="auto"/>
                <w:w w:val="94"/>
              </w:rPr>
              <w:t>149</w:t>
            </w:r>
          </w:p>
        </w:tc>
        <w:tc>
          <w:tcPr>
            <w:tcW w:w="980" w:type="dxa"/>
            <w:vAlign w:val="bottom"/>
          </w:tcPr>
          <w:p>
            <w:pPr>
              <w:jc w:val="center"/>
              <w:spacing w:after="0" w:line="153" w:lineRule="exact"/>
              <w:rPr>
                <w:sz w:val="20"/>
                <w:szCs w:val="20"/>
                <w:color w:val="auto"/>
              </w:rPr>
            </w:pPr>
            <w:r>
              <w:rPr>
                <w:rFonts w:ascii="Arial" w:cs="Arial" w:eastAsia="Arial" w:hAnsi="Arial"/>
                <w:sz w:val="14"/>
                <w:szCs w:val="14"/>
                <w:color w:val="auto"/>
              </w:rPr>
              <w:t>April</w:t>
            </w:r>
          </w:p>
        </w:tc>
        <w:tc>
          <w:tcPr>
            <w:tcW w:w="1160" w:type="dxa"/>
            <w:vAlign w:val="bottom"/>
          </w:tcPr>
          <w:p>
            <w:pPr>
              <w:jc w:val="center"/>
              <w:spacing w:after="0" w:line="153" w:lineRule="exact"/>
              <w:rPr>
                <w:sz w:val="20"/>
                <w:szCs w:val="20"/>
                <w:color w:val="auto"/>
              </w:rPr>
            </w:pPr>
            <w:r>
              <w:rPr>
                <w:rFonts w:ascii="Arial" w:cs="Arial" w:eastAsia="Arial" w:hAnsi="Arial"/>
                <w:sz w:val="14"/>
                <w:szCs w:val="14"/>
                <w:color w:val="auto"/>
              </w:rPr>
              <w:t>TBD</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w w:val="99"/>
              </w:rPr>
              <w:t>TBD</w:t>
            </w:r>
          </w:p>
        </w:tc>
        <w:tc>
          <w:tcPr>
            <w:tcW w:w="5800" w:type="dxa"/>
            <w:vAlign w:val="bottom"/>
          </w:tcPr>
          <w:p>
            <w:pPr>
              <w:ind w:left="140"/>
              <w:spacing w:after="0" w:line="153" w:lineRule="exact"/>
              <w:rPr>
                <w:sz w:val="20"/>
                <w:szCs w:val="20"/>
                <w:color w:val="auto"/>
              </w:rPr>
            </w:pPr>
            <w:r>
              <w:rPr>
                <w:rFonts w:ascii="Arial" w:cs="Arial" w:eastAsia="Arial" w:hAnsi="Arial"/>
                <w:sz w:val="14"/>
                <w:szCs w:val="14"/>
                <w:color w:val="auto"/>
                <w:w w:val="93"/>
              </w:rPr>
              <w:t>A total Rider TEEEF revenue requirement of $188 million for cost incurred through December 31,</w:t>
            </w:r>
          </w:p>
        </w:tc>
        <w:tc>
          <w:tcPr>
            <w:tcW w:w="0" w:type="dxa"/>
            <w:vAlign w:val="bottom"/>
          </w:tcPr>
          <w:p>
            <w:pPr>
              <w:spacing w:after="0"/>
              <w:rPr>
                <w:sz w:val="1"/>
                <w:szCs w:val="1"/>
                <w:color w:val="auto"/>
              </w:rPr>
            </w:pPr>
          </w:p>
        </w:tc>
      </w:tr>
      <w:tr>
        <w:trPr>
          <w:trHeight w:val="134"/>
        </w:trPr>
        <w:tc>
          <w:tcPr>
            <w:tcW w:w="1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4"/>
                <w:szCs w:val="14"/>
                <w:color w:val="auto"/>
                <w:w w:val="89"/>
              </w:rPr>
              <w:t>2023</w:t>
            </w:r>
          </w:p>
        </w:tc>
        <w:tc>
          <w:tcPr>
            <w:tcW w:w="1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0" w:type="dxa"/>
            <w:vAlign w:val="bottom"/>
          </w:tcPr>
          <w:p>
            <w:pPr>
              <w:ind w:left="140"/>
              <w:spacing w:after="0" w:line="134" w:lineRule="exact"/>
              <w:rPr>
                <w:sz w:val="20"/>
                <w:szCs w:val="20"/>
                <w:color w:val="auto"/>
              </w:rPr>
            </w:pPr>
            <w:r>
              <w:rPr>
                <w:rFonts w:ascii="Arial" w:cs="Arial" w:eastAsia="Arial" w:hAnsi="Arial"/>
                <w:sz w:val="14"/>
                <w:szCs w:val="14"/>
                <w:color w:val="auto"/>
                <w:w w:val="91"/>
              </w:rPr>
              <w:t>2022. The revenue change between the rates resulting from the 2022 TEEEF and this application is</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Arial" w:cs="Arial" w:eastAsia="Arial" w:hAnsi="Arial"/>
                <w:sz w:val="14"/>
                <w:szCs w:val="14"/>
                <w:color w:val="auto"/>
              </w:rPr>
              <w:t>$149 million.</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2"/>
              </w:rPr>
              <w:t>TCOS</w:t>
            </w:r>
          </w:p>
        </w:tc>
        <w:tc>
          <w:tcPr>
            <w:tcW w:w="1180" w:type="dxa"/>
            <w:vAlign w:val="bottom"/>
            <w:shd w:val="clear" w:color="auto" w:fill="CCEEFF"/>
          </w:tcPr>
          <w:p>
            <w:pPr>
              <w:jc w:val="center"/>
              <w:ind w:left="12"/>
              <w:spacing w:after="0" w:line="147" w:lineRule="exact"/>
              <w:rPr>
                <w:sz w:val="20"/>
                <w:szCs w:val="20"/>
                <w:color w:val="auto"/>
              </w:rPr>
            </w:pPr>
            <w:r>
              <w:rPr>
                <w:rFonts w:ascii="Arial" w:cs="Arial" w:eastAsia="Arial" w:hAnsi="Arial"/>
                <w:sz w:val="14"/>
                <w:szCs w:val="14"/>
                <w:color w:val="auto"/>
                <w:w w:val="89"/>
              </w:rPr>
              <w:t>40</w:t>
            </w:r>
          </w:p>
        </w:tc>
        <w:tc>
          <w:tcPr>
            <w:tcW w:w="9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4"/>
              </w:rPr>
              <w:t>March 2023</w:t>
            </w:r>
          </w:p>
        </w:tc>
        <w:tc>
          <w:tcPr>
            <w:tcW w:w="116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8"/>
              </w:rPr>
              <w:t>May</w:t>
            </w:r>
          </w:p>
        </w:tc>
        <w:tc>
          <w:tcPr>
            <w:tcW w:w="86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8"/>
              </w:rPr>
              <w:t>May</w:t>
            </w:r>
          </w:p>
        </w:tc>
        <w:tc>
          <w:tcPr>
            <w:tcW w:w="580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w w:val="97"/>
              </w:rPr>
              <w:t>Based on net change in invested capital of $367 million for the period August 1, 2022 through</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31, 2023.</w:t>
            </w:r>
          </w:p>
        </w:tc>
        <w:tc>
          <w:tcPr>
            <w:tcW w:w="0" w:type="dxa"/>
            <w:vAlign w:val="bottom"/>
          </w:tcPr>
          <w:p>
            <w:pPr>
              <w:spacing w:after="0"/>
              <w:rPr>
                <w:sz w:val="1"/>
                <w:szCs w:val="1"/>
                <w:color w:val="auto"/>
              </w:rPr>
            </w:pPr>
          </w:p>
        </w:tc>
      </w:tr>
      <w:tr>
        <w:trPr>
          <w:trHeight w:val="24"/>
        </w:trPr>
        <w:tc>
          <w:tcPr>
            <w:tcW w:w="1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tbl>
      <w:tblPr>
        <w:tblLayout w:type="fixed"/>
        <w:tblInd w:w="440" w:type="dxa"/>
        <w:tblCellMar>
          <w:top w:w="0" w:type="dxa"/>
          <w:left w:w="0" w:type="dxa"/>
          <w:bottom w:w="0" w:type="dxa"/>
          <w:right w:w="0" w:type="dxa"/>
        </w:tblCellMar>
      </w:tblPr>
      <w:tr>
        <w:trPr>
          <w:trHeight w:val="133"/>
        </w:trPr>
        <w:tc>
          <w:tcPr>
            <w:tcW w:w="900" w:type="dxa"/>
            <w:vAlign w:val="bottom"/>
          </w:tcPr>
          <w:p>
            <w:pPr>
              <w:jc w:val="center"/>
              <w:ind w:right="389"/>
              <w:spacing w:after="0" w:line="133" w:lineRule="exact"/>
              <w:rPr>
                <w:sz w:val="20"/>
                <w:szCs w:val="20"/>
                <w:color w:val="auto"/>
              </w:rPr>
            </w:pPr>
            <w:r>
              <w:rPr>
                <w:rFonts w:ascii="Arial" w:cs="Arial" w:eastAsia="Arial" w:hAnsi="Arial"/>
                <w:sz w:val="14"/>
                <w:szCs w:val="14"/>
                <w:color w:val="auto"/>
                <w:w w:val="92"/>
              </w:rPr>
              <w:t>DCRF</w:t>
            </w:r>
          </w:p>
        </w:tc>
        <w:tc>
          <w:tcPr>
            <w:tcW w:w="1040" w:type="dxa"/>
            <w:vAlign w:val="bottom"/>
          </w:tcPr>
          <w:p>
            <w:pPr>
              <w:jc w:val="right"/>
              <w:ind w:right="309"/>
              <w:spacing w:after="0" w:line="133" w:lineRule="exact"/>
              <w:rPr>
                <w:sz w:val="20"/>
                <w:szCs w:val="20"/>
                <w:color w:val="auto"/>
              </w:rPr>
            </w:pPr>
            <w:r>
              <w:rPr>
                <w:rFonts w:ascii="Arial" w:cs="Arial" w:eastAsia="Arial" w:hAnsi="Arial"/>
                <w:sz w:val="14"/>
                <w:szCs w:val="14"/>
                <w:color w:val="auto"/>
              </w:rPr>
              <w:t>117</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960" w:type="dxa"/>
            <w:vAlign w:val="bottom"/>
          </w:tcPr>
          <w:p>
            <w:pPr>
              <w:ind w:left="380"/>
              <w:spacing w:after="0" w:line="133" w:lineRule="exact"/>
              <w:rPr>
                <w:sz w:val="20"/>
                <w:szCs w:val="20"/>
                <w:color w:val="auto"/>
              </w:rPr>
            </w:pPr>
            <w:r>
              <w:rPr>
                <w:rFonts w:ascii="Arial" w:cs="Arial" w:eastAsia="Arial" w:hAnsi="Arial"/>
                <w:sz w:val="14"/>
                <w:szCs w:val="14"/>
                <w:color w:val="auto"/>
              </w:rPr>
              <w:t>April</w:t>
            </w:r>
          </w:p>
        </w:tc>
        <w:tc>
          <w:tcPr>
            <w:tcW w:w="900" w:type="dxa"/>
            <w:vAlign w:val="bottom"/>
          </w:tcPr>
          <w:p>
            <w:pPr>
              <w:jc w:val="center"/>
              <w:ind w:left="209"/>
              <w:spacing w:after="0" w:line="133" w:lineRule="exact"/>
              <w:rPr>
                <w:sz w:val="20"/>
                <w:szCs w:val="20"/>
                <w:color w:val="auto"/>
              </w:rPr>
            </w:pPr>
            <w:r>
              <w:rPr>
                <w:rFonts w:ascii="Arial" w:cs="Arial" w:eastAsia="Arial" w:hAnsi="Arial"/>
                <w:sz w:val="14"/>
                <w:szCs w:val="14"/>
                <w:color w:val="auto"/>
                <w:w w:val="98"/>
              </w:rPr>
              <w:t>April 2023</w:t>
            </w:r>
          </w:p>
        </w:tc>
      </w:tr>
      <w:tr>
        <w:trPr>
          <w:trHeight w:val="180"/>
        </w:trPr>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960" w:type="dxa"/>
            <w:vAlign w:val="bottom"/>
          </w:tcPr>
          <w:p>
            <w:pPr>
              <w:ind w:left="380"/>
              <w:spacing w:after="0"/>
              <w:rPr>
                <w:sz w:val="20"/>
                <w:szCs w:val="20"/>
                <w:color w:val="auto"/>
              </w:rPr>
            </w:pPr>
            <w:r>
              <w:rPr>
                <w:rFonts w:ascii="Arial" w:cs="Arial" w:eastAsia="Arial" w:hAnsi="Arial"/>
                <w:sz w:val="14"/>
                <w:szCs w:val="14"/>
                <w:color w:val="auto"/>
              </w:rPr>
              <w:t>2023</w:t>
            </w:r>
          </w:p>
        </w:tc>
        <w:tc>
          <w:tcPr>
            <w:tcW w:w="900" w:type="dxa"/>
            <w:vAlign w:val="bottom"/>
          </w:tcPr>
          <w:p>
            <w:pPr>
              <w:spacing w:after="0"/>
              <w:rPr>
                <w:sz w:val="15"/>
                <w:szCs w:val="15"/>
                <w:color w:val="auto"/>
              </w:rPr>
            </w:pPr>
          </w:p>
        </w:tc>
      </w:tr>
      <w:tr>
        <w:trPr>
          <w:trHeight w:val="864"/>
        </w:trPr>
        <w:tc>
          <w:tcPr>
            <w:tcW w:w="900" w:type="dxa"/>
            <w:vAlign w:val="bottom"/>
          </w:tcPr>
          <w:p>
            <w:pPr>
              <w:jc w:val="center"/>
              <w:ind w:right="389"/>
              <w:spacing w:after="0"/>
              <w:rPr>
                <w:sz w:val="20"/>
                <w:szCs w:val="20"/>
                <w:color w:val="auto"/>
              </w:rPr>
            </w:pPr>
            <w:r>
              <w:rPr>
                <w:rFonts w:ascii="Arial" w:cs="Arial" w:eastAsia="Arial" w:hAnsi="Arial"/>
                <w:sz w:val="14"/>
                <w:szCs w:val="14"/>
                <w:color w:val="auto"/>
                <w:w w:val="92"/>
              </w:rPr>
              <w:t>EECRF</w:t>
            </w:r>
          </w:p>
        </w:tc>
        <w:tc>
          <w:tcPr>
            <w:tcW w:w="1040" w:type="dxa"/>
            <w:vAlign w:val="bottom"/>
          </w:tcPr>
          <w:p>
            <w:pPr>
              <w:jc w:val="right"/>
              <w:ind w:right="349"/>
              <w:spacing w:after="0"/>
              <w:rPr>
                <w:sz w:val="20"/>
                <w:szCs w:val="20"/>
                <w:color w:val="auto"/>
              </w:rPr>
            </w:pPr>
            <w:r>
              <w:rPr>
                <w:rFonts w:ascii="Arial" w:cs="Arial" w:eastAsia="Arial" w:hAnsi="Arial"/>
                <w:sz w:val="14"/>
                <w:szCs w:val="14"/>
                <w:color w:val="auto"/>
              </w:rPr>
              <w:t>16</w:t>
            </w:r>
          </w:p>
        </w:tc>
        <w:tc>
          <w:tcPr>
            <w:tcW w:w="1080" w:type="dxa"/>
            <w:vAlign w:val="bottom"/>
          </w:tcPr>
          <w:p>
            <w:pPr>
              <w:jc w:val="center"/>
              <w:spacing w:after="0"/>
              <w:rPr>
                <w:sz w:val="20"/>
                <w:szCs w:val="20"/>
                <w:color w:val="auto"/>
              </w:rPr>
            </w:pPr>
            <w:r>
              <w:rPr>
                <w:rFonts w:ascii="Arial" w:cs="Arial" w:eastAsia="Arial" w:hAnsi="Arial"/>
                <w:sz w:val="14"/>
                <w:szCs w:val="14"/>
                <w:color w:val="auto"/>
                <w:w w:val="85"/>
              </w:rPr>
              <w:t>June</w:t>
            </w:r>
          </w:p>
        </w:tc>
        <w:tc>
          <w:tcPr>
            <w:tcW w:w="960" w:type="dxa"/>
            <w:vAlign w:val="bottom"/>
          </w:tcPr>
          <w:p>
            <w:pPr>
              <w:ind w:left="380"/>
              <w:spacing w:after="0"/>
              <w:rPr>
                <w:sz w:val="20"/>
                <w:szCs w:val="20"/>
                <w:color w:val="auto"/>
              </w:rPr>
            </w:pPr>
            <w:r>
              <w:rPr>
                <w:rFonts w:ascii="Arial" w:cs="Arial" w:eastAsia="Arial" w:hAnsi="Arial"/>
                <w:sz w:val="14"/>
                <w:szCs w:val="14"/>
                <w:color w:val="auto"/>
              </w:rPr>
              <w:t>TBD</w:t>
            </w:r>
          </w:p>
        </w:tc>
        <w:tc>
          <w:tcPr>
            <w:tcW w:w="900" w:type="dxa"/>
            <w:vAlign w:val="bottom"/>
          </w:tcPr>
          <w:p>
            <w:pPr>
              <w:jc w:val="center"/>
              <w:ind w:left="229"/>
              <w:spacing w:after="0"/>
              <w:rPr>
                <w:sz w:val="20"/>
                <w:szCs w:val="20"/>
                <w:color w:val="auto"/>
              </w:rPr>
            </w:pPr>
            <w:r>
              <w:rPr>
                <w:rFonts w:ascii="Arial" w:cs="Arial" w:eastAsia="Arial" w:hAnsi="Arial"/>
                <w:sz w:val="14"/>
                <w:szCs w:val="14"/>
                <w:color w:val="auto"/>
                <w:w w:val="99"/>
              </w:rPr>
              <w:t>TBD</w:t>
            </w:r>
          </w:p>
        </w:tc>
      </w:tr>
      <w:tr>
        <w:trPr>
          <w:trHeight w:val="180"/>
        </w:trPr>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ind w:right="80" w:firstLine="35"/>
        <w:spacing w:after="0" w:line="229" w:lineRule="auto"/>
        <w:rPr>
          <w:sz w:val="20"/>
          <w:szCs w:val="20"/>
          <w:color w:val="auto"/>
        </w:rPr>
      </w:pPr>
      <w:r>
        <w:rPr>
          <w:rFonts w:ascii="Arial" w:cs="Arial" w:eastAsia="Arial" w:hAnsi="Arial"/>
          <w:sz w:val="13"/>
          <w:szCs w:val="13"/>
          <w:color w:val="auto"/>
        </w:rPr>
        <w:t>A final order was issued on April 5, 2023 approving a TEEEF revenue requirement of $39 million with rates effective April 15, 2023. On April 28, 2023 and May 1, 2023 certain intervenors filed</w:t>
      </w:r>
    </w:p>
    <w:p>
      <w:pPr>
        <w:spacing w:after="0" w:line="234" w:lineRule="auto"/>
        <w:rPr>
          <w:sz w:val="20"/>
          <w:szCs w:val="20"/>
          <w:color w:val="auto"/>
        </w:rPr>
      </w:pPr>
      <w:r>
        <w:rPr>
          <w:rFonts w:ascii="Arial" w:cs="Arial" w:eastAsia="Arial" w:hAnsi="Arial"/>
          <w:sz w:val="13"/>
          <w:szCs w:val="13"/>
          <w:color w:val="auto"/>
        </w:rPr>
        <w:t>motions for rehearing of the PUCT’s April 5, 2023 order. On May 25, 2023 the PUCT issued its</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2"/>
          <w:szCs w:val="12"/>
          <w:color w:val="auto"/>
        </w:rPr>
        <w:t>order on rehearing which clarified some of the findings, but did not change the approval of TEEEF cost recovery. On June 19, 2023 certain intervenors filed motions for rehearing of the May 25,</w:t>
      </w:r>
    </w:p>
    <w:p>
      <w:pPr>
        <w:spacing w:after="0" w:line="1" w:lineRule="exact"/>
        <w:rPr>
          <w:sz w:val="20"/>
          <w:szCs w:val="20"/>
          <w:color w:val="auto"/>
        </w:rPr>
      </w:pPr>
    </w:p>
    <w:p>
      <w:pPr>
        <w:ind w:right="160"/>
        <w:spacing w:after="0" w:line="289" w:lineRule="auto"/>
        <w:rPr>
          <w:sz w:val="20"/>
          <w:szCs w:val="20"/>
          <w:color w:val="auto"/>
        </w:rPr>
      </w:pPr>
      <w:r>
        <w:rPr>
          <w:rFonts w:ascii="Arial" w:cs="Arial" w:eastAsia="Arial" w:hAnsi="Arial"/>
          <w:sz w:val="12"/>
          <w:szCs w:val="12"/>
          <w:color w:val="auto"/>
        </w:rPr>
        <w:t>2023 order on rehearing. The PUCT is expected to consider these motions at its August 3, 2023 open meeting. See Note 6 to the Interim Condensed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-3810</wp:posOffset>
            </wp:positionV>
            <wp:extent cx="7134860" cy="4387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438785"/>
                    </a:xfrm>
                    <a:prstGeom prst="rect">
                      <a:avLst/>
                    </a:prstGeom>
                    <a:noFill/>
                  </pic:spPr>
                </pic:pic>
              </a:graphicData>
            </a:graphic>
          </wp:anchor>
        </w:drawing>
      </w:r>
    </w:p>
    <w:p>
      <w:pPr>
        <w:ind w:right="120"/>
        <w:spacing w:after="0" w:line="247" w:lineRule="auto"/>
        <w:rPr>
          <w:sz w:val="20"/>
          <w:szCs w:val="20"/>
          <w:color w:val="auto"/>
        </w:rPr>
      </w:pPr>
      <w:r>
        <w:rPr>
          <w:rFonts w:ascii="Arial" w:cs="Arial" w:eastAsia="Arial" w:hAnsi="Arial"/>
          <w:sz w:val="14"/>
          <w:szCs w:val="14"/>
          <w:color w:val="auto"/>
        </w:rPr>
        <w:t>The requested $53 million is comprised primarily of the following: 2024 Program costs of $38 million; a credit of $2 million related to the over-recovery of 2022 program cost; the 2022 Earned bonus of $16 million and 2024 projected evaluation, measurement and verification costs of $1 million.</w:t>
      </w:r>
    </w:p>
    <w:p>
      <w:pPr>
        <w:spacing w:after="0" w:line="200" w:lineRule="exact"/>
        <w:rPr>
          <w:sz w:val="20"/>
          <w:szCs w:val="20"/>
          <w:color w:val="auto"/>
        </w:rPr>
      </w:pPr>
    </w:p>
    <w:p>
      <w:pPr>
        <w:sectPr>
          <w:pgSz w:w="11900" w:h="16838" w:orient="portrait"/>
          <w:cols w:equalWidth="0" w:num="2">
            <w:col w:w="5320" w:space="260"/>
            <w:col w:w="5660"/>
          </w:cols>
          <w:pgMar w:left="320" w:top="127" w:right="339" w:bottom="1440" w:gutter="0" w:footer="0" w:header="0"/>
          <w:type w:val="continuous"/>
        </w:sect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120" w:type="dxa"/>
            <w:vAlign w:val="bottom"/>
          </w:tcPr>
          <w:p>
            <w:pPr>
              <w:jc w:val="center"/>
              <w:ind w:left="51"/>
              <w:spacing w:after="0"/>
              <w:rPr>
                <w:sz w:val="20"/>
                <w:szCs w:val="20"/>
                <w:color w:val="auto"/>
              </w:rPr>
            </w:pPr>
            <w:r>
              <w:rPr>
                <w:rFonts w:ascii="Arial" w:cs="Arial" w:eastAsia="Arial" w:hAnsi="Arial"/>
                <w:sz w:val="14"/>
                <w:szCs w:val="14"/>
                <w:b w:val="1"/>
                <w:bCs w:val="1"/>
                <w:color w:val="auto"/>
                <w:w w:val="92"/>
              </w:rPr>
              <w:t>Annual</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120" w:type="dxa"/>
            <w:vAlign w:val="bottom"/>
          </w:tcPr>
          <w:p>
            <w:pPr>
              <w:jc w:val="center"/>
              <w:ind w:left="71"/>
              <w:spacing w:after="0" w:line="137" w:lineRule="exact"/>
              <w:rPr>
                <w:sz w:val="20"/>
                <w:szCs w:val="20"/>
                <w:color w:val="auto"/>
              </w:rPr>
            </w:pPr>
            <w:r>
              <w:rPr>
                <w:rFonts w:ascii="Arial" w:cs="Arial" w:eastAsia="Arial" w:hAnsi="Arial"/>
                <w:sz w:val="14"/>
                <w:szCs w:val="14"/>
                <w:b w:val="1"/>
                <w:bCs w:val="1"/>
                <w:color w:val="auto"/>
                <w:w w:val="87"/>
              </w:rPr>
              <w:t>Increase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8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6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91"/>
              </w:rPr>
              <w:t>Mechanism</w:t>
            </w:r>
          </w:p>
        </w:tc>
        <w:tc>
          <w:tcPr>
            <w:tcW w:w="1120" w:type="dxa"/>
            <w:vAlign w:val="bottom"/>
          </w:tcPr>
          <w:p>
            <w:pPr>
              <w:jc w:val="center"/>
              <w:ind w:left="51"/>
              <w:spacing w:after="0" w:line="142"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100" w:type="dxa"/>
            <w:vAlign w:val="bottom"/>
            <w:vMerge w:val="continue"/>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00" w:type="dxa"/>
            <w:vAlign w:val="bottom"/>
            <w:vMerge w:val="continue"/>
          </w:tcPr>
          <w:p>
            <w:pPr>
              <w:spacing w:after="0"/>
              <w:rPr>
                <w:sz w:val="12"/>
                <w:szCs w:val="12"/>
                <w:color w:val="auto"/>
              </w:rPr>
            </w:pPr>
          </w:p>
        </w:tc>
        <w:tc>
          <w:tcPr>
            <w:tcW w:w="578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63"/>
        </w:trPr>
        <w:tc>
          <w:tcPr>
            <w:tcW w:w="1260" w:type="dxa"/>
            <w:vAlign w:val="bottom"/>
            <w:vMerge w:val="continue"/>
          </w:tcPr>
          <w:p>
            <w:pPr>
              <w:spacing w:after="0"/>
              <w:rPr>
                <w:sz w:val="14"/>
                <w:szCs w:val="14"/>
                <w:color w:val="auto"/>
              </w:rPr>
            </w:pPr>
          </w:p>
        </w:tc>
        <w:tc>
          <w:tcPr>
            <w:tcW w:w="1120" w:type="dxa"/>
            <w:vAlign w:val="bottom"/>
          </w:tcPr>
          <w:p>
            <w:pPr>
              <w:jc w:val="center"/>
              <w:ind w:left="71"/>
              <w:spacing w:after="0"/>
              <w:rPr>
                <w:sz w:val="20"/>
                <w:szCs w:val="20"/>
                <w:color w:val="auto"/>
              </w:rPr>
            </w:pPr>
            <w:r>
              <w:rPr>
                <w:rFonts w:ascii="Arial" w:cs="Arial" w:eastAsia="Arial" w:hAnsi="Arial"/>
                <w:sz w:val="11"/>
                <w:szCs w:val="11"/>
                <w:b w:val="1"/>
                <w:bCs w:val="1"/>
                <w:color w:val="auto"/>
                <w:w w:val="87"/>
              </w:rPr>
              <w:t>(in millions)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spacing w:after="0"/>
              <w:rPr>
                <w:sz w:val="16"/>
                <w:szCs w:val="16"/>
                <w:color w:val="auto"/>
              </w:rPr>
            </w:pPr>
          </w:p>
        </w:tc>
        <w:tc>
          <w:tcPr>
            <w:tcW w:w="9980" w:type="dxa"/>
            <w:vAlign w:val="bottom"/>
            <w:tcBorders>
              <w:bottom w:val="single" w:sz="8" w:color="auto"/>
            </w:tcBorders>
            <w:gridSpan w:val="5"/>
          </w:tcPr>
          <w:p>
            <w:pPr>
              <w:jc w:val="center"/>
              <w:ind w:right="1169"/>
              <w:spacing w:after="0"/>
              <w:rPr>
                <w:sz w:val="20"/>
                <w:szCs w:val="20"/>
                <w:color w:val="auto"/>
              </w:rPr>
            </w:pPr>
            <w:r>
              <w:rPr>
                <w:rFonts w:ascii="Arial" w:cs="Arial" w:eastAsia="Arial" w:hAnsi="Arial"/>
                <w:sz w:val="14"/>
                <w:szCs w:val="14"/>
                <w:b w:val="1"/>
                <w:bCs w:val="1"/>
                <w:color w:val="auto"/>
                <w:w w:val="91"/>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40"/>
        </w:trPr>
        <w:tc>
          <w:tcPr>
            <w:tcW w:w="126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93"/>
              </w:rPr>
              <w:t>GRIP</w:t>
            </w:r>
          </w:p>
        </w:tc>
        <w:tc>
          <w:tcPr>
            <w:tcW w:w="1120" w:type="dxa"/>
            <w:vAlign w:val="bottom"/>
            <w:shd w:val="clear" w:color="auto" w:fill="CCEEFF"/>
          </w:tcPr>
          <w:p>
            <w:pPr>
              <w:jc w:val="center"/>
              <w:ind w:left="71"/>
              <w:spacing w:after="0" w:line="140" w:lineRule="exact"/>
              <w:rPr>
                <w:sz w:val="20"/>
                <w:szCs w:val="20"/>
                <w:color w:val="auto"/>
              </w:rPr>
            </w:pPr>
            <w:r>
              <w:rPr>
                <w:rFonts w:ascii="Arial" w:cs="Arial" w:eastAsia="Arial" w:hAnsi="Arial"/>
                <w:sz w:val="14"/>
                <w:szCs w:val="14"/>
                <w:color w:val="auto"/>
                <w:w w:val="89"/>
              </w:rPr>
              <w:t>60</w:t>
            </w:r>
          </w:p>
        </w:tc>
        <w:tc>
          <w:tcPr>
            <w:tcW w:w="110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91"/>
              </w:rPr>
              <w:t>March 2023</w:t>
            </w:r>
          </w:p>
        </w:tc>
        <w:tc>
          <w:tcPr>
            <w:tcW w:w="108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85"/>
              </w:rPr>
              <w:t>June</w:t>
            </w:r>
          </w:p>
        </w:tc>
        <w:tc>
          <w:tcPr>
            <w:tcW w:w="90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85"/>
              </w:rPr>
              <w:t>June</w:t>
            </w:r>
          </w:p>
        </w:tc>
        <w:tc>
          <w:tcPr>
            <w:tcW w:w="578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Based on net change in invested capital for calendar year 2022 of $390 million.</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5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760" w:type="dxa"/>
            <w:vAlign w:val="bottom"/>
            <w:tcBorders>
              <w:bottom w:val="single" w:sz="8" w:color="auto"/>
            </w:tcBorders>
            <w:gridSpan w:val="3"/>
          </w:tcPr>
          <w:p>
            <w:pPr>
              <w:jc w:val="center"/>
              <w:ind w:right="3389"/>
              <w:spacing w:after="0"/>
              <w:rPr>
                <w:sz w:val="20"/>
                <w:szCs w:val="20"/>
                <w:color w:val="auto"/>
              </w:rPr>
            </w:pPr>
            <w:r>
              <w:rPr>
                <w:rFonts w:ascii="Arial" w:cs="Arial" w:eastAsia="Arial" w:hAnsi="Arial"/>
                <w:sz w:val="14"/>
                <w:szCs w:val="14"/>
                <w:b w:val="1"/>
                <w:bCs w:val="1"/>
                <w:color w:val="auto"/>
                <w:w w:val="94"/>
              </w:rPr>
              <w:t>CenterPoint Energy and CERC - Minnesota (MPUC)</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CIP Financial</w:t>
            </w:r>
          </w:p>
        </w:tc>
        <w:tc>
          <w:tcPr>
            <w:tcW w:w="1120" w:type="dxa"/>
            <w:vAlign w:val="bottom"/>
            <w:shd w:val="clear" w:color="auto" w:fill="CCEEFF"/>
          </w:tcPr>
          <w:p>
            <w:pPr>
              <w:jc w:val="center"/>
              <w:ind w:left="51"/>
              <w:spacing w:after="0" w:line="135" w:lineRule="exact"/>
              <w:rPr>
                <w:sz w:val="20"/>
                <w:szCs w:val="20"/>
                <w:color w:val="auto"/>
              </w:rPr>
            </w:pPr>
            <w:r>
              <w:rPr>
                <w:rFonts w:ascii="Arial" w:cs="Arial" w:eastAsia="Arial" w:hAnsi="Arial"/>
                <w:sz w:val="14"/>
                <w:szCs w:val="14"/>
                <w:color w:val="auto"/>
              </w:rPr>
              <w:t>8</w:t>
            </w:r>
          </w:p>
        </w:tc>
        <w:tc>
          <w:tcPr>
            <w:tcW w:w="11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8"/>
              </w:rPr>
              <w:t>May</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9"/>
              </w:rPr>
              <w:t>TBD</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9"/>
              </w:rPr>
              <w:t>TBD</w:t>
            </w:r>
          </w:p>
        </w:tc>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CIP Financial Incentive based on 2022 CIP program activity.</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 xml:space="preserve">Incentive </w:t>
            </w:r>
            <w:r>
              <w:rPr>
                <w:rFonts w:ascii="Arial" w:cs="Arial" w:eastAsia="Arial" w:hAnsi="Arial"/>
                <w:sz w:val="9"/>
                <w:szCs w:val="9"/>
                <w:color w:val="auto"/>
                <w:w w:val="95"/>
              </w:rPr>
              <w:t>(1)</w:t>
            </w:r>
          </w:p>
        </w:tc>
        <w:tc>
          <w:tcPr>
            <w:tcW w:w="1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10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760" w:type="dxa"/>
            <w:vAlign w:val="bottom"/>
            <w:tcBorders>
              <w:bottom w:val="single" w:sz="8" w:color="auto"/>
            </w:tcBorders>
            <w:gridSpan w:val="3"/>
          </w:tcPr>
          <w:p>
            <w:pPr>
              <w:jc w:val="center"/>
              <w:ind w:right="3389"/>
              <w:spacing w:after="0"/>
              <w:rPr>
                <w:sz w:val="20"/>
                <w:szCs w:val="20"/>
                <w:color w:val="auto"/>
              </w:rPr>
            </w:pPr>
            <w:r>
              <w:rPr>
                <w:rFonts w:ascii="Arial" w:cs="Arial" w:eastAsia="Arial" w:hAnsi="Arial"/>
                <w:sz w:val="14"/>
                <w:szCs w:val="14"/>
                <w:b w:val="1"/>
                <w:bCs w:val="1"/>
                <w:color w:val="auto"/>
                <w:w w:val="92"/>
              </w:rPr>
              <w:t>CenterPoint Energy and CERC - Mississippi</w:t>
            </w:r>
          </w:p>
        </w:tc>
        <w:tc>
          <w:tcPr>
            <w:tcW w:w="0" w:type="dxa"/>
            <w:vAlign w:val="bottom"/>
          </w:tcPr>
          <w:p>
            <w:pPr>
              <w:spacing w:after="0"/>
              <w:rPr>
                <w:sz w:val="1"/>
                <w:szCs w:val="1"/>
                <w:color w:val="auto"/>
              </w:rPr>
            </w:pPr>
          </w:p>
        </w:tc>
      </w:tr>
      <w:tr>
        <w:trPr>
          <w:trHeight w:val="147"/>
        </w:trPr>
        <w:tc>
          <w:tcPr>
            <w:tcW w:w="1260" w:type="dxa"/>
            <w:vAlign w:val="bottom"/>
            <w:shd w:val="clear" w:color="auto" w:fill="CCEEFF"/>
          </w:tcPr>
          <w:p>
            <w:pPr>
              <w:jc w:val="center"/>
              <w:spacing w:after="0" w:line="147" w:lineRule="exact"/>
              <w:rPr>
                <w:sz w:val="20"/>
                <w:szCs w:val="20"/>
                <w:color w:val="auto"/>
              </w:rPr>
            </w:pPr>
            <w:r>
              <w:rPr>
                <w:rFonts w:ascii="Arial" w:cs="Arial" w:eastAsia="Arial" w:hAnsi="Arial"/>
                <w:sz w:val="17"/>
                <w:szCs w:val="17"/>
                <w:color w:val="auto"/>
                <w:vertAlign w:val="superscript"/>
              </w:rPr>
              <w:t>RRA</w:t>
            </w:r>
            <w:r>
              <w:rPr>
                <w:rFonts w:ascii="Arial" w:cs="Arial" w:eastAsia="Arial" w:hAnsi="Arial"/>
                <w:sz w:val="7"/>
                <w:szCs w:val="7"/>
                <w:color w:val="auto"/>
              </w:rPr>
              <w:t xml:space="preserve"> (1)</w:t>
            </w:r>
          </w:p>
        </w:tc>
        <w:tc>
          <w:tcPr>
            <w:tcW w:w="1120" w:type="dxa"/>
            <w:vAlign w:val="bottom"/>
            <w:shd w:val="clear" w:color="auto" w:fill="CCEEFF"/>
          </w:tcPr>
          <w:p>
            <w:pPr>
              <w:jc w:val="right"/>
              <w:ind w:right="311"/>
              <w:spacing w:after="0" w:line="147" w:lineRule="exact"/>
              <w:rPr>
                <w:sz w:val="20"/>
                <w:szCs w:val="20"/>
                <w:color w:val="auto"/>
              </w:rPr>
            </w:pPr>
            <w:r>
              <w:rPr>
                <w:rFonts w:ascii="Arial" w:cs="Arial" w:eastAsia="Arial" w:hAnsi="Arial"/>
                <w:sz w:val="14"/>
                <w:szCs w:val="14"/>
                <w:color w:val="auto"/>
              </w:rPr>
              <w:t>8</w:t>
            </w:r>
          </w:p>
        </w:tc>
        <w:tc>
          <w:tcPr>
            <w:tcW w:w="11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8"/>
              </w:rPr>
              <w:t>May</w:t>
            </w:r>
          </w:p>
        </w:tc>
        <w:tc>
          <w:tcPr>
            <w:tcW w:w="10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9"/>
              </w:rPr>
              <w:t>TBD</w:t>
            </w:r>
          </w:p>
        </w:tc>
        <w:tc>
          <w:tcPr>
            <w:tcW w:w="9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9"/>
              </w:rPr>
              <w:t>TBD</w:t>
            </w:r>
          </w:p>
        </w:tc>
        <w:tc>
          <w:tcPr>
            <w:tcW w:w="578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Based ROE of 10.098% with 100 basis point (+/-) earnings band. Revenue increase of</w:t>
            </w:r>
          </w:p>
        </w:tc>
        <w:tc>
          <w:tcPr>
            <w:tcW w:w="0" w:type="dxa"/>
            <w:vAlign w:val="bottom"/>
          </w:tcPr>
          <w:p>
            <w:pPr>
              <w:spacing w:after="0"/>
              <w:rPr>
                <w:sz w:val="1"/>
                <w:szCs w:val="1"/>
                <w:color w:val="auto"/>
              </w:rPr>
            </w:pPr>
          </w:p>
        </w:tc>
      </w:tr>
      <w:tr>
        <w:trPr>
          <w:trHeight w:val="134"/>
        </w:trPr>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89"/>
              </w:rPr>
              <w:t>2023</w:t>
            </w: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780" w:type="dxa"/>
            <w:vAlign w:val="bottom"/>
            <w:shd w:val="clear" w:color="auto" w:fill="CCEEFF"/>
          </w:tcPr>
          <w:p>
            <w:pPr>
              <w:ind w:left="120"/>
              <w:spacing w:after="0" w:line="134" w:lineRule="exact"/>
              <w:rPr>
                <w:sz w:val="20"/>
                <w:szCs w:val="20"/>
                <w:color w:val="auto"/>
              </w:rPr>
            </w:pPr>
            <w:r>
              <w:rPr>
                <w:rFonts w:ascii="Arial" w:cs="Arial" w:eastAsia="Arial" w:hAnsi="Arial"/>
                <w:sz w:val="14"/>
                <w:szCs w:val="14"/>
                <w:color w:val="auto"/>
                <w:w w:val="92"/>
              </w:rPr>
              <w:t>approximately $8 million based on 2022 test year adjusted earned ROE of 5.66%. Interim increase</w:t>
            </w:r>
          </w:p>
        </w:tc>
        <w:tc>
          <w:tcPr>
            <w:tcW w:w="0" w:type="dxa"/>
            <w:vAlign w:val="bottom"/>
          </w:tcPr>
          <w:p>
            <w:pPr>
              <w:spacing w:after="0"/>
              <w:rPr>
                <w:sz w:val="1"/>
                <w:szCs w:val="1"/>
                <w:color w:val="auto"/>
              </w:rPr>
            </w:pPr>
          </w:p>
        </w:tc>
      </w:tr>
      <w:tr>
        <w:trPr>
          <w:trHeight w:val="191"/>
        </w:trPr>
        <w:tc>
          <w:tcPr>
            <w:tcW w:w="1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approximately $1 million implemented May 31, 2023.</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760" w:type="dxa"/>
            <w:vAlign w:val="bottom"/>
            <w:tcBorders>
              <w:bottom w:val="single" w:sz="8" w:color="auto"/>
            </w:tcBorders>
            <w:gridSpan w:val="3"/>
          </w:tcPr>
          <w:p>
            <w:pPr>
              <w:jc w:val="center"/>
              <w:ind w:right="3409"/>
              <w:spacing w:after="0"/>
              <w:rPr>
                <w:sz w:val="20"/>
                <w:szCs w:val="20"/>
                <w:color w:val="auto"/>
              </w:rPr>
            </w:pPr>
            <w:r>
              <w:rPr>
                <w:rFonts w:ascii="Arial" w:cs="Arial" w:eastAsia="Arial" w:hAnsi="Arial"/>
                <w:sz w:val="14"/>
                <w:szCs w:val="14"/>
                <w:b w:val="1"/>
                <w:bCs w:val="1"/>
                <w:color w:val="auto"/>
                <w:w w:val="94"/>
              </w:rPr>
              <w:t>CenterPoint Energy and CERC - Louisiana (LPSC)</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83"/>
              </w:rPr>
              <w:t>RSP</w:t>
            </w:r>
          </w:p>
        </w:tc>
        <w:tc>
          <w:tcPr>
            <w:tcW w:w="1120" w:type="dxa"/>
            <w:vAlign w:val="bottom"/>
            <w:shd w:val="clear" w:color="auto" w:fill="CCEEFF"/>
          </w:tcPr>
          <w:p>
            <w:pPr>
              <w:jc w:val="center"/>
              <w:ind w:left="51"/>
              <w:spacing w:after="0" w:line="146" w:lineRule="exact"/>
              <w:rPr>
                <w:sz w:val="20"/>
                <w:szCs w:val="20"/>
                <w:color w:val="auto"/>
              </w:rPr>
            </w:pPr>
            <w:r>
              <w:rPr>
                <w:rFonts w:ascii="Arial" w:cs="Arial" w:eastAsia="Arial" w:hAnsi="Arial"/>
                <w:sz w:val="14"/>
                <w:szCs w:val="14"/>
                <w:color w:val="auto"/>
              </w:rPr>
              <w:t>6</w:t>
            </w:r>
          </w:p>
        </w:tc>
        <w:tc>
          <w:tcPr>
            <w:tcW w:w="110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88"/>
              </w:rPr>
              <w:t>September 2022</w:t>
            </w:r>
          </w:p>
        </w:tc>
        <w:tc>
          <w:tcPr>
            <w:tcW w:w="108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8"/>
              </w:rPr>
              <w:t>May</w:t>
            </w:r>
          </w:p>
        </w:tc>
        <w:tc>
          <w:tcPr>
            <w:tcW w:w="90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8"/>
              </w:rPr>
              <w:t>April 2023</w:t>
            </w:r>
          </w:p>
        </w:tc>
        <w:tc>
          <w:tcPr>
            <w:tcW w:w="57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w w:val="92"/>
              </w:rPr>
              <w:t>Based on ROE of 9.95% with 50 basis point (+/-) earnings band. The North Louisiana increase, net</w:t>
            </w: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900" w:type="dxa"/>
            <w:vAlign w:val="bottom"/>
            <w:shd w:val="clear" w:color="auto" w:fill="CCEEFF"/>
          </w:tcPr>
          <w:p>
            <w:pPr>
              <w:spacing w:after="0"/>
              <w:rPr>
                <w:sz w:val="15"/>
                <w:szCs w:val="15"/>
                <w:color w:val="auto"/>
              </w:rPr>
            </w:pPr>
          </w:p>
        </w:tc>
        <w:tc>
          <w:tcPr>
            <w:tcW w:w="57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3"/>
              </w:rPr>
              <w:t>of TCJA effects considered outside of the earnings band, is $3 million based on a test year ended</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7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June 2022 and adjusted ROE of 7.05%. The South Louisiana increase, net of TCJA effects</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7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93"/>
              </w:rPr>
              <w:t>considered outside of the earnings band, is $5 million based on a test year ended June 2022 and</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7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93"/>
              </w:rPr>
              <w:t>adjusted ROE of 4.19%. The TCJA refund impact to North Louisiana and South Louisiana was $1</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w w:val="97"/>
              </w:rPr>
              <w:t>million and $1 million, respectively. North Louisiana and South Louisiana also seek to recover</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7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96"/>
              </w:rPr>
              <w:t>regulatory assets due to COVID-19 bad debt expenses in the amounts of $0.7 million and $0.3</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7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92"/>
              </w:rPr>
              <w:t>million, respectively. Interim rates implemented on December 28, 2022, subject to refund. On April</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7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94"/>
              </w:rPr>
              <w:t>5, 2023 the LPSC issued an order approving a joint settlement for $2.7 million in North Louisiana</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7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and $4.6 million in South Louisiana in addition to the full impacts of TCJA and COVID-19</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recoveries. Implementation occurred in May 2023 upon approval of compliance tariff.</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760" w:type="dxa"/>
            <w:vAlign w:val="bottom"/>
            <w:tcBorders>
              <w:bottom w:val="single" w:sz="8" w:color="auto"/>
            </w:tcBorders>
            <w:gridSpan w:val="3"/>
          </w:tcPr>
          <w:p>
            <w:pPr>
              <w:jc w:val="center"/>
              <w:ind w:right="3409"/>
              <w:spacing w:after="0"/>
              <w:rPr>
                <w:sz w:val="20"/>
                <w:szCs w:val="20"/>
                <w:color w:val="auto"/>
              </w:rPr>
            </w:pPr>
            <w:r>
              <w:rPr>
                <w:rFonts w:ascii="Arial" w:cs="Arial" w:eastAsia="Arial" w:hAnsi="Arial"/>
                <w:sz w:val="14"/>
                <w:szCs w:val="14"/>
                <w:b w:val="1"/>
                <w:bCs w:val="1"/>
                <w:color w:val="auto"/>
                <w:w w:val="94"/>
              </w:rPr>
              <w:t>CenterPoint Energy - Indiana South - Gas (IURC)</w:t>
            </w: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 xml:space="preserve">CSIA </w:t>
            </w:r>
            <w:r>
              <w:rPr>
                <w:rFonts w:ascii="Arial" w:cs="Arial" w:eastAsia="Arial" w:hAnsi="Arial"/>
                <w:sz w:val="9"/>
                <w:szCs w:val="9"/>
                <w:color w:val="auto"/>
                <w:w w:val="92"/>
              </w:rPr>
              <w:t>(1)</w:t>
            </w:r>
          </w:p>
        </w:tc>
        <w:tc>
          <w:tcPr>
            <w:tcW w:w="1120" w:type="dxa"/>
            <w:vAlign w:val="bottom"/>
            <w:shd w:val="clear" w:color="auto" w:fill="CCEEFF"/>
          </w:tcPr>
          <w:p>
            <w:pPr>
              <w:jc w:val="center"/>
              <w:ind w:left="51"/>
              <w:spacing w:after="0" w:line="139" w:lineRule="exact"/>
              <w:rPr>
                <w:sz w:val="20"/>
                <w:szCs w:val="20"/>
                <w:color w:val="auto"/>
              </w:rPr>
            </w:pPr>
            <w:r>
              <w:rPr>
                <w:rFonts w:ascii="Arial" w:cs="Arial" w:eastAsia="Arial" w:hAnsi="Arial"/>
                <w:sz w:val="14"/>
                <w:szCs w:val="14"/>
                <w:color w:val="auto"/>
              </w:rPr>
              <w:t>3</w:t>
            </w:r>
          </w:p>
        </w:tc>
        <w:tc>
          <w:tcPr>
            <w:tcW w:w="11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April</w:t>
            </w:r>
          </w:p>
        </w:tc>
        <w:tc>
          <w:tcPr>
            <w:tcW w:w="10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July</w:t>
            </w:r>
          </w:p>
        </w:tc>
        <w:tc>
          <w:tcPr>
            <w:tcW w:w="9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July</w:t>
            </w:r>
          </w:p>
        </w:tc>
        <w:tc>
          <w:tcPr>
            <w:tcW w:w="578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3"/>
              </w:rPr>
              <w:t>Requested an increase of $33 million to rate base, which reflects approximately $3 million annual</w:t>
            </w:r>
          </w:p>
        </w:tc>
        <w:tc>
          <w:tcPr>
            <w:tcW w:w="0" w:type="dxa"/>
            <w:vAlign w:val="bottom"/>
          </w:tcPr>
          <w:p>
            <w:pPr>
              <w:spacing w:after="0"/>
              <w:rPr>
                <w:sz w:val="1"/>
                <w:szCs w:val="1"/>
                <w:color w:val="auto"/>
              </w:rPr>
            </w:pPr>
          </w:p>
        </w:tc>
      </w:tr>
      <w:tr>
        <w:trPr>
          <w:trHeight w:val="134"/>
        </w:trPr>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89"/>
              </w:rPr>
              <w:t>2023</w:t>
            </w:r>
          </w:p>
        </w:tc>
        <w:tc>
          <w:tcPr>
            <w:tcW w:w="108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89"/>
              </w:rPr>
              <w:t>2023</w:t>
            </w:r>
          </w:p>
        </w:tc>
        <w:tc>
          <w:tcPr>
            <w:tcW w:w="90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89"/>
              </w:rPr>
              <w:t>2023</w:t>
            </w:r>
          </w:p>
        </w:tc>
        <w:tc>
          <w:tcPr>
            <w:tcW w:w="5780" w:type="dxa"/>
            <w:vAlign w:val="bottom"/>
            <w:shd w:val="clear" w:color="auto" w:fill="CCEEFF"/>
          </w:tcPr>
          <w:p>
            <w:pPr>
              <w:ind w:left="120"/>
              <w:spacing w:after="0" w:line="134" w:lineRule="exact"/>
              <w:rPr>
                <w:sz w:val="20"/>
                <w:szCs w:val="20"/>
                <w:color w:val="auto"/>
              </w:rPr>
            </w:pPr>
            <w:r>
              <w:rPr>
                <w:rFonts w:ascii="Arial" w:cs="Arial" w:eastAsia="Arial" w:hAnsi="Arial"/>
                <w:sz w:val="14"/>
                <w:szCs w:val="14"/>
                <w:color w:val="auto"/>
                <w:w w:val="90"/>
              </w:rPr>
              <w:t>increase in current revenues. 80% of revenue requirement is included in requested rate increase and</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w w:val="94"/>
              </w:rPr>
              <w:t>20% is deferred until the next rate case. The mechanism also includes a change in (over)/under-</w:t>
            </w: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6"/>
              </w:rPr>
              <w:t>recovery variance of $1 million annually. Also included are unrecovered deferred Operations &amp;</w:t>
            </w:r>
          </w:p>
        </w:tc>
        <w:tc>
          <w:tcPr>
            <w:tcW w:w="0" w:type="dxa"/>
            <w:vAlign w:val="bottom"/>
          </w:tcPr>
          <w:p>
            <w:pPr>
              <w:spacing w:after="0"/>
              <w:rPr>
                <w:sz w:val="1"/>
                <w:szCs w:val="1"/>
                <w:color w:val="auto"/>
              </w:rPr>
            </w:pPr>
          </w:p>
        </w:tc>
      </w:tr>
      <w:tr>
        <w:trPr>
          <w:trHeight w:val="141"/>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w w:val="93"/>
              </w:rPr>
              <w:t>Management expenses of $9 million. OUCC filed on June 2, 2023, recommending approval of the</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proposed CSIA rates and updated plan as filed, with non-cost recommendations. Rebuttal</w:t>
            </w: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8"/>
              </w:rPr>
              <w:t>testimony filed June 16, 2023. A hearing was held June 28, 2023. The IURC issued an Order</w:t>
            </w: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approving the CSIA on July 26, 2023.</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760" w:type="dxa"/>
            <w:vAlign w:val="bottom"/>
            <w:tcBorders>
              <w:bottom w:val="single" w:sz="8" w:color="auto"/>
            </w:tcBorders>
            <w:gridSpan w:val="3"/>
          </w:tcPr>
          <w:p>
            <w:pPr>
              <w:jc w:val="center"/>
              <w:ind w:right="3389"/>
              <w:spacing w:after="0"/>
              <w:rPr>
                <w:sz w:val="20"/>
                <w:szCs w:val="20"/>
                <w:color w:val="auto"/>
              </w:rPr>
            </w:pPr>
            <w:r>
              <w:rPr>
                <w:rFonts w:ascii="Arial" w:cs="Arial" w:eastAsia="Arial" w:hAnsi="Arial"/>
                <w:sz w:val="14"/>
                <w:szCs w:val="14"/>
                <w:b w:val="1"/>
                <w:bCs w:val="1"/>
                <w:color w:val="auto"/>
                <w:w w:val="95"/>
              </w:rPr>
              <w:t>CenterPoint Energy and CERC - Indiana North - Gas (IURC)</w:t>
            </w: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 xml:space="preserve">CSIA </w:t>
            </w:r>
            <w:r>
              <w:rPr>
                <w:rFonts w:ascii="Arial" w:cs="Arial" w:eastAsia="Arial" w:hAnsi="Arial"/>
                <w:sz w:val="9"/>
                <w:szCs w:val="9"/>
                <w:color w:val="auto"/>
                <w:w w:val="92"/>
              </w:rPr>
              <w:t>(1)</w:t>
            </w:r>
          </w:p>
        </w:tc>
        <w:tc>
          <w:tcPr>
            <w:tcW w:w="1120" w:type="dxa"/>
            <w:vAlign w:val="bottom"/>
            <w:shd w:val="clear" w:color="auto" w:fill="CCEEFF"/>
          </w:tcPr>
          <w:p>
            <w:pPr>
              <w:jc w:val="center"/>
              <w:ind w:left="51"/>
              <w:spacing w:after="0" w:line="139" w:lineRule="exact"/>
              <w:rPr>
                <w:sz w:val="20"/>
                <w:szCs w:val="20"/>
                <w:color w:val="auto"/>
              </w:rPr>
            </w:pPr>
            <w:r>
              <w:rPr>
                <w:rFonts w:ascii="Arial" w:cs="Arial" w:eastAsia="Arial" w:hAnsi="Arial"/>
                <w:sz w:val="14"/>
                <w:szCs w:val="14"/>
                <w:color w:val="auto"/>
              </w:rPr>
              <w:t>9</w:t>
            </w:r>
          </w:p>
        </w:tc>
        <w:tc>
          <w:tcPr>
            <w:tcW w:w="11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April</w:t>
            </w:r>
          </w:p>
        </w:tc>
        <w:tc>
          <w:tcPr>
            <w:tcW w:w="10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July</w:t>
            </w:r>
          </w:p>
        </w:tc>
        <w:tc>
          <w:tcPr>
            <w:tcW w:w="9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July</w:t>
            </w:r>
          </w:p>
        </w:tc>
        <w:tc>
          <w:tcPr>
            <w:tcW w:w="578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3"/>
              </w:rPr>
              <w:t>Requested an increase of $95 million to rate base, which reflects approximately $9 million annual</w:t>
            </w:r>
          </w:p>
        </w:tc>
        <w:tc>
          <w:tcPr>
            <w:tcW w:w="0" w:type="dxa"/>
            <w:vAlign w:val="bottom"/>
          </w:tcPr>
          <w:p>
            <w:pPr>
              <w:spacing w:after="0"/>
              <w:rPr>
                <w:sz w:val="1"/>
                <w:szCs w:val="1"/>
                <w:color w:val="auto"/>
              </w:rPr>
            </w:pPr>
          </w:p>
        </w:tc>
      </w:tr>
      <w:tr>
        <w:trPr>
          <w:trHeight w:val="134"/>
        </w:trPr>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89"/>
              </w:rPr>
              <w:t>2023</w:t>
            </w:r>
          </w:p>
        </w:tc>
        <w:tc>
          <w:tcPr>
            <w:tcW w:w="108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89"/>
              </w:rPr>
              <w:t>2023</w:t>
            </w:r>
          </w:p>
        </w:tc>
        <w:tc>
          <w:tcPr>
            <w:tcW w:w="90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89"/>
              </w:rPr>
              <w:t>2023</w:t>
            </w:r>
          </w:p>
        </w:tc>
        <w:tc>
          <w:tcPr>
            <w:tcW w:w="5780" w:type="dxa"/>
            <w:vAlign w:val="bottom"/>
            <w:shd w:val="clear" w:color="auto" w:fill="CCEEFF"/>
          </w:tcPr>
          <w:p>
            <w:pPr>
              <w:ind w:left="120"/>
              <w:spacing w:after="0" w:line="134" w:lineRule="exact"/>
              <w:rPr>
                <w:sz w:val="20"/>
                <w:szCs w:val="20"/>
                <w:color w:val="auto"/>
              </w:rPr>
            </w:pPr>
            <w:r>
              <w:rPr>
                <w:rFonts w:ascii="Arial" w:cs="Arial" w:eastAsia="Arial" w:hAnsi="Arial"/>
                <w:sz w:val="14"/>
                <w:szCs w:val="14"/>
                <w:color w:val="auto"/>
                <w:w w:val="90"/>
              </w:rPr>
              <w:t>increase in current revenues. 80% of revenue requirement is included in requested rate increase and</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w w:val="94"/>
              </w:rPr>
              <w:t>20% is deferred until the next rate case. The mechanism also includes a change in (over)/under-</w:t>
            </w: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4"/>
              </w:rPr>
              <w:t>recovery variance of $5 million annually. Also included are unrecovered deferred O&amp;M expenses</w:t>
            </w:r>
          </w:p>
        </w:tc>
        <w:tc>
          <w:tcPr>
            <w:tcW w:w="0" w:type="dxa"/>
            <w:vAlign w:val="bottom"/>
          </w:tcPr>
          <w:p>
            <w:pPr>
              <w:spacing w:after="0"/>
              <w:rPr>
                <w:sz w:val="1"/>
                <w:szCs w:val="1"/>
                <w:color w:val="auto"/>
              </w:rPr>
            </w:pPr>
          </w:p>
        </w:tc>
      </w:tr>
      <w:tr>
        <w:trPr>
          <w:trHeight w:val="141"/>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w w:val="94"/>
              </w:rPr>
              <w:t>of $20 million. OUCC filed on June 2, 2023, recommending approval of the proposed CSIA rates</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w w:val="94"/>
              </w:rPr>
              <w:t>and updated plan as filed, with non-cost recommendations. Rebuttal testimony was filed on June</w:t>
            </w: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5"/>
              </w:rPr>
              <w:t>16, 2023. A hearing was held June 28, 2023. The IURC issued an Order approving the CSIA on</w:t>
            </w: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July 26, 2023.</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760" w:type="dxa"/>
            <w:vAlign w:val="bottom"/>
            <w:gridSpan w:val="3"/>
          </w:tcPr>
          <w:p>
            <w:pPr>
              <w:jc w:val="center"/>
              <w:ind w:right="3389"/>
              <w:spacing w:after="0"/>
              <w:rPr>
                <w:sz w:val="20"/>
                <w:szCs w:val="20"/>
                <w:color w:val="auto"/>
              </w:rPr>
            </w:pPr>
            <w:r>
              <w:rPr>
                <w:rFonts w:ascii="Arial" w:cs="Arial" w:eastAsia="Arial" w:hAnsi="Arial"/>
                <w:sz w:val="14"/>
                <w:szCs w:val="14"/>
                <w:b w:val="1"/>
                <w:bCs w:val="1"/>
                <w:color w:val="auto"/>
                <w:w w:val="94"/>
              </w:rPr>
              <w:t>CenterPoint Energy and CERC - Ohio (PUCO)</w:t>
            </w:r>
          </w:p>
        </w:tc>
        <w:tc>
          <w:tcPr>
            <w:tcW w:w="0" w:type="dxa"/>
            <w:vAlign w:val="bottom"/>
          </w:tcPr>
          <w:p>
            <w:pPr>
              <w:spacing w:after="0"/>
              <w:rPr>
                <w:sz w:val="1"/>
                <w:szCs w:val="1"/>
                <w:color w:val="auto"/>
              </w:rPr>
            </w:pPr>
          </w:p>
        </w:tc>
      </w:tr>
      <w:tr>
        <w:trPr>
          <w:trHeight w:val="147"/>
        </w:trPr>
        <w:tc>
          <w:tcPr>
            <w:tcW w:w="1260" w:type="dxa"/>
            <w:vAlign w:val="bottom"/>
            <w:shd w:val="clear" w:color="auto" w:fill="CCEEFF"/>
          </w:tcPr>
          <w:p>
            <w:pPr>
              <w:jc w:val="center"/>
              <w:ind w:left="13"/>
              <w:spacing w:after="0" w:line="147" w:lineRule="exact"/>
              <w:rPr>
                <w:sz w:val="20"/>
                <w:szCs w:val="20"/>
                <w:color w:val="auto"/>
              </w:rPr>
            </w:pPr>
            <w:r>
              <w:rPr>
                <w:rFonts w:ascii="Arial" w:cs="Arial" w:eastAsia="Arial" w:hAnsi="Arial"/>
                <w:sz w:val="14"/>
                <w:szCs w:val="14"/>
                <w:color w:val="auto"/>
                <w:w w:val="92"/>
              </w:rPr>
              <w:t xml:space="preserve">DRR </w:t>
            </w:r>
            <w:r>
              <w:rPr>
                <w:rFonts w:ascii="Arial" w:cs="Arial" w:eastAsia="Arial" w:hAnsi="Arial"/>
                <w:sz w:val="9"/>
                <w:szCs w:val="9"/>
                <w:color w:val="auto"/>
                <w:w w:val="92"/>
              </w:rPr>
              <w:t>(1)</w:t>
            </w:r>
          </w:p>
        </w:tc>
        <w:tc>
          <w:tcPr>
            <w:tcW w:w="1120" w:type="dxa"/>
            <w:vAlign w:val="bottom"/>
            <w:shd w:val="clear" w:color="auto" w:fill="CCEEFF"/>
          </w:tcPr>
          <w:p>
            <w:pPr>
              <w:jc w:val="center"/>
              <w:ind w:left="51"/>
              <w:spacing w:after="0" w:line="147" w:lineRule="exact"/>
              <w:rPr>
                <w:sz w:val="20"/>
                <w:szCs w:val="20"/>
                <w:color w:val="auto"/>
              </w:rPr>
            </w:pPr>
            <w:r>
              <w:rPr>
                <w:rFonts w:ascii="Arial" w:cs="Arial" w:eastAsia="Arial" w:hAnsi="Arial"/>
                <w:sz w:val="14"/>
                <w:szCs w:val="14"/>
                <w:color w:val="auto"/>
              </w:rPr>
              <w:t>6</w:t>
            </w:r>
          </w:p>
        </w:tc>
        <w:tc>
          <w:tcPr>
            <w:tcW w:w="11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8"/>
              </w:rPr>
              <w:t>May</w:t>
            </w:r>
          </w:p>
        </w:tc>
        <w:tc>
          <w:tcPr>
            <w:tcW w:w="10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9"/>
              </w:rPr>
              <w:t>TBD</w:t>
            </w:r>
          </w:p>
        </w:tc>
        <w:tc>
          <w:tcPr>
            <w:tcW w:w="9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9"/>
              </w:rPr>
              <w:t>TBD</w:t>
            </w:r>
          </w:p>
        </w:tc>
        <w:tc>
          <w:tcPr>
            <w:tcW w:w="578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w w:val="94"/>
              </w:rPr>
              <w:t>Requested an increase of $46 million to rate base for investments made in 2022, which reflects a</w:t>
            </w:r>
          </w:p>
        </w:tc>
        <w:tc>
          <w:tcPr>
            <w:tcW w:w="0" w:type="dxa"/>
            <w:vAlign w:val="bottom"/>
          </w:tcPr>
          <w:p>
            <w:pPr>
              <w:spacing w:after="0"/>
              <w:rPr>
                <w:sz w:val="1"/>
                <w:szCs w:val="1"/>
                <w:color w:val="auto"/>
              </w:rPr>
            </w:pPr>
          </w:p>
        </w:tc>
      </w:tr>
      <w:tr>
        <w:trPr>
          <w:trHeight w:val="134"/>
        </w:trPr>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89"/>
              </w:rPr>
              <w:t>2023</w:t>
            </w: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780" w:type="dxa"/>
            <w:vAlign w:val="bottom"/>
            <w:shd w:val="clear" w:color="auto" w:fill="CCEEFF"/>
          </w:tcPr>
          <w:p>
            <w:pPr>
              <w:ind w:left="120"/>
              <w:spacing w:after="0" w:line="134" w:lineRule="exact"/>
              <w:rPr>
                <w:sz w:val="20"/>
                <w:szCs w:val="20"/>
                <w:color w:val="auto"/>
              </w:rPr>
            </w:pPr>
            <w:r>
              <w:rPr>
                <w:rFonts w:ascii="Arial" w:cs="Arial" w:eastAsia="Arial" w:hAnsi="Arial"/>
                <w:sz w:val="14"/>
                <w:szCs w:val="14"/>
                <w:color w:val="auto"/>
                <w:w w:val="92"/>
              </w:rPr>
              <w:t>$6 million annual increase in current revenues. A change in (over)/under-recovery variance of $0.3</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w w:val="95"/>
              </w:rPr>
              <w:t>million annually is also included in rates. PUCO staff review and recommendation filed June 29,</w:t>
            </w: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7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3"/>
              </w:rPr>
              <w:t>2023 recommending approval as proposed. VEDO statement of issues resolved in case filed July</w:t>
            </w: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14, 2023.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140" w:type="dxa"/>
            <w:vAlign w:val="bottom"/>
          </w:tcPr>
          <w:p>
            <w:pPr>
              <w:jc w:val="center"/>
              <w:ind w:left="51"/>
              <w:spacing w:after="0"/>
              <w:rPr>
                <w:sz w:val="20"/>
                <w:szCs w:val="20"/>
                <w:color w:val="auto"/>
              </w:rPr>
            </w:pPr>
            <w:r>
              <w:rPr>
                <w:rFonts w:ascii="Arial" w:cs="Arial" w:eastAsia="Arial" w:hAnsi="Arial"/>
                <w:sz w:val="14"/>
                <w:szCs w:val="14"/>
                <w:b w:val="1"/>
                <w:bCs w:val="1"/>
                <w:color w:val="auto"/>
                <w:w w:val="96"/>
              </w:rPr>
              <w:t>Annual</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140" w:type="dxa"/>
            <w:vAlign w:val="bottom"/>
          </w:tcPr>
          <w:p>
            <w:pPr>
              <w:jc w:val="center"/>
              <w:ind w:left="51"/>
              <w:spacing w:after="0" w:line="137" w:lineRule="exact"/>
              <w:rPr>
                <w:sz w:val="20"/>
                <w:szCs w:val="20"/>
                <w:color w:val="auto"/>
              </w:rPr>
            </w:pPr>
            <w:r>
              <w:rPr>
                <w:rFonts w:ascii="Arial" w:cs="Arial" w:eastAsia="Arial" w:hAnsi="Arial"/>
                <w:sz w:val="14"/>
                <w:szCs w:val="14"/>
                <w:b w:val="1"/>
                <w:bCs w:val="1"/>
                <w:color w:val="auto"/>
                <w:w w:val="87"/>
              </w:rPr>
              <w:t>Increase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1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6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1"/>
              </w:rPr>
              <w:t>Mechanism</w:t>
            </w:r>
          </w:p>
        </w:tc>
        <w:tc>
          <w:tcPr>
            <w:tcW w:w="114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60" w:type="dxa"/>
            <w:vAlign w:val="bottom"/>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860" w:type="dxa"/>
            <w:vAlign w:val="bottom"/>
            <w:vMerge w:val="continue"/>
          </w:tcPr>
          <w:p>
            <w:pPr>
              <w:spacing w:after="0"/>
              <w:rPr>
                <w:sz w:val="12"/>
                <w:szCs w:val="12"/>
                <w:color w:val="auto"/>
              </w:rPr>
            </w:pPr>
          </w:p>
        </w:tc>
        <w:tc>
          <w:tcPr>
            <w:tcW w:w="580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63"/>
        </w:trPr>
        <w:tc>
          <w:tcPr>
            <w:tcW w:w="1260" w:type="dxa"/>
            <w:vAlign w:val="bottom"/>
            <w:vMerge w:val="continue"/>
          </w:tcPr>
          <w:p>
            <w:pPr>
              <w:spacing w:after="0"/>
              <w:rPr>
                <w:sz w:val="14"/>
                <w:szCs w:val="14"/>
                <w:color w:val="auto"/>
              </w:rPr>
            </w:pPr>
          </w:p>
        </w:tc>
        <w:tc>
          <w:tcPr>
            <w:tcW w:w="1140" w:type="dxa"/>
            <w:vAlign w:val="bottom"/>
          </w:tcPr>
          <w:p>
            <w:pPr>
              <w:jc w:val="center"/>
              <w:ind w:left="51"/>
              <w:spacing w:after="0"/>
              <w:rPr>
                <w:sz w:val="20"/>
                <w:szCs w:val="20"/>
                <w:color w:val="auto"/>
              </w:rPr>
            </w:pPr>
            <w:r>
              <w:rPr>
                <w:rFonts w:ascii="Arial" w:cs="Arial" w:eastAsia="Arial" w:hAnsi="Arial"/>
                <w:sz w:val="11"/>
                <w:szCs w:val="11"/>
                <w:b w:val="1"/>
                <w:bCs w:val="1"/>
                <w:color w:val="auto"/>
                <w:w w:val="87"/>
              </w:rPr>
              <w:t>(in millions)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7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CenterPoint Energy - Indiana Electric (IURC)</w:t>
            </w:r>
          </w:p>
        </w:tc>
        <w:tc>
          <w:tcPr>
            <w:tcW w:w="0" w:type="dxa"/>
            <w:vAlign w:val="bottom"/>
          </w:tcPr>
          <w:p>
            <w:pPr>
              <w:spacing w:after="0"/>
              <w:rPr>
                <w:sz w:val="1"/>
                <w:szCs w:val="1"/>
                <w:color w:val="auto"/>
              </w:rPr>
            </w:pPr>
          </w:p>
        </w:tc>
      </w:tr>
      <w:tr>
        <w:trPr>
          <w:trHeight w:val="152"/>
        </w:trPr>
        <w:tc>
          <w:tcPr>
            <w:tcW w:w="1260" w:type="dxa"/>
            <w:vAlign w:val="bottom"/>
            <w:shd w:val="clear" w:color="auto" w:fill="CCEEFF"/>
          </w:tcPr>
          <w:p>
            <w:pPr>
              <w:jc w:val="center"/>
              <w:ind w:left="11"/>
              <w:spacing w:after="0" w:line="152" w:lineRule="exact"/>
              <w:rPr>
                <w:sz w:val="20"/>
                <w:szCs w:val="20"/>
                <w:color w:val="auto"/>
              </w:rPr>
            </w:pPr>
            <w:r>
              <w:rPr>
                <w:rFonts w:ascii="Arial" w:cs="Arial" w:eastAsia="Arial" w:hAnsi="Arial"/>
                <w:sz w:val="13"/>
                <w:szCs w:val="13"/>
                <w:color w:val="auto"/>
                <w:w w:val="95"/>
              </w:rPr>
              <w:t xml:space="preserve">TDSIC </w:t>
            </w:r>
            <w:r>
              <w:rPr>
                <w:rFonts w:ascii="Arial" w:cs="Arial" w:eastAsia="Arial" w:hAnsi="Arial"/>
                <w:sz w:val="17"/>
                <w:szCs w:val="17"/>
                <w:color w:val="auto"/>
                <w:w w:val="95"/>
                <w:vertAlign w:val="subscript"/>
              </w:rPr>
              <w:t>(1)</w:t>
            </w:r>
          </w:p>
        </w:tc>
        <w:tc>
          <w:tcPr>
            <w:tcW w:w="1140" w:type="dxa"/>
            <w:vAlign w:val="bottom"/>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76"/>
              </w:rPr>
              <w:t>2</w:t>
            </w:r>
          </w:p>
        </w:tc>
        <w:tc>
          <w:tcPr>
            <w:tcW w:w="10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February 2023</w:t>
            </w:r>
          </w:p>
        </w:tc>
        <w:tc>
          <w:tcPr>
            <w:tcW w:w="11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5"/>
              </w:rPr>
              <w:t>June</w:t>
            </w:r>
          </w:p>
        </w:tc>
        <w:tc>
          <w:tcPr>
            <w:tcW w:w="8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8"/>
              </w:rPr>
              <w:t>May</w:t>
            </w:r>
          </w:p>
        </w:tc>
        <w:tc>
          <w:tcPr>
            <w:tcW w:w="580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w w:val="95"/>
              </w:rPr>
              <w:t>Requested an increase of $31 million to rate base, which reflects a $5 million annual increase in</w:t>
            </w:r>
          </w:p>
        </w:tc>
        <w:tc>
          <w:tcPr>
            <w:tcW w:w="0" w:type="dxa"/>
            <w:vAlign w:val="bottom"/>
          </w:tcPr>
          <w:p>
            <w:pPr>
              <w:spacing w:after="0"/>
              <w:rPr>
                <w:sz w:val="1"/>
                <w:szCs w:val="1"/>
                <w:color w:val="auto"/>
              </w:rPr>
            </w:pPr>
          </w:p>
        </w:tc>
      </w:tr>
      <w:tr>
        <w:trPr>
          <w:trHeight w:val="187"/>
        </w:trPr>
        <w:tc>
          <w:tcPr>
            <w:tcW w:w="1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0"/>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7"/>
              </w:rPr>
              <w:t>deferred until next rate case. The mechanism also includes a change in (over)/under-recovery</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variance and a tax reform credit for a total of ($1 million). OUCC filed on April 3, 2023,</w:t>
            </w:r>
          </w:p>
        </w:tc>
        <w:tc>
          <w:tcPr>
            <w:tcW w:w="0" w:type="dxa"/>
            <w:vAlign w:val="bottom"/>
          </w:tcPr>
          <w:p>
            <w:pPr>
              <w:spacing w:after="0"/>
              <w:rPr>
                <w:sz w:val="1"/>
                <w:szCs w:val="1"/>
                <w:color w:val="auto"/>
              </w:rPr>
            </w:pPr>
          </w:p>
        </w:tc>
      </w:tr>
      <w:tr>
        <w:trPr>
          <w:trHeight w:val="173"/>
        </w:trPr>
        <w:tc>
          <w:tcPr>
            <w:tcW w:w="1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recommending approval of the proposed TDSIC rates and updated plan as filed. A hearing was</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4"/>
              </w:rPr>
              <w:t>held on May 3, 2023. On May 30, 2023, the IURC issued an order approving the TDSIC rates an</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updated plan as filed with rates effective June 1, 2023.</w:t>
            </w:r>
          </w:p>
        </w:tc>
        <w:tc>
          <w:tcPr>
            <w:tcW w:w="0" w:type="dxa"/>
            <w:vAlign w:val="bottom"/>
          </w:tcPr>
          <w:p>
            <w:pPr>
              <w:spacing w:after="0"/>
              <w:rPr>
                <w:sz w:val="1"/>
                <w:szCs w:val="1"/>
                <w:color w:val="auto"/>
              </w:rPr>
            </w:pPr>
          </w:p>
        </w:tc>
      </w:tr>
      <w:tr>
        <w:trPr>
          <w:trHeight w:val="153"/>
        </w:trPr>
        <w:tc>
          <w:tcPr>
            <w:tcW w:w="1260" w:type="dxa"/>
            <w:vAlign w:val="bottom"/>
          </w:tcPr>
          <w:p>
            <w:pPr>
              <w:jc w:val="center"/>
              <w:spacing w:after="0" w:line="153" w:lineRule="exact"/>
              <w:rPr>
                <w:sz w:val="20"/>
                <w:szCs w:val="20"/>
                <w:color w:val="auto"/>
              </w:rPr>
            </w:pPr>
            <w:r>
              <w:rPr>
                <w:rFonts w:ascii="Arial" w:cs="Arial" w:eastAsia="Arial" w:hAnsi="Arial"/>
                <w:sz w:val="13"/>
                <w:szCs w:val="13"/>
                <w:color w:val="auto"/>
                <w:w w:val="96"/>
              </w:rPr>
              <w:t xml:space="preserve">CECA </w:t>
            </w:r>
            <w:r>
              <w:rPr>
                <w:rFonts w:ascii="Arial" w:cs="Arial" w:eastAsia="Arial" w:hAnsi="Arial"/>
                <w:sz w:val="17"/>
                <w:szCs w:val="17"/>
                <w:color w:val="auto"/>
                <w:w w:val="96"/>
                <w:vertAlign w:val="subscript"/>
              </w:rPr>
              <w:t>(1)</w:t>
            </w:r>
          </w:p>
        </w:tc>
        <w:tc>
          <w:tcPr>
            <w:tcW w:w="1140" w:type="dxa"/>
            <w:vAlign w:val="bottom"/>
          </w:tcPr>
          <w:p>
            <w:pPr>
              <w:jc w:val="center"/>
              <w:ind w:left="51"/>
              <w:spacing w:after="0" w:line="153" w:lineRule="exact"/>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line="153" w:lineRule="exact"/>
              <w:rPr>
                <w:sz w:val="20"/>
                <w:szCs w:val="20"/>
                <w:color w:val="auto"/>
              </w:rPr>
            </w:pPr>
            <w:r>
              <w:rPr>
                <w:rFonts w:ascii="Arial" w:cs="Arial" w:eastAsia="Arial" w:hAnsi="Arial"/>
                <w:sz w:val="14"/>
                <w:szCs w:val="14"/>
                <w:color w:val="auto"/>
                <w:w w:val="90"/>
              </w:rPr>
              <w:t>February 2023</w:t>
            </w: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5"/>
              </w:rPr>
              <w:t>June</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w w:val="98"/>
              </w:rPr>
              <w:t>May</w:t>
            </w:r>
          </w:p>
        </w:tc>
        <w:tc>
          <w:tcPr>
            <w:tcW w:w="5800" w:type="dxa"/>
            <w:vAlign w:val="bottom"/>
          </w:tcPr>
          <w:p>
            <w:pPr>
              <w:ind w:left="140"/>
              <w:spacing w:after="0" w:line="153" w:lineRule="exact"/>
              <w:rPr>
                <w:sz w:val="20"/>
                <w:szCs w:val="20"/>
                <w:color w:val="auto"/>
              </w:rPr>
            </w:pPr>
            <w:r>
              <w:rPr>
                <w:rFonts w:ascii="Arial" w:cs="Arial" w:eastAsia="Arial" w:hAnsi="Arial"/>
                <w:sz w:val="14"/>
                <w:szCs w:val="14"/>
                <w:color w:val="auto"/>
                <w:w w:val="91"/>
              </w:rPr>
              <w:t>Requested an increase of less than $1 million to rate base, which reflects an annual increase of less</w:t>
            </w: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5800" w:type="dxa"/>
            <w:vAlign w:val="bottom"/>
          </w:tcPr>
          <w:p>
            <w:pPr>
              <w:ind w:left="140"/>
              <w:spacing w:after="0"/>
              <w:rPr>
                <w:sz w:val="20"/>
                <w:szCs w:val="20"/>
                <w:color w:val="auto"/>
              </w:rPr>
            </w:pPr>
            <w:r>
              <w:rPr>
                <w:rFonts w:ascii="Arial" w:cs="Arial" w:eastAsia="Arial" w:hAnsi="Arial"/>
                <w:sz w:val="14"/>
                <w:szCs w:val="14"/>
                <w:color w:val="auto"/>
                <w:w w:val="99"/>
              </w:rPr>
              <w:t>than $1 million in current revenues. The mechanism also includes a change in (over)/under-</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0" w:type="dxa"/>
            <w:vAlign w:val="bottom"/>
          </w:tcPr>
          <w:p>
            <w:pPr>
              <w:ind w:left="140"/>
              <w:spacing w:after="0" w:line="159" w:lineRule="exact"/>
              <w:rPr>
                <w:sz w:val="20"/>
                <w:szCs w:val="20"/>
                <w:color w:val="auto"/>
              </w:rPr>
            </w:pPr>
            <w:r>
              <w:rPr>
                <w:rFonts w:ascii="Arial" w:cs="Arial" w:eastAsia="Arial" w:hAnsi="Arial"/>
                <w:sz w:val="14"/>
                <w:szCs w:val="14"/>
                <w:color w:val="auto"/>
              </w:rPr>
              <w:t>recovery variance of less than ($1 million). OUCC filed on March 31, 2023, recommending</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0" w:type="dxa"/>
            <w:vAlign w:val="bottom"/>
          </w:tcPr>
          <w:p>
            <w:pPr>
              <w:ind w:left="140"/>
              <w:spacing w:after="0" w:line="159" w:lineRule="exact"/>
              <w:rPr>
                <w:sz w:val="20"/>
                <w:szCs w:val="20"/>
                <w:color w:val="auto"/>
              </w:rPr>
            </w:pPr>
            <w:r>
              <w:rPr>
                <w:rFonts w:ascii="Arial" w:cs="Arial" w:eastAsia="Arial" w:hAnsi="Arial"/>
                <w:sz w:val="14"/>
                <w:szCs w:val="14"/>
                <w:color w:val="auto"/>
                <w:w w:val="98"/>
              </w:rPr>
              <w:t>approval of the proposed CECA cost recovery with a reduction of approximately $0.3 million.</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0" w:type="dxa"/>
            <w:vAlign w:val="bottom"/>
          </w:tcPr>
          <w:p>
            <w:pPr>
              <w:ind w:left="140"/>
              <w:spacing w:after="0" w:line="159" w:lineRule="exact"/>
              <w:rPr>
                <w:sz w:val="20"/>
                <w:szCs w:val="20"/>
                <w:color w:val="auto"/>
              </w:rPr>
            </w:pPr>
            <w:r>
              <w:rPr>
                <w:rFonts w:ascii="Arial" w:cs="Arial" w:eastAsia="Arial" w:hAnsi="Arial"/>
                <w:sz w:val="14"/>
                <w:szCs w:val="14"/>
                <w:color w:val="auto"/>
                <w:w w:val="96"/>
              </w:rPr>
              <w:t>Rebuttal testimony was filed on April 6, 2023. A hearing was held on May 3, 2023. On May 30,</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0" w:type="dxa"/>
            <w:vAlign w:val="bottom"/>
          </w:tcPr>
          <w:p>
            <w:pPr>
              <w:ind w:left="140"/>
              <w:spacing w:after="0"/>
              <w:rPr>
                <w:sz w:val="20"/>
                <w:szCs w:val="20"/>
                <w:color w:val="auto"/>
              </w:rPr>
            </w:pPr>
            <w:r>
              <w:rPr>
                <w:rFonts w:ascii="Arial" w:cs="Arial" w:eastAsia="Arial" w:hAnsi="Arial"/>
                <w:sz w:val="14"/>
                <w:szCs w:val="14"/>
                <w:color w:val="auto"/>
                <w:w w:val="99"/>
              </w:rPr>
              <w:t>2023, the IURC issued an order approving the CECA rates with a cost recovery reduction of</w:t>
            </w: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0" w:type="dxa"/>
            <w:vAlign w:val="bottom"/>
          </w:tcPr>
          <w:p>
            <w:pPr>
              <w:ind w:left="140"/>
              <w:spacing w:after="0"/>
              <w:rPr>
                <w:sz w:val="20"/>
                <w:szCs w:val="20"/>
                <w:color w:val="auto"/>
              </w:rPr>
            </w:pPr>
            <w:r>
              <w:rPr>
                <w:rFonts w:ascii="Arial" w:cs="Arial" w:eastAsia="Arial" w:hAnsi="Arial"/>
                <w:sz w:val="14"/>
                <w:szCs w:val="14"/>
                <w:color w:val="auto"/>
              </w:rPr>
              <w:t>approximately $0.3 million with rates effective June 6, 2023.</w:t>
            </w:r>
          </w:p>
        </w:tc>
        <w:tc>
          <w:tcPr>
            <w:tcW w:w="0" w:type="dxa"/>
            <w:vAlign w:val="bottom"/>
          </w:tcPr>
          <w:p>
            <w:pPr>
              <w:spacing w:after="0"/>
              <w:rPr>
                <w:sz w:val="1"/>
                <w:szCs w:val="1"/>
                <w:color w:val="auto"/>
              </w:rPr>
            </w:pPr>
          </w:p>
        </w:tc>
      </w:tr>
      <w:tr>
        <w:trPr>
          <w:trHeight w:val="24"/>
        </w:trPr>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26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7"/>
              </w:rPr>
              <w:t xml:space="preserve">ECA </w:t>
            </w:r>
            <w:r>
              <w:rPr>
                <w:rFonts w:ascii="Arial" w:cs="Arial" w:eastAsia="Arial" w:hAnsi="Arial"/>
                <w:sz w:val="10"/>
                <w:szCs w:val="10"/>
                <w:color w:val="auto"/>
                <w:w w:val="97"/>
              </w:rPr>
              <w:t>(1)</w:t>
            </w:r>
          </w:p>
        </w:tc>
        <w:tc>
          <w:tcPr>
            <w:tcW w:w="1140" w:type="dxa"/>
            <w:vAlign w:val="bottom"/>
            <w:shd w:val="clear" w:color="auto" w:fill="CCEEFF"/>
          </w:tcPr>
          <w:p>
            <w:pPr>
              <w:jc w:val="center"/>
              <w:ind w:left="51"/>
              <w:spacing w:after="0" w:line="146" w:lineRule="exact"/>
              <w:rPr>
                <w:sz w:val="20"/>
                <w:szCs w:val="20"/>
                <w:color w:val="auto"/>
              </w:rPr>
            </w:pPr>
            <w:r>
              <w:rPr>
                <w:rFonts w:ascii="Arial" w:cs="Arial" w:eastAsia="Arial" w:hAnsi="Arial"/>
                <w:sz w:val="14"/>
                <w:szCs w:val="14"/>
                <w:color w:val="auto"/>
                <w:w w:val="76"/>
              </w:rPr>
              <w:t>1</w:t>
            </w:r>
          </w:p>
        </w:tc>
        <w:tc>
          <w:tcPr>
            <w:tcW w:w="106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8"/>
              </w:rPr>
              <w:t>May</w:t>
            </w:r>
          </w:p>
        </w:tc>
        <w:tc>
          <w:tcPr>
            <w:tcW w:w="112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9"/>
              </w:rPr>
              <w:t>TBD</w:t>
            </w:r>
          </w:p>
        </w:tc>
        <w:tc>
          <w:tcPr>
            <w:tcW w:w="86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9"/>
              </w:rPr>
              <w:t>TBD</w:t>
            </w:r>
          </w:p>
        </w:tc>
        <w:tc>
          <w:tcPr>
            <w:tcW w:w="580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w w:val="95"/>
              </w:rPr>
              <w:t>Requested an increase of $51 million to rate base, which reflects a $1 million annual increase in</w:t>
            </w: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1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0"/>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7"/>
              </w:rPr>
              <w:t>deferred until next rate case. The mechanism also includes a change in (over)/under-recovery</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variance of less than $1 million.</w:t>
            </w:r>
          </w:p>
        </w:tc>
        <w:tc>
          <w:tcPr>
            <w:tcW w:w="0" w:type="dxa"/>
            <w:vAlign w:val="bottom"/>
          </w:tcPr>
          <w:p>
            <w:pPr>
              <w:spacing w:after="0"/>
              <w:rPr>
                <w:sz w:val="1"/>
                <w:szCs w:val="1"/>
                <w:color w:val="auto"/>
              </w:rPr>
            </w:pPr>
          </w:p>
        </w:tc>
      </w:tr>
      <w:tr>
        <w:trPr>
          <w:trHeight w:val="153"/>
        </w:trPr>
        <w:tc>
          <w:tcPr>
            <w:tcW w:w="1260" w:type="dxa"/>
            <w:vAlign w:val="bottom"/>
          </w:tcPr>
          <w:p>
            <w:pPr>
              <w:jc w:val="center"/>
              <w:ind w:left="11"/>
              <w:spacing w:after="0" w:line="153" w:lineRule="exact"/>
              <w:rPr>
                <w:sz w:val="20"/>
                <w:szCs w:val="20"/>
                <w:color w:val="auto"/>
              </w:rPr>
            </w:pPr>
            <w:r>
              <w:rPr>
                <w:rFonts w:ascii="Arial" w:cs="Arial" w:eastAsia="Arial" w:hAnsi="Arial"/>
                <w:sz w:val="13"/>
                <w:szCs w:val="13"/>
                <w:color w:val="auto"/>
                <w:w w:val="98"/>
              </w:rPr>
              <w:t xml:space="preserve">DSMA </w:t>
            </w:r>
            <w:r>
              <w:rPr>
                <w:rFonts w:ascii="Arial" w:cs="Arial" w:eastAsia="Arial" w:hAnsi="Arial"/>
                <w:sz w:val="17"/>
                <w:szCs w:val="17"/>
                <w:color w:val="auto"/>
                <w:w w:val="98"/>
                <w:vertAlign w:val="subscript"/>
              </w:rPr>
              <w:t>(1)</w:t>
            </w:r>
          </w:p>
        </w:tc>
        <w:tc>
          <w:tcPr>
            <w:tcW w:w="1140" w:type="dxa"/>
            <w:vAlign w:val="bottom"/>
          </w:tcPr>
          <w:p>
            <w:pPr>
              <w:jc w:val="center"/>
              <w:ind w:left="51"/>
              <w:spacing w:after="0" w:line="153" w:lineRule="exact"/>
              <w:rPr>
                <w:sz w:val="20"/>
                <w:szCs w:val="20"/>
                <w:color w:val="auto"/>
              </w:rPr>
            </w:pPr>
            <w:r>
              <w:rPr>
                <w:rFonts w:ascii="Arial" w:cs="Arial" w:eastAsia="Arial" w:hAnsi="Arial"/>
                <w:sz w:val="14"/>
                <w:szCs w:val="14"/>
                <w:color w:val="auto"/>
                <w:w w:val="89"/>
              </w:rPr>
              <w:t>16</w:t>
            </w:r>
          </w:p>
        </w:tc>
        <w:tc>
          <w:tcPr>
            <w:tcW w:w="1060" w:type="dxa"/>
            <w:vAlign w:val="bottom"/>
          </w:tcPr>
          <w:p>
            <w:pPr>
              <w:jc w:val="center"/>
              <w:spacing w:after="0" w:line="153" w:lineRule="exact"/>
              <w:rPr>
                <w:sz w:val="20"/>
                <w:szCs w:val="20"/>
                <w:color w:val="auto"/>
              </w:rPr>
            </w:pPr>
            <w:r>
              <w:rPr>
                <w:rFonts w:ascii="Arial" w:cs="Arial" w:eastAsia="Arial" w:hAnsi="Arial"/>
                <w:sz w:val="14"/>
                <w:szCs w:val="14"/>
                <w:color w:val="auto"/>
                <w:w w:val="96"/>
              </w:rPr>
              <w:t>July</w:t>
            </w: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99"/>
              </w:rPr>
              <w:t>TBD</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w w:val="99"/>
              </w:rPr>
              <w:t>TBD</w:t>
            </w:r>
          </w:p>
        </w:tc>
        <w:tc>
          <w:tcPr>
            <w:tcW w:w="5800" w:type="dxa"/>
            <w:vAlign w:val="bottom"/>
          </w:tcPr>
          <w:p>
            <w:pPr>
              <w:ind w:left="140"/>
              <w:spacing w:after="0" w:line="153" w:lineRule="exact"/>
              <w:rPr>
                <w:sz w:val="20"/>
                <w:szCs w:val="20"/>
                <w:color w:val="auto"/>
              </w:rPr>
            </w:pPr>
            <w:r>
              <w:rPr>
                <w:rFonts w:ascii="Arial" w:cs="Arial" w:eastAsia="Arial" w:hAnsi="Arial"/>
                <w:sz w:val="14"/>
                <w:szCs w:val="14"/>
                <w:color w:val="auto"/>
                <w:w w:val="98"/>
              </w:rPr>
              <w:t>The requested $45 million is comprised primarily of the following: 2024 program costs of $11</w:t>
            </w: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Arial" w:cs="Arial" w:eastAsia="Arial" w:hAnsi="Arial"/>
                <w:sz w:val="14"/>
                <w:szCs w:val="14"/>
                <w:color w:val="auto"/>
                <w:w w:val="96"/>
              </w:rPr>
              <w:t>million and $26 million of lost revenue, $3 million related to the over-recovery of 2022 program</w:t>
            </w:r>
          </w:p>
        </w:tc>
        <w:tc>
          <w:tcPr>
            <w:tcW w:w="0" w:type="dxa"/>
            <w:vAlign w:val="bottom"/>
          </w:tcPr>
          <w:p>
            <w:pPr>
              <w:spacing w:after="0"/>
              <w:rPr>
                <w:sz w:val="1"/>
                <w:szCs w:val="1"/>
                <w:color w:val="auto"/>
              </w:rPr>
            </w:pPr>
          </w:p>
        </w:tc>
      </w:tr>
    </w:tbl>
    <w:p>
      <w:pPr>
        <w:ind w:left="5580"/>
        <w:spacing w:after="0"/>
        <w:rPr>
          <w:sz w:val="20"/>
          <w:szCs w:val="20"/>
          <w:color w:val="auto"/>
        </w:rPr>
      </w:pPr>
      <w:r>
        <w:rPr>
          <w:rFonts w:ascii="Arial" w:cs="Arial" w:eastAsia="Arial" w:hAnsi="Arial"/>
          <w:sz w:val="13"/>
          <w:szCs w:val="13"/>
          <w:color w:val="auto"/>
        </w:rPr>
        <w:t>costs and $11 million under-recovery related to a prior period variance adjustment; the requested</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$45 million is an increase of $16 million compared to the prior DSMA.</w:t>
      </w:r>
    </w:p>
    <w:p>
      <w:pPr>
        <w:spacing w:after="0" w:line="112" w:lineRule="exact"/>
        <w:rPr>
          <w:sz w:val="20"/>
          <w:szCs w:val="20"/>
          <w:color w:val="auto"/>
        </w:rPr>
      </w:pPr>
    </w:p>
    <w:p>
      <w:pPr>
        <w:ind w:left="640" w:hanging="315"/>
        <w:spacing w:after="0" w:line="265"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Reduction Act (IRA)</w:t>
      </w:r>
    </w:p>
    <w:p>
      <w:pPr>
        <w:spacing w:after="0" w:line="245"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On August 16, 2022, the IRA was signed into law. The new law extends or creates tax-related energy incentives for solar, wind and alternative clean energy sources, implements, subject to certain exceptions, a 1% tax on share repurchases after December 31, 2022, and implements a 15% corporate alternative minimum tax based on the AFSI of those corporations with an average AFSI of $1 billion over the most recent three-year period (i.e., the CAMT). The IRA did not have a material impact on the Registrants’ 2022 financial results and no material impact is expected for 2023 financial results. The Registrants may be currently subject to the CAMT, pending future guidance relating to comments requested in response to Notice 2023-7. If the Registrants are subject to the CAMT for 2023, the calculation of regular tax will exceed minimum tax for 2023; therefore, no minimum tax is expected to be paid</w:t>
      </w:r>
      <w:r>
        <w:rPr>
          <w:rFonts w:ascii="Arial" w:cs="Arial" w:eastAsia="Arial" w:hAnsi="Arial"/>
          <w:sz w:val="19"/>
          <w:szCs w:val="19"/>
          <w:color w:val="auto"/>
        </w:rPr>
        <w:t>.</w:t>
      </w:r>
      <w:r>
        <w:rPr>
          <w:rFonts w:ascii="Arial" w:cs="Arial" w:eastAsia="Arial" w:hAnsi="Arial"/>
          <w:sz w:val="18"/>
          <w:szCs w:val="18"/>
          <w:color w:val="auto"/>
        </w:rPr>
        <w:t xml:space="preserve"> Further guidance on the tax provisions of the IRA is expected and the Registrants continue to evaluate the IRA provisions for the effect on their future financial results.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Greenhouse Gas Regulation and Compliance (CenterPoint Energy)</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5"/>
          <w:szCs w:val="15"/>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On June 30, 2022, the U.S. Supreme Court ruled that the EPA exceeded its authority in promulgating the CPP. On May 10, 2023, the EPA proposed regulations under Section 111 of the Clean Air Act which, if finalized, apply new GHG performance standards for those existing coal-fired units expected to continue operation beyond December 31, 2029. We are currently reviewing the proposal for applicability to existing and new gas-fired generating units, but would note that CenterPoint Energy does not currently have plans to operate any of its coal-fired units beyond December 2029.</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19"/>
        <w:spacing w:after="0" w:line="298" w:lineRule="auto"/>
        <w:rPr>
          <w:sz w:val="20"/>
          <w:szCs w:val="20"/>
          <w:color w:val="auto"/>
        </w:rPr>
      </w:pPr>
      <w:r>
        <w:rPr>
          <w:rFonts w:ascii="Arial" w:cs="Arial" w:eastAsia="Arial" w:hAnsi="Arial"/>
          <w:sz w:val="15"/>
          <w:szCs w:val="15"/>
          <w:color w:val="auto"/>
        </w:rPr>
        <w:t>The Biden administration recommitted the United States to the Paris Agreement, which can be expected to drive a renewed regulatory push to require further GHG emission reductions from the energy sector and proceeded to lead negotiations at the global climate conference in Glasgow, Scotland. On April 22, 2021, President Biden announced new goals of 50% reduction of economy-wide GHG emissions, and 100% carbon-free electricity by 2035, which formed the basis of the U.S. commitments announced in Glasgow. In September 2021, CenterPoint Energy announced its net zero emissions goals for both Scope 1 and certain Scope 2 emissions by 2035 as well as a goal to reduce certain Scope 3 emissions by 20% to 30% by 2035. Because Texas is an unregulated market, CenterPoint Energy’s Scope 2 estimates do not take into account Texas electric transmission and distribution assets in the line loss calculation and, in addition, exclude emissions related to purchased power in Indiana between 2024 and 2026 as estimated. CenterPoint Energy’s Scope 3 estimates are based on the total natural gas supply delivered to residential and commercial customers as reported in the U.S. Energy Information Administration (EIA) Form EIA-176 reports and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 emissions.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The IRA established the Methane Emissions Reduction Program, which imposes a charge on methane emissions from certain natural gas transmission facilities, and the EPA has proposed new regulations targeting reductions in methane emissions, which if implemented will increase costs related to production, transmission and storage of natural gas. Houston Electric, in contrast to some electric utilities including Indiana Electric, does not generate electricity, other than TEEEF, and thus is not directly exposed to the risk of high capital costs and regulatory uncertainties that face electric utilities that burn fossil fuels to generate electricity. CenterPoint Energy’s net zero emissions goals are aligned with Indiana Electric’s generation transition plan and are expected to position Indiana Electric to comply with anticipated future regulatory requirements related to GHG emissions reductions.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to provide customers with access to renewable energy resources and innovative technologies, with the goal of reducing GHG emissions. Further, certain local government bodies have introduced or are considering requirements and/or incentives to reduce energy consumption by certain specified dates. For example, Minneapolis has adopted carbon emission reduction goals in an effort to decrease reliance on fossil gas. Additionally, 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 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Climate Change Trends and Uncertainties</w:t>
      </w:r>
    </w:p>
    <w:p>
      <w:pPr>
        <w:spacing w:after="0" w:line="245" w:lineRule="exact"/>
        <w:rPr>
          <w:sz w:val="20"/>
          <w:szCs w:val="20"/>
          <w:color w:val="auto"/>
        </w:rPr>
      </w:pPr>
    </w:p>
    <w:p>
      <w:pPr>
        <w:jc w:val="both"/>
        <w:ind w:firstLine="319"/>
        <w:spacing w:after="0" w:line="309" w:lineRule="auto"/>
        <w:rPr>
          <w:sz w:val="20"/>
          <w:szCs w:val="20"/>
          <w:color w:val="auto"/>
        </w:rPr>
      </w:pPr>
      <w:r>
        <w:rPr>
          <w:rFonts w:ascii="Arial" w:cs="Arial" w:eastAsia="Arial" w:hAnsi="Arial"/>
          <w:sz w:val="15"/>
          <w:szCs w:val="15"/>
          <w:color w:val="auto"/>
        </w:rPr>
        <w:t>As a result of increased awareness regarding climate change, coupled with adverse economic conditions, availability of alternative energy sources, including private solar, microturbines, fuel cells, energy-efficient buildings and energy storage 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become a more cost-competitive option over time, whether through cost effectiveness or government incentives and subsidies, certain customers may choose to meet their own energy needs and subsequently decrease usage of the Registrants’ systems and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services may increase as a result of customer changes in response to climate change. For example, as the utilization of electric vehicles increases, demand for electricity may increase, resulting in increased usage of CenterPoint Energy’s systems and services. Any negative opinions with respect to CenterPoint Energy’s environmental practices or its ability to meet the challenges posed by climate change formed by regulators, customers, investors, legislators or other stakeholders could harm its reputation.</w:t>
      </w:r>
    </w:p>
    <w:p>
      <w:pPr>
        <w:spacing w:after="0" w:line="212"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5"/>
          <w:szCs w:val="15"/>
          <w:color w:val="auto"/>
        </w:rPr>
        <w:t>To address these developments, CenterPoint Energy announced its net zero emissions goals for both Scope 1 and certain Scope 2 emissions by 2035. Indiana Electric’s 2019/2020 IRP identified a preferred portfolio that retires 730 MW of coal-fired generation facilities and replaces these resources with a mix of generating resources composed primarily of renewables, including solar, wind, and solar with storage, supported by dispatchable natural gas combustion turbines including a pipeline to serve such natural gas generation. Indiana Electric continues to execute on its 2019/2020 IRP and has received initial approvals for 756 MWs of the 700-1,000 MWs identified within Indiana Electric’s 2019/2020 IRP. Additionally, as reflected in its 10-year capital plan announced in September 2021, CenterPoint Energy anticipates spending over $3 billion in clean energy investments and enablement, which may be used to support, among other things, renewable energy generation and electric vehicle expansion. CenterPoint Energy believes its planned investments in renewable energy generation and corresponding planned reduction in its GHG emissions as part of its net zero emissions goals support global efforts to reduce the impacts of climate change. Indiana Electric has conducted a new IRP, which was submitted to the IURC in May 2023, to identify an appropriate generation resource portfolio to satisfy the needs of its customers and comply with environmental regulations. The proposed preferred portfolio is the second evolution to the generation transition plan to move away from coal-fired generation to a more sustainable portfolio of resources. Indiana Electric plans to convert its last remaining coal unit to natural gas by 2027 and to add a significant amount of additional renewable resources through 2033.</w:t>
      </w:r>
    </w:p>
    <w:p>
      <w:pPr>
        <w:spacing w:after="0" w:line="184" w:lineRule="exact"/>
        <w:rPr>
          <w:sz w:val="20"/>
          <w:szCs w:val="20"/>
          <w:color w:val="auto"/>
        </w:rPr>
      </w:pPr>
    </w:p>
    <w:p>
      <w:pPr>
        <w:jc w:val="both"/>
        <w:ind w:firstLine="319"/>
        <w:spacing w:after="0" w:line="300" w:lineRule="auto"/>
        <w:rPr>
          <w:sz w:val="20"/>
          <w:szCs w:val="20"/>
          <w:color w:val="auto"/>
        </w:rPr>
      </w:pPr>
      <w:r>
        <w:rPr>
          <w:rFonts w:ascii="Arial" w:cs="Arial" w:eastAsia="Arial" w:hAnsi="Arial"/>
          <w:sz w:val="15"/>
          <w:szCs w:val="15"/>
          <w:color w:val="auto"/>
        </w:rPr>
        <w:t>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Since many of the Registrants’ facilities are located along or near the Texas gulf coast, increased or more severe hurricanes or tornadoes could increase costs to repair damaged facilities and restore service to customers. CenterPoint Energy’s current 10-year capital plan includes capital expenditures to maintain reliability and safety and increase resiliency of its systems as climate change may result in more frequent significant weather events. Houston Electric does not own or operate any electric generation facilities other than, since September 2021, its operation of TEEEF.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45"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11 to the Interim Condensed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$4.0 billion as of June 30, 2023. As of July 19, 2023, the Registrants had the following revolving credit facilities and utilization of such facilities: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97"/>
              </w:rPr>
              <w:t>Amount Utilized as of July 19, 2023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Size of Facility</w:t>
            </w:r>
          </w:p>
        </w:tc>
        <w:tc>
          <w:tcPr>
            <w:tcW w:w="260" w:type="dxa"/>
            <w:vAlign w:val="bottom"/>
          </w:tcPr>
          <w:p>
            <w:pPr>
              <w:spacing w:after="0"/>
              <w:rPr>
                <w:sz w:val="11"/>
                <w:szCs w:val="11"/>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1"/>
                <w:szCs w:val="11"/>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Letters of Credit</w:t>
            </w:r>
          </w:p>
        </w:tc>
        <w:tc>
          <w:tcPr>
            <w:tcW w:w="1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Commercial Paper</w:t>
            </w:r>
          </w:p>
        </w:tc>
        <w:tc>
          <w:tcPr>
            <w:tcW w:w="1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1"/>
                <w:szCs w:val="11"/>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Termination Date</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64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30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5.44%</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25"/>
        </w:trPr>
        <w:tc>
          <w:tcPr>
            <w:tcW w:w="2640" w:type="dxa"/>
            <w:vAlign w:val="bottom"/>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0"/>
                <w:szCs w:val="10"/>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4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25"/>
        </w:trPr>
        <w:tc>
          <w:tcPr>
            <w:tcW w:w="2640" w:type="dxa"/>
            <w:vAlign w:val="bottom"/>
          </w:tcPr>
          <w:p>
            <w:pPr>
              <w:ind w:left="20"/>
              <w:spacing w:after="0"/>
              <w:rPr>
                <w:sz w:val="20"/>
                <w:szCs w:val="20"/>
                <w:color w:val="auto"/>
              </w:rPr>
            </w:pPr>
            <w:r>
              <w:rPr>
                <w:rFonts w:ascii="Arial" w:cs="Arial" w:eastAsia="Arial" w:hAnsi="Arial"/>
                <w:sz w:val="18"/>
                <w:szCs w:val="18"/>
                <w:color w:val="auto"/>
              </w:rPr>
              <w:t>CERC</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40"/>
        </w:trPr>
        <w:tc>
          <w:tcPr>
            <w:tcW w:w="2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This credit facility was issued by SIGECO.</w:t>
      </w:r>
    </w:p>
    <w:p>
      <w:pPr>
        <w:spacing w:after="0" w:line="245" w:lineRule="exact"/>
        <w:rPr>
          <w:sz w:val="20"/>
          <w:szCs w:val="20"/>
          <w:color w:val="auto"/>
        </w:rPr>
      </w:pPr>
    </w:p>
    <w:p>
      <w:pPr>
        <w:jc w:val="both"/>
        <w:ind w:firstLine="319"/>
        <w:spacing w:after="0" w:line="307" w:lineRule="auto"/>
        <w:rPr>
          <w:sz w:val="20"/>
          <w:szCs w:val="20"/>
          <w:color w:val="auto"/>
        </w:rPr>
      </w:pPr>
      <w:r>
        <w:rPr>
          <w:rFonts w:ascii="Arial" w:cs="Arial" w:eastAsia="Arial" w:hAnsi="Arial"/>
          <w:sz w:val="15"/>
          <w:szCs w:val="15"/>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SOFR and the commitment fees fluctuate based on the borrower’s credit rating. Each of the Registrant’s credit facilities provide for a mechanism to replace SOFR with possible alternative benchmarks upon certain benchmark replacement events. The borrowers are currently in compliance with the various business and financial covenants in the four revolving credit facilities.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Debt Transactions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detailed information about the Registrants’ debt transactions to date in 2023, see Note 11 to the Interim Condensed Financial Statements.</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17, 2026. For information related to the Registrants’ debt issuances in 2023, see Note 11 to the Interim Condensed Financial Statements.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July 19, 2023, the Registrants had no temporary investments.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Money Pool</w:t>
      </w:r>
    </w:p>
    <w:p>
      <w:pPr>
        <w:spacing w:after="0" w:line="245" w:lineRule="exact"/>
        <w:rPr>
          <w:sz w:val="20"/>
          <w:szCs w:val="20"/>
          <w:color w:val="auto"/>
        </w:rPr>
      </w:pPr>
    </w:p>
    <w:p>
      <w:pPr>
        <w:jc w:val="both"/>
        <w:ind w:firstLine="319"/>
        <w:spacing w:after="0" w:line="313" w:lineRule="auto"/>
        <w:rPr>
          <w:sz w:val="20"/>
          <w:szCs w:val="20"/>
          <w:color w:val="auto"/>
        </w:rPr>
      </w:pPr>
      <w:r>
        <w:rPr>
          <w:rFonts w:ascii="Arial" w:cs="Arial" w:eastAsia="Arial" w:hAnsi="Arial"/>
          <w:sz w:val="15"/>
          <w:szCs w:val="15"/>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 by Registrant as of July 19,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Interest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5"/>
              </w:rPr>
              <w:t>Houston Electric</w:t>
            </w:r>
          </w:p>
        </w:tc>
        <w:tc>
          <w:tcPr>
            <w:tcW w:w="460" w:type="dxa"/>
            <w:vAlign w:val="bottom"/>
          </w:tcPr>
          <w:p>
            <w:pPr>
              <w:spacing w:after="0"/>
              <w:rPr>
                <w:sz w:val="14"/>
                <w:szCs w:val="14"/>
                <w:color w:val="auto"/>
              </w:rPr>
            </w:pPr>
          </w:p>
        </w:tc>
        <w:tc>
          <w:tcPr>
            <w:tcW w:w="102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pool investments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(183)</w:t>
            </w:r>
          </w:p>
        </w:tc>
        <w:tc>
          <w:tcPr>
            <w:tcW w:w="4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interest rate on borrowings under the credit facilities is based on each respective borrower’s credit ratings. As of July 19, 2023, Moody’s, S&amp;P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Fitch had assigned the following credit ratings to the borrowers: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Moody’s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S&amp;P</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24"/>
        </w:trPr>
        <w:tc>
          <w:tcPr>
            <w:tcW w:w="1820" w:type="dxa"/>
            <w:vAlign w:val="bottom"/>
            <w:vMerge w:val="restart"/>
          </w:tcPr>
          <w:p>
            <w:pPr>
              <w:ind w:left="640"/>
              <w:spacing w:after="0"/>
              <w:rPr>
                <w:sz w:val="20"/>
                <w:szCs w:val="20"/>
                <w:color w:val="auto"/>
              </w:rPr>
            </w:pPr>
            <w:r>
              <w:rPr>
                <w:rFonts w:ascii="Arial" w:cs="Arial" w:eastAsia="Arial" w:hAnsi="Arial"/>
                <w:sz w:val="12"/>
                <w:szCs w:val="12"/>
                <w:b w:val="1"/>
                <w:bCs w:val="1"/>
                <w:color w:val="auto"/>
              </w:rPr>
              <w:t>Registrant</w:t>
            </w:r>
          </w:p>
        </w:tc>
        <w:tc>
          <w:tcPr>
            <w:tcW w:w="120" w:type="dxa"/>
            <w:vAlign w:val="bottom"/>
            <w:vMerge w:val="restart"/>
          </w:tcPr>
          <w:p>
            <w:pPr>
              <w:spacing w:after="0"/>
              <w:rPr>
                <w:sz w:val="2"/>
                <w:szCs w:val="2"/>
                <w:color w:val="auto"/>
              </w:rPr>
            </w:pPr>
          </w:p>
        </w:tc>
        <w:tc>
          <w:tcPr>
            <w:tcW w:w="2760" w:type="dxa"/>
            <w:vAlign w:val="bottom"/>
            <w:vMerge w:val="restart"/>
          </w:tcPr>
          <w:p>
            <w:pPr>
              <w:ind w:left="800"/>
              <w:spacing w:after="0"/>
              <w:rPr>
                <w:sz w:val="20"/>
                <w:szCs w:val="20"/>
                <w:color w:val="auto"/>
              </w:rPr>
            </w:pPr>
            <w:r>
              <w:rPr>
                <w:rFonts w:ascii="Arial" w:cs="Arial" w:eastAsia="Arial" w:hAnsi="Arial"/>
                <w:sz w:val="12"/>
                <w:szCs w:val="12"/>
                <w:b w:val="1"/>
                <w:bCs w:val="1"/>
                <w:color w:val="auto"/>
              </w:rPr>
              <w:t>Borrower/Instrument</w:t>
            </w:r>
          </w:p>
        </w:tc>
        <w:tc>
          <w:tcPr>
            <w:tcW w:w="100" w:type="dxa"/>
            <w:vAlign w:val="bottom"/>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8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7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20" w:type="dxa"/>
            <w:vAlign w:val="bottom"/>
            <w:tcBorders>
              <w:bottom w:val="single" w:sz="8" w:color="auto"/>
            </w:tcBorders>
          </w:tcPr>
          <w:p>
            <w:pPr>
              <w:jc w:val="center"/>
              <w:ind w:left="155"/>
              <w:spacing w:after="0"/>
              <w:rPr>
                <w:sz w:val="20"/>
                <w:szCs w:val="20"/>
                <w:color w:val="auto"/>
              </w:rPr>
            </w:pPr>
            <w:r>
              <w:rPr>
                <w:rFonts w:ascii="Arial" w:cs="Arial" w:eastAsia="Arial" w:hAnsi="Arial"/>
                <w:sz w:val="12"/>
                <w:szCs w:val="12"/>
                <w:b w:val="1"/>
                <w:bCs w:val="1"/>
                <w:color w:val="auto"/>
                <w:w w:val="96"/>
              </w:rPr>
              <w:t>Rating</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Outlook (1)</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center"/>
              <w:ind w:left="115"/>
              <w:spacing w:after="0"/>
              <w:rPr>
                <w:sz w:val="20"/>
                <w:szCs w:val="20"/>
                <w:color w:val="auto"/>
              </w:rPr>
            </w:pPr>
            <w:r>
              <w:rPr>
                <w:rFonts w:ascii="Arial" w:cs="Arial" w:eastAsia="Arial" w:hAnsi="Arial"/>
                <w:sz w:val="12"/>
                <w:szCs w:val="12"/>
                <w:b w:val="1"/>
                <w:bCs w:val="1"/>
                <w:color w:val="auto"/>
                <w:w w:val="96"/>
              </w:rPr>
              <w:t>Rating</w:t>
            </w:r>
          </w:p>
        </w:tc>
        <w:tc>
          <w:tcPr>
            <w:tcW w:w="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(2)</w:t>
            </w:r>
          </w:p>
        </w:tc>
        <w:tc>
          <w:tcPr>
            <w:tcW w:w="120" w:type="dxa"/>
            <w:vAlign w:val="bottom"/>
          </w:tcPr>
          <w:p>
            <w:pPr>
              <w:spacing w:after="0"/>
              <w:rPr>
                <w:sz w:val="13"/>
                <w:szCs w:val="13"/>
                <w:color w:val="auto"/>
              </w:rPr>
            </w:pPr>
          </w:p>
        </w:tc>
        <w:tc>
          <w:tcPr>
            <w:tcW w:w="760" w:type="dxa"/>
            <w:vAlign w:val="bottom"/>
            <w:tcBorders>
              <w:bottom w:val="single" w:sz="8" w:color="auto"/>
            </w:tcBorders>
          </w:tcPr>
          <w:p>
            <w:pPr>
              <w:jc w:val="center"/>
              <w:ind w:left="115"/>
              <w:spacing w:after="0"/>
              <w:rPr>
                <w:sz w:val="20"/>
                <w:szCs w:val="20"/>
                <w:color w:val="auto"/>
              </w:rPr>
            </w:pPr>
            <w:r>
              <w:rPr>
                <w:rFonts w:ascii="Arial" w:cs="Arial" w:eastAsia="Arial" w:hAnsi="Arial"/>
                <w:sz w:val="12"/>
                <w:szCs w:val="12"/>
                <w:b w:val="1"/>
                <w:bCs w:val="1"/>
                <w:color w:val="auto"/>
                <w:w w:val="96"/>
              </w:rPr>
              <w:t>Rating</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(3)</w:t>
            </w:r>
          </w:p>
        </w:tc>
        <w:tc>
          <w:tcPr>
            <w:tcW w:w="0" w:type="dxa"/>
            <w:vAlign w:val="bottom"/>
          </w:tcPr>
          <w:p>
            <w:pPr>
              <w:spacing w:after="0"/>
              <w:rPr>
                <w:sz w:val="1"/>
                <w:szCs w:val="1"/>
                <w:color w:val="auto"/>
              </w:rPr>
            </w:pPr>
          </w:p>
        </w:tc>
      </w:tr>
      <w:tr>
        <w:trPr>
          <w:trHeight w:val="186"/>
        </w:trPr>
        <w:tc>
          <w:tcPr>
            <w:tcW w:w="182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8"/>
                <w:szCs w:val="18"/>
                <w:color w:val="auto"/>
                <w:w w:val="92"/>
              </w:rPr>
              <w:t>CenterPoint Energy Senior Unsecured</w:t>
            </w: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72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85"/>
              </w:rPr>
              <w:t>Baa2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99"/>
              </w:rPr>
              <w:t>BBB</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99"/>
              </w:rPr>
              <w:t>BBB</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5"/>
        </w:trPr>
        <w:tc>
          <w:tcPr>
            <w:tcW w:w="1820" w:type="dxa"/>
            <w:vAlign w:val="bottom"/>
          </w:tcPr>
          <w:p>
            <w:pPr>
              <w:ind w:left="20"/>
              <w:spacing w:after="0"/>
              <w:rPr>
                <w:sz w:val="20"/>
                <w:szCs w:val="20"/>
                <w:color w:val="auto"/>
              </w:rPr>
            </w:pPr>
            <w:r>
              <w:rPr>
                <w:rFonts w:ascii="Arial" w:cs="Arial" w:eastAsia="Arial" w:hAnsi="Arial"/>
                <w:sz w:val="18"/>
                <w:szCs w:val="18"/>
                <w:color w:val="auto"/>
              </w:rPr>
              <w:t>CenterPoint Energy</w:t>
            </w:r>
          </w:p>
        </w:tc>
        <w:tc>
          <w:tcPr>
            <w:tcW w:w="120" w:type="dxa"/>
            <w:vAlign w:val="bottom"/>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Vectren Corp. Issuer Rating</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tcPr>
          <w:p>
            <w:pPr>
              <w:spacing w:after="0"/>
              <w:rPr>
                <w:sz w:val="19"/>
                <w:szCs w:val="19"/>
                <w:color w:val="auto"/>
              </w:rPr>
            </w:pPr>
          </w:p>
        </w:tc>
        <w:tc>
          <w:tcPr>
            <w:tcW w:w="800" w:type="dxa"/>
            <w:vAlign w:val="bottom"/>
          </w:tcPr>
          <w:p>
            <w:pPr>
              <w:jc w:val="center"/>
              <w:ind w:left="95"/>
              <w:spacing w:after="0"/>
              <w:rPr>
                <w:sz w:val="20"/>
                <w:szCs w:val="20"/>
                <w:color w:val="auto"/>
              </w:rPr>
            </w:pPr>
            <w:r>
              <w:rPr>
                <w:rFonts w:ascii="Arial" w:cs="Arial" w:eastAsia="Arial" w:hAnsi="Arial"/>
                <w:sz w:val="18"/>
                <w:szCs w:val="18"/>
                <w:color w:val="auto"/>
                <w:w w:val="98"/>
              </w:rPr>
              <w:t>BBB+</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120" w:type="dxa"/>
            <w:vAlign w:val="bottom"/>
          </w:tcPr>
          <w:p>
            <w:pPr>
              <w:spacing w:after="0"/>
              <w:rPr>
                <w:sz w:val="19"/>
                <w:szCs w:val="19"/>
                <w:color w:val="auto"/>
              </w:rPr>
            </w:pPr>
          </w:p>
        </w:tc>
        <w:tc>
          <w:tcPr>
            <w:tcW w:w="760" w:type="dxa"/>
            <w:vAlign w:val="bottom"/>
          </w:tcPr>
          <w:p>
            <w:pPr>
              <w:jc w:val="center"/>
              <w:ind w:left="115"/>
              <w:spacing w:after="0"/>
              <w:rPr>
                <w:sz w:val="20"/>
                <w:szCs w:val="20"/>
                <w:color w:val="auto"/>
              </w:rPr>
            </w:pPr>
            <w:r>
              <w:rPr>
                <w:rFonts w:ascii="Arial" w:cs="Arial" w:eastAsia="Arial" w:hAnsi="Arial"/>
                <w:sz w:val="18"/>
                <w:szCs w:val="18"/>
                <w:color w:val="auto"/>
                <w:w w:val="79"/>
              </w:rPr>
              <w:t>n/a</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40"/>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SIGECO Senior 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A1</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99"/>
              </w:rPr>
              <w:t>A</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79"/>
              </w:rPr>
              <w:t>n/a</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5"/>
        </w:trPr>
        <w:tc>
          <w:tcPr>
            <w:tcW w:w="1820" w:type="dxa"/>
            <w:vAlign w:val="bottom"/>
          </w:tcPr>
          <w:p>
            <w:pPr>
              <w:ind w:left="20"/>
              <w:spacing w:after="0"/>
              <w:rPr>
                <w:sz w:val="20"/>
                <w:szCs w:val="20"/>
                <w:color w:val="auto"/>
              </w:rPr>
            </w:pPr>
            <w:r>
              <w:rPr>
                <w:rFonts w:ascii="Arial" w:cs="Arial" w:eastAsia="Arial" w:hAnsi="Arial"/>
                <w:sz w:val="18"/>
                <w:szCs w:val="18"/>
                <w:color w:val="auto"/>
              </w:rPr>
              <w:t>Houston Electric</w:t>
            </w:r>
          </w:p>
        </w:tc>
        <w:tc>
          <w:tcPr>
            <w:tcW w:w="120" w:type="dxa"/>
            <w:vAlign w:val="bottom"/>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w w:val="93"/>
              </w:rPr>
              <w:t>Houston Electric Senior 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99"/>
              </w:rPr>
              <w:t>A2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Stable</w:t>
            </w:r>
          </w:p>
        </w:tc>
        <w:tc>
          <w:tcPr>
            <w:tcW w:w="100" w:type="dxa"/>
            <w:vAlign w:val="bottom"/>
          </w:tcPr>
          <w:p>
            <w:pPr>
              <w:spacing w:after="0"/>
              <w:rPr>
                <w:sz w:val="19"/>
                <w:szCs w:val="19"/>
                <w:color w:val="auto"/>
              </w:rPr>
            </w:pPr>
          </w:p>
        </w:tc>
        <w:tc>
          <w:tcPr>
            <w:tcW w:w="800" w:type="dxa"/>
            <w:vAlign w:val="bottom"/>
          </w:tcPr>
          <w:p>
            <w:pPr>
              <w:jc w:val="center"/>
              <w:ind w:left="115"/>
              <w:spacing w:after="0"/>
              <w:rPr>
                <w:sz w:val="20"/>
                <w:szCs w:val="20"/>
                <w:color w:val="auto"/>
              </w:rPr>
            </w:pPr>
            <w:r>
              <w:rPr>
                <w:rFonts w:ascii="Arial" w:cs="Arial" w:eastAsia="Arial" w:hAnsi="Arial"/>
                <w:sz w:val="18"/>
                <w:szCs w:val="18"/>
                <w:color w:val="auto"/>
                <w:w w:val="99"/>
              </w:rPr>
              <w:t>A</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120" w:type="dxa"/>
            <w:vAlign w:val="bottom"/>
          </w:tcPr>
          <w:p>
            <w:pPr>
              <w:spacing w:after="0"/>
              <w:rPr>
                <w:sz w:val="19"/>
                <w:szCs w:val="19"/>
                <w:color w:val="auto"/>
              </w:rPr>
            </w:pPr>
          </w:p>
        </w:tc>
        <w:tc>
          <w:tcPr>
            <w:tcW w:w="760" w:type="dxa"/>
            <w:vAlign w:val="bottom"/>
          </w:tcPr>
          <w:p>
            <w:pPr>
              <w:jc w:val="center"/>
              <w:ind w:left="115"/>
              <w:spacing w:after="0"/>
              <w:rPr>
                <w:sz w:val="20"/>
                <w:szCs w:val="20"/>
                <w:color w:val="auto"/>
              </w:rPr>
            </w:pPr>
            <w:r>
              <w:rPr>
                <w:rFonts w:ascii="Arial" w:cs="Arial" w:eastAsia="Arial" w:hAnsi="Arial"/>
                <w:sz w:val="18"/>
                <w:szCs w:val="18"/>
                <w:color w:val="auto"/>
                <w:w w:val="99"/>
              </w:rPr>
              <w:t>A</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6"/>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CERC Corp.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8"/>
              </w:rPr>
              <w:t>BBB+</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5"/>
        </w:trPr>
        <w:tc>
          <w:tcPr>
            <w:tcW w:w="1820" w:type="dxa"/>
            <w:vAlign w:val="bottom"/>
          </w:tcPr>
          <w:p>
            <w:pPr>
              <w:ind w:left="20"/>
              <w:spacing w:after="0"/>
              <w:rPr>
                <w:sz w:val="20"/>
                <w:szCs w:val="20"/>
                <w:color w:val="auto"/>
              </w:rPr>
            </w:pPr>
            <w:r>
              <w:rPr>
                <w:rFonts w:ascii="Arial" w:cs="Arial" w:eastAsia="Arial" w:hAnsi="Arial"/>
                <w:sz w:val="18"/>
                <w:szCs w:val="18"/>
                <w:color w:val="auto"/>
              </w:rPr>
              <w:t>CERC</w:t>
            </w:r>
          </w:p>
        </w:tc>
        <w:tc>
          <w:tcPr>
            <w:tcW w:w="120" w:type="dxa"/>
            <w:vAlign w:val="bottom"/>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w w:val="97"/>
              </w:rPr>
              <w:t>Indiana Gas Senior Unsecured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tcPr>
          <w:p>
            <w:pPr>
              <w:spacing w:after="0"/>
              <w:rPr>
                <w:sz w:val="19"/>
                <w:szCs w:val="19"/>
                <w:color w:val="auto"/>
              </w:rPr>
            </w:pPr>
          </w:p>
        </w:tc>
        <w:tc>
          <w:tcPr>
            <w:tcW w:w="800" w:type="dxa"/>
            <w:vAlign w:val="bottom"/>
          </w:tcPr>
          <w:p>
            <w:pPr>
              <w:jc w:val="center"/>
              <w:ind w:left="95"/>
              <w:spacing w:after="0"/>
              <w:rPr>
                <w:sz w:val="20"/>
                <w:szCs w:val="20"/>
                <w:color w:val="auto"/>
              </w:rPr>
            </w:pPr>
            <w:r>
              <w:rPr>
                <w:rFonts w:ascii="Arial" w:cs="Arial" w:eastAsia="Arial" w:hAnsi="Arial"/>
                <w:sz w:val="18"/>
                <w:szCs w:val="18"/>
                <w:color w:val="auto"/>
                <w:w w:val="98"/>
              </w:rPr>
              <w:t>BBB+</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120" w:type="dxa"/>
            <w:vAlign w:val="bottom"/>
          </w:tcPr>
          <w:p>
            <w:pPr>
              <w:spacing w:after="0"/>
              <w:rPr>
                <w:sz w:val="19"/>
                <w:szCs w:val="19"/>
                <w:color w:val="auto"/>
              </w:rPr>
            </w:pPr>
          </w:p>
        </w:tc>
        <w:tc>
          <w:tcPr>
            <w:tcW w:w="760" w:type="dxa"/>
            <w:vAlign w:val="bottom"/>
          </w:tcPr>
          <w:p>
            <w:pPr>
              <w:jc w:val="center"/>
              <w:ind w:left="115"/>
              <w:spacing w:after="0"/>
              <w:rPr>
                <w:sz w:val="20"/>
                <w:szCs w:val="20"/>
                <w:color w:val="auto"/>
              </w:rPr>
            </w:pPr>
            <w:r>
              <w:rPr>
                <w:rFonts w:ascii="Arial" w:cs="Arial" w:eastAsia="Arial" w:hAnsi="Arial"/>
                <w:sz w:val="18"/>
                <w:szCs w:val="18"/>
                <w:color w:val="auto"/>
                <w:w w:val="79"/>
              </w:rPr>
              <w:t>n/a</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40" w:hanging="315"/>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33"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220"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June 30, 2023, the impact on the borrowing costs under the three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220"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$249 million as of June 30, 2023. The amount of collateral will depend on seasonal variations in transportation levels.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45"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June 30, 2023, deferred taxes of approximately $697 million would have been payable in 2023. If all the ZENS-Related Securities had been sold on June 30, 2023, capital gains taxes of approximately $76 million would have been payable in 2023 based on 2023 tax rates in effect. For additional information about ZENS, see Note 10 to the Interim Condensed Financial Statements.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 Defaults</w:t>
      </w:r>
    </w:p>
    <w:p>
      <w:pPr>
        <w:spacing w:after="0" w:line="245" w:lineRule="exact"/>
        <w:rPr>
          <w:sz w:val="20"/>
          <w:szCs w:val="20"/>
          <w:color w:val="auto"/>
        </w:rPr>
      </w:pPr>
    </w:p>
    <w:p>
      <w:pPr>
        <w:jc w:val="both"/>
        <w:ind w:firstLine="319"/>
        <w:spacing w:after="0" w:line="307" w:lineRule="auto"/>
        <w:rPr>
          <w:sz w:val="20"/>
          <w:szCs w:val="20"/>
          <w:color w:val="auto"/>
        </w:rPr>
      </w:pPr>
      <w:r>
        <w:rPr>
          <w:rFonts w:ascii="Arial" w:cs="Arial" w:eastAsia="Arial" w:hAnsi="Arial"/>
          <w:sz w:val="15"/>
          <w:szCs w:val="15"/>
          <w:color w:val="auto"/>
        </w:rPr>
        <w:t>Under each of CenterPoint Energy’s, Houston Electric’s and CERC’s respective revolving credit facilities and CERC’s term loan agreement,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CenterPoint Energy most recently increased its planned capital expenditures in its Electric and Natural Gas businesses in July 2023 to support further rate base growth. The Registrants may continue to explore asset sales as a means to efficiently finance a portion of its increased capital expenditures in the future, subject to the conditions listed above. For further information, see Note 3 to the Interim Condensed Financial Statements.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From time to time, the Registrants may enter into interest rate agreements to hedge, in part, volatility in the U.S. treasury rates by reducing variability in cash flows related to interest payments. As of June 30, 2023, the total notional amount of CenterPoint Energy’s forward interest rate agreements was $75 million. For further information, see Note 7(a) to the Interim Condensed Financial Statements.</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45"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bankruptcy. However, PUCT regulations authorize utilities, such as Houston Electric, to defer bad debts resulting from defaults by REPs for recovery in future rate cases, subject to a review of reasonableness and necessity.</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17" w:lineRule="exact"/>
        <w:rPr>
          <w:sz w:val="20"/>
          <w:szCs w:val="20"/>
          <w:color w:val="auto"/>
        </w:rPr>
      </w:pPr>
    </w:p>
    <w:p>
      <w:pPr>
        <w:ind w:left="640" w:hanging="315"/>
        <w:spacing w:after="0" w:line="260"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spacing w:after="0" w:line="1" w:lineRule="exact"/>
        <w:rPr>
          <w:rFonts w:ascii="Arial" w:cs="Arial" w:eastAsia="Arial" w:hAnsi="Arial"/>
          <w:sz w:val="17"/>
          <w:szCs w:val="17"/>
          <w:color w:val="auto"/>
        </w:rPr>
      </w:pPr>
    </w:p>
    <w:p>
      <w:pPr>
        <w:ind w:left="640" w:hanging="315"/>
        <w:spacing w:after="0" w:line="246"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(CenterPoint Energy and CERC);</w:t>
      </w:r>
    </w:p>
    <w:p>
      <w:pPr>
        <w:spacing w:after="0" w:line="5"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increases in interest expense in connection with debt refinancings and borrowings under credit facilities or term loans or the use of alternative sources of financings on capital and other financial markets;</w:t>
      </w: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various legislative or regulatory actions;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w:t>
      </w:r>
    </w:p>
    <w:p>
      <w:pPr>
        <w:spacing w:after="0" w:line="5"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w:t>
      </w:r>
    </w:p>
    <w:p>
      <w:pPr>
        <w:ind w:left="640" w:hanging="315"/>
        <w:spacing w:after="0" w:line="246"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public health threats or severe weather events (CenterPoint Energy and CERC);</w:t>
      </w: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disruptions in the banking industry, including bank failures and uncertainty regarding bank stability;</w:t>
      </w:r>
    </w:p>
    <w:p>
      <w:pPr>
        <w:spacing w:after="0" w:line="5" w:lineRule="exact"/>
        <w:rPr>
          <w:rFonts w:ascii="Arial" w:cs="Arial" w:eastAsia="Arial" w:hAnsi="Arial"/>
          <w:sz w:val="18"/>
          <w:szCs w:val="18"/>
          <w:color w:val="auto"/>
        </w:rPr>
      </w:pPr>
    </w:p>
    <w:p>
      <w:pPr>
        <w:ind w:left="640" w:hanging="315"/>
        <w:spacing w:after="0" w:line="246"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restoration costs and revenue losses resulting from future natural disasters such as hurricanes and the timing of recovery of such restoration costs; and</w:t>
      </w: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various other risks identified in “Risk Factors” in </w:t>
      </w:r>
      <w:hyperlink r:id="rId122">
        <w:r>
          <w:rPr>
            <w:rFonts w:ascii="Arial" w:cs="Arial" w:eastAsia="Arial" w:hAnsi="Arial"/>
            <w:sz w:val="18"/>
            <w:szCs w:val="18"/>
            <w:u w:val="single" w:color="auto"/>
            <w:color w:val="0000FF"/>
          </w:rPr>
          <w:t>Item 1A of Part I of the Registrants’ combined 2022 Form 10-K</w:t>
        </w:r>
      </w:hyperlink>
      <w:r>
        <w:rPr>
          <w:rFonts w:ascii="Arial" w:cs="Arial" w:eastAsia="Arial" w:hAnsi="Arial"/>
          <w:sz w:val="18"/>
          <w:szCs w:val="18"/>
          <w:color w:val="auto"/>
        </w:rPr>
        <w:t>.</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45" w:lineRule="exact"/>
        <w:rPr>
          <w:sz w:val="20"/>
          <w:szCs w:val="20"/>
          <w:color w:val="auto"/>
        </w:rPr>
      </w:pPr>
    </w:p>
    <w:p>
      <w:pPr>
        <w:jc w:val="both"/>
        <w:ind w:firstLine="319"/>
        <w:spacing w:after="0" w:line="261" w:lineRule="auto"/>
        <w:rPr>
          <w:sz w:val="20"/>
          <w:szCs w:val="20"/>
          <w:color w:val="auto"/>
        </w:rPr>
      </w:pPr>
      <w:r>
        <w:rPr>
          <w:rFonts w:ascii="Arial" w:cs="Arial" w:eastAsia="Arial" w:hAnsi="Arial"/>
          <w:sz w:val="17"/>
          <w:szCs w:val="17"/>
          <w:color w:val="auto"/>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11 to the Interim Condensed Financial Statements.</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CRITICAL ACCOUNTING POLICIES</w:t>
      </w:r>
    </w:p>
    <w:p>
      <w:pPr>
        <w:spacing w:after="0" w:line="251"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5"/>
          <w:szCs w:val="15"/>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Including Identifiable Intangibles and Goodwill</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Registrants review the carrying value of long-lived assets, including identifiable intangibles and goodwill, whenever events or changes in circumstances indicate that such carrying values may not be recoverable, and at least annually, goodwill is tested for impairment as required by accounting guidance for goodwill and other intangible assets. Unforeseen events, changes in market conditions, and probable regulatory disallowances, where applicable, could have a material effect on the value of long-lived assets, including intangibles and goodwill, future cash flows, interest rate, and regulatory matters, and could result in an impairment charge.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CenterPoint Energy and CERC completed their 2022 annual goodwill impairment test during the third quarter of 2022 and determined, based on an income approach or a weighted combination of income and market approaches, that no goodwill impairment charge was required for any reporting unit. The fair values of each reporting unit significantly exceeded the carrying value of the reporting unit as of the last annual test.</w:t>
      </w:r>
    </w:p>
    <w:p>
      <w:pPr>
        <w:spacing w:after="0" w:line="197"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From time to time, the Registrants consider the acquisition or the disposition of assets or businesses, and market information obtained through these exploratory activities is considered during the preparation of the financial statements to determine if an interim impairment test is required. The Registrants did not identify triggering events in connection with their preparation of the financial statements for the three months ended June 30, 2023, and goodwill impairment of long-lived asset impairments tests were not required or performed. See discussion below for goodwill attributable to disposed businesses, including assets held for sale.</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Divestitures, including assets held for sale</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spacing w:after="0" w:line="220"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During the three and six months ended June 30, 2023, as described further in Note 3 to the Interim Condensed Financial Statements, certain assets and liabilities of Energy Systems Group representing a business were disposed. As a result of the held for sale criteria being met during the same period as the completion of the sale, goodwill attributable to Energy Systems Group of $134 million was reflected in the pre-tax loss on sale of $12 million based on the actual sale proceeds received at closing during the three and six months ended June 30, 2023.</w:t>
      </w:r>
    </w:p>
    <w:p>
      <w:pPr>
        <w:spacing w:after="0" w:line="203"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spacing w:after="0" w:line="16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Fair value measurements require significant judgment and often unobservable inputs, including (i) projected timing and amount of future cash flows, which factor in planned growth initiatives, (ii) the regulatory environment, as applicable, and (iii) discount rates reflecting risk inherent in the future market prices. Changes in these assumptions could have a significant impact on the resulting fair value.</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see Note 3 to the Interim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Securitization of Planned Generation Retirements</w:t>
      </w:r>
    </w:p>
    <w:p>
      <w:pPr>
        <w:spacing w:after="0" w:line="251" w:lineRule="exact"/>
        <w:rPr>
          <w:sz w:val="20"/>
          <w:szCs w:val="20"/>
          <w:color w:val="auto"/>
        </w:rPr>
      </w:pPr>
    </w:p>
    <w:p>
      <w:pPr>
        <w:jc w:val="both"/>
        <w:ind w:firstLine="319"/>
        <w:spacing w:after="0" w:line="305" w:lineRule="auto"/>
        <w:rPr>
          <w:sz w:val="20"/>
          <w:szCs w:val="20"/>
          <w:color w:val="auto"/>
        </w:rPr>
      </w:pPr>
      <w:r>
        <w:rPr>
          <w:rFonts w:ascii="Arial" w:cs="Arial" w:eastAsia="Arial" w:hAnsi="Arial"/>
          <w:sz w:val="15"/>
          <w:szCs w:val="15"/>
          <w:color w:val="auto"/>
        </w:rPr>
        <w:t>Accounting guidance for rate regulated long-lived asset abandonment requires that the carrying value of an operating asset or an asset under construction is removed from property, plant and equipment when it becomes probable that the asset will be abandoned. The Registrants recognize either a loss on abandonment or regulatory asset when they concluded it is probable the cost will be recovered in future rates. The portion of property, plant and equipment that will remain used and useful until abandonment and recovered through depreciation expense in rates will continue to be classified as property, plant and equipment until the asset is abandoned. The Registrants evaluate if an adjustment to the estimated life of the asset and, accordingly, the rate of depreciation, is required to recover the asset while it is still providing service. Determining probability of abandonment or probability of recovery requires significant judgment on the part of management and includes, but is not limited to, consideration of testimony presented in regulatory hearings, proposed regulatory decisions, final regulatory orders and the strength or status of applications for rehearing or state court appeals.</w:t>
      </w:r>
    </w:p>
    <w:p>
      <w:pPr>
        <w:spacing w:after="0" w:line="185"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color w:val="auto"/>
        </w:rPr>
        <w:t>In connection with the securitization financing of qualified costs in the second quarter of 2023 associated with the planned retirement of SIGECO’s A.B. Brown coal generation facilities, CenterPoint Energy evaluated the VIE consisting of the Securitization Subsidiary, a wholly-owned, bankruptcy-remote, special purpose entity, for possible consolidation, including review of qualitative factors such as the power to direct the activities of the VIE and the obligation to absorb losses of the VIE. CenterPoint Energy has the power to direct the significant activities of the VIE and is most closely associated with the VIE as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compared to other interests held by the holders of the SIGECO Securitization Bonds. CenterPoint Energy is, therefore, considered the primary beneficiary and consolidated the VIE.</w:t>
      </w:r>
    </w:p>
    <w:p>
      <w:pPr>
        <w:spacing w:after="0" w:line="20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For purposes of reporting cash flows, the Registrants consider cash equivalents to be short-term, highly-liquid investments with maturities of three months or less from the date of purchase. Cash and cash equivalents held by the Securitization Subsidiary solely to support servicing the SIGECO Securitization Bonds as of June 30, 2023 are reflected on CenterPoint Energy’s Consolidated Balance Sheet.</w:t>
      </w:r>
    </w:p>
    <w:p>
      <w:pPr>
        <w:spacing w:after="0" w:line="21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connection with the issuance of the SIGECO Securitization Bonds, CenterPoint Energy was required to establish a restricted cash account to collateralize the SIGECO Securitization Bonds that were issued in the financing transaction. The restricted cash account is not available for withdrawal until the maturity of the SIGECO Securitization Bonds and is not included in cash and cash equivalents.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see Notes 1 and 6 to the Interim Condensed Financial Statements.</w:t>
      </w:r>
    </w:p>
    <w:p>
      <w:pPr>
        <w:spacing w:after="0" w:line="23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Other than the interim goodwill impairment review and securitization transaction discussed above, there have been no significant changes in our critical accounting policies during the six months ended June 30, 2023, as compared to the critical accounting policies disclosed in Management’s Discussion and Analysis of Financial Condition and Results of Operations included in the Registrants’ combined 2022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5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As of June 30, 2023, CenterPoint Energy had outstanding long-term debt, lease obligations and obligations under its ZENS that subject it to the risk of loss associated with movements in market interest rates.</w:t>
      </w:r>
    </w:p>
    <w:p>
      <w:pPr>
        <w:spacing w:after="0" w:line="20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CenterPoint Energy’s floating rate obligations aggregated $2.4 billion and $4.5 billion as of June 30, 2023 and December 31, 2022, respectively. If the floating interest rates were to increase by 100 basis points from June 30, 2023 rates, CenterPoint Energy’s combined interest expense would increase by approximately $24 million annually. In April 2023, SIGECO executed a remarketing agreement to remarket five series of tax-exempt debt of approximately $148 million, which closed on May 1, 2023. SIGECO expects to remarket an additional $38 million of tax-exempt debt at then market rates due to mandatory purchase or mandatory tender for purchase provisions by the end of 2023. For further information, see Note 11 to the Interim Condensed Financial Statements. On September 1, 2023, CenterPoint Energy’s Series A Preferred Stock will convert from a fixed rate dividend rate to a floating rate per annum equal to three month U.S. dollar LIBOR (or alternative benchmark rate) plus 3.270%.</w:t>
      </w:r>
    </w:p>
    <w:p>
      <w:pPr>
        <w:spacing w:after="0" w:line="197"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7"/>
          <w:szCs w:val="17"/>
          <w:color w:val="auto"/>
        </w:rPr>
        <w:t>As of June 30, 2023 and December 31, 2022, CenterPoint Energy had outstanding fixed-rate debt (excluding indexed debt securities) aggregating $14.7 billion and $12.5 billion, respectively, in principal amount and having a fair value of $13.5 billion and $11.1 billion, respectively. Because these instruments are fixed-rate, they do not expose CenterPoint Energy to the risk of loss in earnings due to changes in market interest rates. However, the fair value of these instruments would increase by approximately $634 million if interest rates were to decline by 10% from levels at June 30, 2023. In general, such an increase in fair value would impact earnings and cash flows only if CenterPoint Energy were to reacquire all or a portion of these instruments in the open market prior to their maturity. On an unconsolidated basis, CenterPoint Energy has no fixed-rate senior notes maturing in 2023; however, CERC has $57 million of fixed-rate senior notes maturing in 2023 that it expects to refinance at current rates.</w:t>
      </w:r>
    </w:p>
    <w:p>
      <w:pPr>
        <w:spacing w:after="0" w:line="22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The ZENS obligation is bifurcated into a debt component and a derivative component. The debt component of $6 million as of June 30, 2023 was a fixed-rate obligation and, therefore, did not expose CenterPoint Energy to the risk of loss in earnings due to changes in market interest rates. However, the fair value of the debt component would increase by approximately $1 million if interest rates were to decline by 10% from levels at June 30, 2023. Changes in the fair value of the derivative component, a $583 million recorded liability at June 30, 2023,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June 30, 2023 levels, the fair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value of the derivative component liability would decrease by $1 million, which would be recorded as an unrealized gain in CenterPoint Energy’s Condensed Statements of Consolidated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June 30, 2023 aggregate market value of these shares would result in a net loss of less than $1 million, which would be recorded as a loss in CenterPoint Energy’s Condensed Statements of Consolidated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 and CERC)</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CenterPoint Energy’s and CERC’s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and CERC’s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June 30, 2023, the recorded fair value of non-trading energy derivative assets was $1 million and $1 million, respectively, for CenterPoint Energy’s and CERC’s utility natural gas operations in Indiana.</w:t>
      </w:r>
    </w:p>
    <w:p>
      <w:pPr>
        <w:spacing w:after="0" w:line="210"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Although CenterPoint Energy’s and CERC’s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and CERC’s Ohio natural gas service territory, allowing Ohio customers to purchase substantially all natural gas directly from retail marketers rather than from CenterPoint Energy or CERC.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June 30, 2023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10"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There has been no change in the Registrants’ internal controls over financial reporting that occurred during the three months ended June 30, 2023 that has materially affected, or is reasonably likely to materially affect, the Registrants’ internal controls over financial reporting.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For a description of certain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please read Note 13(c) to the Interim Condensed Financial Statements and “Management’s Discussion and Analysis of Financial Condition and Results of Operations — Liquidity and Capital Resources — Future Sources and Uses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spacing w:after="0" w:line="265" w:lineRule="auto"/>
        <w:rPr>
          <w:rFonts w:ascii="Arial" w:cs="Arial" w:eastAsia="Arial" w:hAnsi="Arial"/>
          <w:sz w:val="18"/>
          <w:szCs w:val="18"/>
          <w:color w:val="auto"/>
        </w:rPr>
      </w:pPr>
      <w:r>
        <w:rPr>
          <w:rFonts w:ascii="Arial" w:cs="Arial" w:eastAsia="Arial" w:hAnsi="Arial"/>
          <w:sz w:val="18"/>
          <w:szCs w:val="18"/>
          <w:color w:val="auto"/>
        </w:rPr>
        <w:t>Cash” and “— Regulatory Matters,” each of which is incorporated herein by reference. See also “</w:t>
      </w:r>
      <w:hyperlink r:id="rId127">
        <w:r>
          <w:rPr>
            <w:rFonts w:ascii="Arial" w:cs="Arial" w:eastAsia="Arial" w:hAnsi="Arial"/>
            <w:sz w:val="18"/>
            <w:szCs w:val="18"/>
            <w:u w:val="single" w:color="auto"/>
            <w:color w:val="0000FF"/>
          </w:rPr>
          <w:t>Business — Regulation” and “— Environmental Matters</w:t>
        </w:r>
      </w:hyperlink>
      <w:r>
        <w:rPr>
          <w:rFonts w:ascii="Arial" w:cs="Arial" w:eastAsia="Arial" w:hAnsi="Arial"/>
          <w:sz w:val="18"/>
          <w:szCs w:val="18"/>
          <w:color w:val="auto"/>
        </w:rPr>
        <w:t>” in Item 1 and “</w:t>
      </w:r>
      <w:hyperlink r:id="rId128">
        <w:r>
          <w:rPr>
            <w:rFonts w:ascii="Arial" w:cs="Arial" w:eastAsia="Arial" w:hAnsi="Arial"/>
            <w:sz w:val="18"/>
            <w:szCs w:val="18"/>
            <w:u w:val="single" w:color="auto"/>
            <w:color w:val="0000FF"/>
          </w:rPr>
          <w:t>Legal Proceedings</w:t>
        </w:r>
      </w:hyperlink>
      <w:r>
        <w:rPr>
          <w:rFonts w:ascii="Arial" w:cs="Arial" w:eastAsia="Arial" w:hAnsi="Arial"/>
          <w:sz w:val="18"/>
          <w:szCs w:val="18"/>
          <w:color w:val="auto"/>
        </w:rPr>
        <w:t>” in Item 3 of the Registrants’ combined 2022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material changes from the risk factors disclosed in the Registrants’ combined 2022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Trading Arrangements</w:t>
      </w:r>
    </w:p>
    <w:p>
      <w:pPr>
        <w:spacing w:after="0" w:line="245" w:lineRule="exact"/>
        <w:rPr>
          <w:sz w:val="20"/>
          <w:szCs w:val="20"/>
          <w:color w:val="auto"/>
        </w:rPr>
      </w:pPr>
    </w:p>
    <w:p>
      <w:pPr>
        <w:ind w:firstLine="319"/>
        <w:spacing w:after="0" w:line="295" w:lineRule="auto"/>
        <w:rPr>
          <w:sz w:val="20"/>
          <w:szCs w:val="20"/>
          <w:color w:val="auto"/>
        </w:rPr>
      </w:pPr>
      <w:r>
        <w:rPr>
          <w:rFonts w:ascii="Arial" w:cs="Arial" w:eastAsia="Arial" w:hAnsi="Arial"/>
          <w:sz w:val="17"/>
          <w:szCs w:val="17"/>
          <w:color w:val="auto"/>
        </w:rPr>
        <w:t>During the three months ended June 30, 2023, no director or officer of CenterPoint Energy, Houston Electric or CERC adopted or terminated a “Rule 10b5-1 trading arrangement” or “non-Rule 10b5-1 trading arrangement,” as each term is defined in Item 408 of Regulation 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IBEW 66 Negotiations</w:t>
      </w:r>
    </w:p>
    <w:p>
      <w:pPr>
        <w:spacing w:after="0" w:line="245"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7"/>
          <w:szCs w:val="17"/>
          <w:color w:val="auto"/>
        </w:rPr>
        <w:t>The collective bargaining agreement with IBEW 66 related to Houston Electric employees was scheduled to expire in May 2023. Houston Electric and IBEW 66 have agreed to renew the agreement on a monthly basis while active negotiations continue on a new collective bargaining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a Material Definitive Agreement</w:t>
      </w:r>
    </w:p>
    <w:p>
      <w:pPr>
        <w:spacing w:after="0" w:line="24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On July 26, 2023, CenterPoint Energy, JPMorgan Chase Bank, N.A., as administrative agent, and the banks party thereto entered into the First Amendment, amending the Credit Agreement. The First Amendment amends the Credit Agreement to clarify the events or conditions with respect to certain future indebtedness of CenterPoint Energy that may constitute an event of default under the Credit Agreement.</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Certain banks party thereto may also participate in the revolving credit facilities of Houston Electric, CERC Corp. and SIGECO.</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The First Amendment is filed as Exhibit 10.1 to this report and is incorporated by reference herein. The foregoing summary does not purport to be complete and is qualified in its entirety by reference to the First Amendment.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Exhibits filed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93"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Report or Registration</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SEC File or</w:t>
            </w:r>
          </w:p>
        </w:tc>
        <w:tc>
          <w:tcPr>
            <w:tcW w:w="1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CenterPoint</w:t>
            </w:r>
          </w:p>
        </w:tc>
        <w:tc>
          <w:tcPr>
            <w:tcW w:w="1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Houston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40" w:type="dxa"/>
            <w:vAlign w:val="bottom"/>
            <w:gridSpan w:val="10"/>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Registration</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40" w:type="dxa"/>
            <w:vAlign w:val="bottom"/>
            <w:gridSpan w:val="10"/>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Statement</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980" w:type="dxa"/>
            <w:vAlign w:val="bottom"/>
          </w:tcPr>
          <w:p>
            <w:pPr>
              <w:jc w:val="center"/>
              <w:spacing w:after="0" w:line="126"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1"/>
                <w:szCs w:val="11"/>
                <w:color w:val="auto"/>
              </w:rPr>
            </w:pPr>
          </w:p>
        </w:tc>
        <w:tc>
          <w:tcPr>
            <w:tcW w:w="2740" w:type="dxa"/>
            <w:vAlign w:val="bottom"/>
            <w:gridSpan w:val="11"/>
          </w:tcPr>
          <w:p>
            <w:pPr>
              <w:spacing w:after="0" w:line="126" w:lineRule="exact"/>
              <w:rPr>
                <w:rFonts w:ascii="Arial" w:cs="Arial" w:eastAsia="Arial" w:hAnsi="Arial"/>
                <w:sz w:val="14"/>
                <w:szCs w:val="14"/>
                <w:color w:val="0000FF"/>
              </w:rPr>
            </w:pPr>
            <w:hyperlink r:id="rId129">
              <w:r>
                <w:rPr>
                  <w:rFonts w:ascii="Arial" w:cs="Arial" w:eastAsia="Arial" w:hAnsi="Arial"/>
                  <w:sz w:val="14"/>
                  <w:szCs w:val="14"/>
                  <w:color w:val="0000FF"/>
                </w:rPr>
                <w:t>Agreement and Plan of Merger, dated as of</w:t>
              </w:r>
            </w:hyperlink>
          </w:p>
        </w:tc>
        <w:tc>
          <w:tcPr>
            <w:tcW w:w="120" w:type="dxa"/>
            <w:vAlign w:val="bottom"/>
          </w:tcPr>
          <w:p>
            <w:pPr>
              <w:spacing w:after="0"/>
              <w:rPr>
                <w:sz w:val="11"/>
                <w:szCs w:val="11"/>
                <w:color w:val="auto"/>
              </w:rPr>
            </w:pPr>
          </w:p>
        </w:tc>
        <w:tc>
          <w:tcPr>
            <w:tcW w:w="1600" w:type="dxa"/>
            <w:vAlign w:val="bottom"/>
          </w:tcPr>
          <w:p>
            <w:pPr>
              <w:jc w:val="center"/>
              <w:spacing w:after="0" w:line="126" w:lineRule="exact"/>
              <w:rPr>
                <w:sz w:val="20"/>
                <w:szCs w:val="20"/>
                <w:color w:val="auto"/>
              </w:rPr>
            </w:pPr>
            <w:r>
              <w:rPr>
                <w:rFonts w:ascii="Arial" w:cs="Arial" w:eastAsia="Arial" w:hAnsi="Arial"/>
                <w:sz w:val="14"/>
                <w:szCs w:val="14"/>
                <w:color w:val="auto"/>
                <w:w w:val="91"/>
              </w:rPr>
              <w:t>CenterPoint Energy’s Form</w:t>
            </w:r>
          </w:p>
        </w:tc>
        <w:tc>
          <w:tcPr>
            <w:tcW w:w="100" w:type="dxa"/>
            <w:vAlign w:val="bottom"/>
          </w:tcPr>
          <w:p>
            <w:pPr>
              <w:spacing w:after="0"/>
              <w:rPr>
                <w:sz w:val="11"/>
                <w:szCs w:val="11"/>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1"/>
                <w:szCs w:val="11"/>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4"/>
                <w:szCs w:val="14"/>
                <w:color w:val="auto"/>
                <w:w w:val="81"/>
              </w:rPr>
              <w:t>2.1</w:t>
            </w:r>
          </w:p>
        </w:tc>
        <w:tc>
          <w:tcPr>
            <w:tcW w:w="100" w:type="dxa"/>
            <w:vAlign w:val="bottom"/>
          </w:tcPr>
          <w:p>
            <w:pPr>
              <w:spacing w:after="0"/>
              <w:rPr>
                <w:sz w:val="11"/>
                <w:szCs w:val="11"/>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40" w:type="dxa"/>
            <w:vAlign w:val="bottom"/>
            <w:tcBorders>
              <w:top w:val="single" w:sz="8" w:color="0000FF"/>
            </w:tcBorders>
            <w:gridSpan w:val="7"/>
          </w:tcPr>
          <w:p>
            <w:pPr>
              <w:spacing w:after="0" w:line="119" w:lineRule="exact"/>
              <w:rPr>
                <w:rFonts w:ascii="Arial" w:cs="Arial" w:eastAsia="Arial" w:hAnsi="Arial"/>
                <w:sz w:val="13"/>
                <w:szCs w:val="13"/>
                <w:color w:val="0000FF"/>
              </w:rPr>
            </w:pPr>
            <w:hyperlink r:id="rId129">
              <w:r>
                <w:rPr>
                  <w:rFonts w:ascii="Arial" w:cs="Arial" w:eastAsia="Arial" w:hAnsi="Arial"/>
                  <w:sz w:val="13"/>
                  <w:szCs w:val="13"/>
                  <w:color w:val="0000FF"/>
                </w:rPr>
                <w:t>April 21, 2018, by and among Vectren</w:t>
              </w:r>
            </w:hyperlink>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19" w:lineRule="exact"/>
              <w:rPr>
                <w:sz w:val="20"/>
                <w:szCs w:val="20"/>
                <w:color w:val="auto"/>
              </w:rPr>
            </w:pPr>
            <w:r>
              <w:rPr>
                <w:rFonts w:ascii="Arial" w:cs="Arial" w:eastAsia="Arial" w:hAnsi="Arial"/>
                <w:sz w:val="13"/>
                <w:szCs w:val="13"/>
                <w:color w:val="auto"/>
              </w:rPr>
              <w:t>8-K dated April 21, 2018</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Borders>
              <w:top w:val="single" w:sz="8" w:color="0000FF"/>
            </w:tcBorders>
            <w:gridSpan w:val="3"/>
          </w:tcPr>
          <w:p>
            <w:pPr>
              <w:spacing w:after="0" w:line="126" w:lineRule="exact"/>
              <w:rPr>
                <w:rFonts w:ascii="Arial" w:cs="Arial" w:eastAsia="Arial" w:hAnsi="Arial"/>
                <w:sz w:val="14"/>
                <w:szCs w:val="14"/>
                <w:color w:val="0000FF"/>
                <w:w w:val="92"/>
              </w:rPr>
            </w:pPr>
            <w:hyperlink r:id="rId129">
              <w:r>
                <w:rPr>
                  <w:rFonts w:ascii="Arial" w:cs="Arial" w:eastAsia="Arial" w:hAnsi="Arial"/>
                  <w:sz w:val="14"/>
                  <w:szCs w:val="14"/>
                  <w:color w:val="0000FF"/>
                  <w:w w:val="92"/>
                </w:rPr>
                <w:t>Corporation, CenterPoint Energy, Inc.</w:t>
              </w:r>
            </w:hyperlink>
          </w:p>
        </w:tc>
        <w:tc>
          <w:tcPr>
            <w:tcW w:w="560" w:type="dxa"/>
            <w:vAlign w:val="bottom"/>
            <w:gridSpan w:val="8"/>
          </w:tcPr>
          <w:p>
            <w:pPr>
              <w:ind w:left="20"/>
              <w:spacing w:after="0" w:line="126" w:lineRule="exact"/>
              <w:rPr>
                <w:rFonts w:ascii="Arial" w:cs="Arial" w:eastAsia="Arial" w:hAnsi="Arial"/>
                <w:sz w:val="14"/>
                <w:szCs w:val="14"/>
                <w:color w:val="0000FF"/>
              </w:rPr>
            </w:pPr>
            <w:hyperlink r:id="rId129">
              <w:r>
                <w:rPr>
                  <w:rFonts w:ascii="Arial" w:cs="Arial" w:eastAsia="Arial" w:hAnsi="Arial"/>
                  <w:sz w:val="14"/>
                  <w:szCs w:val="14"/>
                  <w:color w:val="0000FF"/>
                </w:rPr>
                <w:t>and</w:t>
              </w:r>
            </w:hyperlink>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top w:val="single" w:sz="8" w:color="0000FF"/>
              <w:bottom w:val="single" w:sz="8" w:color="0000FF"/>
            </w:tcBorders>
            <w:gridSpan w:val="2"/>
          </w:tcPr>
          <w:p>
            <w:pPr>
              <w:spacing w:after="0" w:line="126" w:lineRule="exact"/>
              <w:rPr>
                <w:rFonts w:ascii="Arial" w:cs="Arial" w:eastAsia="Arial" w:hAnsi="Arial"/>
                <w:sz w:val="14"/>
                <w:szCs w:val="14"/>
                <w:color w:val="0000FF"/>
                <w:w w:val="90"/>
              </w:rPr>
            </w:pPr>
            <w:hyperlink r:id="rId129">
              <w:r>
                <w:rPr>
                  <w:rFonts w:ascii="Arial" w:cs="Arial" w:eastAsia="Arial" w:hAnsi="Arial"/>
                  <w:sz w:val="14"/>
                  <w:szCs w:val="14"/>
                  <w:color w:val="0000FF"/>
                  <w:w w:val="90"/>
                </w:rPr>
                <w:t>Pacer Merger Sub, Inc.</w:t>
              </w:r>
            </w:hyperlink>
          </w:p>
        </w:tc>
        <w:tc>
          <w:tcPr>
            <w:tcW w:w="108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2460" w:type="dxa"/>
            <w:vAlign w:val="bottom"/>
            <w:tcBorders>
              <w:bottom w:val="single" w:sz="8" w:color="0000FF"/>
            </w:tcBorders>
            <w:gridSpan w:val="8"/>
          </w:tcPr>
          <w:p>
            <w:pPr>
              <w:spacing w:after="0"/>
              <w:rPr>
                <w:rFonts w:ascii="Arial" w:cs="Arial" w:eastAsia="Arial" w:hAnsi="Arial"/>
                <w:sz w:val="14"/>
                <w:szCs w:val="14"/>
                <w:color w:val="0000FF"/>
                <w:w w:val="89"/>
              </w:rPr>
            </w:pPr>
            <w:hyperlink r:id="rId130">
              <w:r>
                <w:rPr>
                  <w:rFonts w:ascii="Arial" w:cs="Arial" w:eastAsia="Arial" w:hAnsi="Arial"/>
                  <w:sz w:val="14"/>
                  <w:szCs w:val="14"/>
                  <w:color w:val="0000FF"/>
                  <w:w w:val="89"/>
                </w:rPr>
                <w:t>Securities Purchase Agreement, dated as of</w:t>
              </w:r>
            </w:hyperlink>
          </w:p>
        </w:tc>
        <w:tc>
          <w:tcPr>
            <w:tcW w:w="2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CenterPoint Energy’s Form</w:t>
            </w:r>
          </w:p>
        </w:tc>
        <w:tc>
          <w:tcPr>
            <w:tcW w:w="1200" w:type="dxa"/>
            <w:vAlign w:val="bottom"/>
            <w:gridSpan w:val="2"/>
          </w:tcPr>
          <w:p>
            <w:pPr>
              <w:jc w:val="center"/>
              <w:ind w:left="49"/>
              <w:spacing w:after="0"/>
              <w:rPr>
                <w:sz w:val="20"/>
                <w:szCs w:val="20"/>
                <w:color w:val="auto"/>
              </w:rPr>
            </w:pPr>
            <w:r>
              <w:rPr>
                <w:rFonts w:ascii="Arial" w:cs="Arial" w:eastAsia="Arial" w:hAnsi="Arial"/>
                <w:sz w:val="14"/>
                <w:szCs w:val="14"/>
                <w:color w:val="auto"/>
                <w:w w:val="93"/>
              </w:rPr>
              <w:t>1-31447</w:t>
            </w:r>
          </w:p>
        </w:tc>
        <w:tc>
          <w:tcPr>
            <w:tcW w:w="1040" w:type="dxa"/>
            <w:vAlign w:val="bottom"/>
            <w:gridSpan w:val="2"/>
          </w:tcPr>
          <w:p>
            <w:pPr>
              <w:jc w:val="center"/>
              <w:ind w:left="49"/>
              <w:spacing w:after="0"/>
              <w:rPr>
                <w:sz w:val="20"/>
                <w:szCs w:val="20"/>
                <w:color w:val="auto"/>
              </w:rPr>
            </w:pPr>
            <w:r>
              <w:rPr>
                <w:rFonts w:ascii="Arial" w:cs="Arial" w:eastAsia="Arial" w:hAnsi="Arial"/>
                <w:sz w:val="14"/>
                <w:szCs w:val="14"/>
                <w:color w:val="auto"/>
                <w:w w:val="81"/>
              </w:rPr>
              <w:t>2.1</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gridSpan w:val="11"/>
          </w:tcPr>
          <w:p>
            <w:pPr>
              <w:spacing w:after="0" w:line="126" w:lineRule="exact"/>
              <w:rPr>
                <w:rFonts w:ascii="Arial" w:cs="Arial" w:eastAsia="Arial" w:hAnsi="Arial"/>
                <w:sz w:val="14"/>
                <w:szCs w:val="14"/>
                <w:color w:val="0000FF"/>
                <w:w w:val="92"/>
              </w:rPr>
            </w:pPr>
            <w:hyperlink r:id="rId130">
              <w:r>
                <w:rPr>
                  <w:rFonts w:ascii="Arial" w:cs="Arial" w:eastAsia="Arial" w:hAnsi="Arial"/>
                  <w:sz w:val="14"/>
                  <w:szCs w:val="14"/>
                  <w:color w:val="0000FF"/>
                  <w:w w:val="92"/>
                </w:rPr>
                <w:t>February 3, 2020, by and among Vectren Utility</w:t>
              </w:r>
            </w:hyperlink>
          </w:p>
        </w:tc>
        <w:tc>
          <w:tcPr>
            <w:tcW w:w="120" w:type="dxa"/>
            <w:vAlign w:val="bottom"/>
          </w:tcPr>
          <w:p>
            <w:pPr>
              <w:spacing w:after="0"/>
              <w:rPr>
                <w:sz w:val="10"/>
                <w:szCs w:val="10"/>
                <w:color w:val="auto"/>
              </w:rPr>
            </w:pPr>
          </w:p>
        </w:tc>
        <w:tc>
          <w:tcPr>
            <w:tcW w:w="1600" w:type="dxa"/>
            <w:vAlign w:val="bottom"/>
          </w:tcPr>
          <w:p>
            <w:pPr>
              <w:jc w:val="center"/>
              <w:spacing w:after="0" w:line="126" w:lineRule="exact"/>
              <w:rPr>
                <w:sz w:val="20"/>
                <w:szCs w:val="20"/>
                <w:color w:val="auto"/>
              </w:rPr>
            </w:pPr>
            <w:r>
              <w:rPr>
                <w:rFonts w:ascii="Arial" w:cs="Arial" w:eastAsia="Arial" w:hAnsi="Arial"/>
                <w:sz w:val="14"/>
                <w:szCs w:val="14"/>
                <w:color w:val="auto"/>
                <w:w w:val="91"/>
              </w:rPr>
              <w:t>8-K dated February 3, 2020</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Borders>
              <w:top w:val="single" w:sz="8" w:color="0000FF"/>
            </w:tcBorders>
            <w:gridSpan w:val="10"/>
          </w:tcPr>
          <w:p>
            <w:pPr>
              <w:spacing w:after="0" w:line="126" w:lineRule="exact"/>
              <w:rPr>
                <w:rFonts w:ascii="Arial" w:cs="Arial" w:eastAsia="Arial" w:hAnsi="Arial"/>
                <w:sz w:val="14"/>
                <w:szCs w:val="14"/>
                <w:color w:val="0000FF"/>
                <w:w w:val="93"/>
              </w:rPr>
            </w:pPr>
            <w:hyperlink r:id="rId130">
              <w:r>
                <w:rPr>
                  <w:rFonts w:ascii="Arial" w:cs="Arial" w:eastAsia="Arial" w:hAnsi="Arial"/>
                  <w:sz w:val="14"/>
                  <w:szCs w:val="14"/>
                  <w:color w:val="0000FF"/>
                  <w:w w:val="93"/>
                </w:rPr>
                <w:t>Services, Inc., PowerTeam Services, LLC and,</w:t>
              </w:r>
            </w:hyperlink>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Borders>
              <w:top w:val="single" w:sz="8" w:color="0000FF"/>
            </w:tcBorders>
            <w:gridSpan w:val="9"/>
          </w:tcPr>
          <w:p>
            <w:pPr>
              <w:spacing w:after="0" w:line="113" w:lineRule="exact"/>
              <w:rPr>
                <w:rFonts w:ascii="Arial" w:cs="Arial" w:eastAsia="Arial" w:hAnsi="Arial"/>
                <w:sz w:val="13"/>
                <w:szCs w:val="13"/>
                <w:color w:val="0000FF"/>
              </w:rPr>
            </w:pPr>
            <w:hyperlink r:id="rId130">
              <w:r>
                <w:rPr>
                  <w:rFonts w:ascii="Arial" w:cs="Arial" w:eastAsia="Arial" w:hAnsi="Arial"/>
                  <w:sz w:val="13"/>
                  <w:szCs w:val="13"/>
                  <w:color w:val="0000FF"/>
                </w:rPr>
                <w:t>solely for purposes of Section 10.17 of the</w:t>
              </w:r>
            </w:hyperlink>
          </w:p>
        </w:tc>
        <w:tc>
          <w:tcPr>
            <w:tcW w:w="1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Borders>
              <w:top w:val="single" w:sz="8" w:color="0000FF"/>
            </w:tcBorders>
            <w:gridSpan w:val="6"/>
          </w:tcPr>
          <w:p>
            <w:pPr>
              <w:spacing w:after="0" w:line="126" w:lineRule="exact"/>
              <w:rPr>
                <w:rFonts w:ascii="Arial" w:cs="Arial" w:eastAsia="Arial" w:hAnsi="Arial"/>
                <w:sz w:val="14"/>
                <w:szCs w:val="14"/>
                <w:color w:val="0000FF"/>
                <w:w w:val="94"/>
              </w:rPr>
            </w:pPr>
            <w:hyperlink r:id="rId130">
              <w:r>
                <w:rPr>
                  <w:rFonts w:ascii="Arial" w:cs="Arial" w:eastAsia="Arial" w:hAnsi="Arial"/>
                  <w:sz w:val="14"/>
                  <w:szCs w:val="14"/>
                  <w:color w:val="0000FF"/>
                  <w:w w:val="94"/>
                </w:rPr>
                <w:t>Securities Purchase Agreement, Vectren</w:t>
              </w:r>
            </w:hyperlink>
          </w:p>
        </w:tc>
        <w:tc>
          <w:tcPr>
            <w:tcW w:w="320" w:type="dxa"/>
            <w:vAlign w:val="bottom"/>
            <w:gridSpan w:val="5"/>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0000FF"/>
              <w:bottom w:val="single" w:sz="8" w:color="0000FF"/>
            </w:tcBorders>
          </w:tcPr>
          <w:p>
            <w:pPr>
              <w:spacing w:after="0" w:line="126" w:lineRule="exact"/>
              <w:rPr>
                <w:rFonts w:ascii="Arial" w:cs="Arial" w:eastAsia="Arial" w:hAnsi="Arial"/>
                <w:sz w:val="14"/>
                <w:szCs w:val="14"/>
                <w:color w:val="0000FF"/>
                <w:w w:val="92"/>
              </w:rPr>
            </w:pPr>
            <w:hyperlink r:id="rId130">
              <w:r>
                <w:rPr>
                  <w:rFonts w:ascii="Arial" w:cs="Arial" w:eastAsia="Arial" w:hAnsi="Arial"/>
                  <w:sz w:val="14"/>
                  <w:szCs w:val="14"/>
                  <w:color w:val="0000FF"/>
                  <w:w w:val="92"/>
                </w:rPr>
                <w:t>Corporation</w:t>
              </w:r>
            </w:hyperlink>
          </w:p>
        </w:tc>
        <w:tc>
          <w:tcPr>
            <w:tcW w:w="1580" w:type="dxa"/>
            <w:vAlign w:val="bottom"/>
            <w:tcBorders>
              <w:top w:val="single" w:sz="8" w:color="0000FF"/>
            </w:tcBorders>
            <w:gridSpan w:val="3"/>
          </w:tcPr>
          <w:p>
            <w:pPr>
              <w:spacing w:after="0"/>
              <w:rPr>
                <w:sz w:val="10"/>
                <w:szCs w:val="10"/>
                <w:color w:val="auto"/>
              </w:rPr>
            </w:pPr>
          </w:p>
        </w:tc>
        <w:tc>
          <w:tcPr>
            <w:tcW w:w="460" w:type="dxa"/>
            <w:vAlign w:val="bottom"/>
            <w:gridSpan w:val="7"/>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Report or Registration</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SEC File or</w:t>
            </w:r>
          </w:p>
        </w:tc>
        <w:tc>
          <w:tcPr>
            <w:tcW w:w="1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CenterPoint</w:t>
            </w:r>
          </w:p>
        </w:tc>
        <w:tc>
          <w:tcPr>
            <w:tcW w:w="1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Houston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31"/>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Registration</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gridSpan w:val="31"/>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ind w:left="50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980" w:type="dxa"/>
            <w:vAlign w:val="bottom"/>
          </w:tcPr>
          <w:p>
            <w:pPr>
              <w:jc w:val="center"/>
              <w:spacing w:after="0" w:line="126"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tcBorders>
              <w:bottom w:val="single" w:sz="8" w:color="0000FF"/>
            </w:tcBorders>
            <w:gridSpan w:val="15"/>
          </w:tcPr>
          <w:p>
            <w:pPr>
              <w:spacing w:after="0" w:line="126" w:lineRule="exact"/>
              <w:rPr>
                <w:rFonts w:ascii="Arial" w:cs="Arial" w:eastAsia="Arial" w:hAnsi="Arial"/>
                <w:sz w:val="14"/>
                <w:szCs w:val="14"/>
                <w:color w:val="0000FF"/>
                <w:w w:val="89"/>
              </w:rPr>
            </w:pPr>
            <w:hyperlink r:id="rId132">
              <w:r>
                <w:rPr>
                  <w:rFonts w:ascii="Arial" w:cs="Arial" w:eastAsia="Arial" w:hAnsi="Arial"/>
                  <w:sz w:val="14"/>
                  <w:szCs w:val="14"/>
                  <w:color w:val="0000FF"/>
                  <w:w w:val="89"/>
                </w:rPr>
                <w:t>Equity Purchase Agreement, dated as of</w:t>
              </w:r>
            </w:hyperlink>
          </w:p>
        </w:tc>
        <w:tc>
          <w:tcPr>
            <w:tcW w:w="460" w:type="dxa"/>
            <w:vAlign w:val="bottom"/>
            <w:gridSpan w:val="19"/>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w w:val="92"/>
              </w:rPr>
              <w:t>CenterPoint Energy’s Form</w:t>
            </w:r>
          </w:p>
        </w:tc>
        <w:tc>
          <w:tcPr>
            <w:tcW w:w="120" w:type="dxa"/>
            <w:vAlign w:val="bottom"/>
          </w:tcPr>
          <w:p>
            <w:pPr>
              <w:spacing w:after="0"/>
              <w:rPr>
                <w:sz w:val="11"/>
                <w:szCs w:val="11"/>
                <w:color w:val="auto"/>
              </w:rPr>
            </w:pPr>
          </w:p>
        </w:tc>
        <w:tc>
          <w:tcPr>
            <w:tcW w:w="1080" w:type="dxa"/>
            <w:vAlign w:val="bottom"/>
          </w:tcPr>
          <w:p>
            <w:pPr>
              <w:jc w:val="center"/>
              <w:spacing w:after="0" w:line="126"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1"/>
                <w:szCs w:val="11"/>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1"/>
                <w:szCs w:val="11"/>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gridSpan w:val="34"/>
          </w:tcPr>
          <w:p>
            <w:pPr>
              <w:spacing w:after="0" w:line="119" w:lineRule="exact"/>
              <w:rPr>
                <w:rFonts w:ascii="Arial" w:cs="Arial" w:eastAsia="Arial" w:hAnsi="Arial"/>
                <w:sz w:val="13"/>
                <w:szCs w:val="13"/>
                <w:color w:val="0000FF"/>
              </w:rPr>
            </w:pPr>
            <w:hyperlink r:id="rId132">
              <w:r>
                <w:rPr>
                  <w:rFonts w:ascii="Arial" w:cs="Arial" w:eastAsia="Arial" w:hAnsi="Arial"/>
                  <w:sz w:val="13"/>
                  <w:szCs w:val="13"/>
                  <w:color w:val="0000FF"/>
                </w:rPr>
                <w:t>February 24, 2020, by and between CERC</w:t>
              </w:r>
            </w:hyperlink>
          </w:p>
        </w:tc>
        <w:tc>
          <w:tcPr>
            <w:tcW w:w="120" w:type="dxa"/>
            <w:vAlign w:val="bottom"/>
          </w:tcPr>
          <w:p>
            <w:pPr>
              <w:spacing w:after="0"/>
              <w:rPr>
                <w:sz w:val="10"/>
                <w:szCs w:val="10"/>
                <w:color w:val="auto"/>
              </w:rPr>
            </w:pPr>
          </w:p>
        </w:tc>
        <w:tc>
          <w:tcPr>
            <w:tcW w:w="1600" w:type="dxa"/>
            <w:vAlign w:val="bottom"/>
          </w:tcPr>
          <w:p>
            <w:pPr>
              <w:ind w:left="20"/>
              <w:spacing w:after="0" w:line="119" w:lineRule="exact"/>
              <w:rPr>
                <w:sz w:val="20"/>
                <w:szCs w:val="20"/>
                <w:color w:val="auto"/>
              </w:rPr>
            </w:pPr>
            <w:r>
              <w:rPr>
                <w:rFonts w:ascii="Arial" w:cs="Arial" w:eastAsia="Arial" w:hAnsi="Arial"/>
                <w:sz w:val="13"/>
                <w:szCs w:val="13"/>
                <w:color w:val="auto"/>
              </w:rPr>
              <w:t>8-K dated February 24,</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bottom w:val="single" w:sz="8" w:color="0000FF"/>
            </w:tcBorders>
            <w:gridSpan w:val="19"/>
          </w:tcPr>
          <w:p>
            <w:pPr>
              <w:spacing w:after="0" w:line="126" w:lineRule="exact"/>
              <w:rPr>
                <w:rFonts w:ascii="Arial" w:cs="Arial" w:eastAsia="Arial" w:hAnsi="Arial"/>
                <w:sz w:val="14"/>
                <w:szCs w:val="14"/>
                <w:color w:val="0000FF"/>
                <w:w w:val="91"/>
              </w:rPr>
            </w:pPr>
            <w:hyperlink r:id="rId132">
              <w:r>
                <w:rPr>
                  <w:rFonts w:ascii="Arial" w:cs="Arial" w:eastAsia="Arial" w:hAnsi="Arial"/>
                  <w:sz w:val="14"/>
                  <w:szCs w:val="14"/>
                  <w:color w:val="0000FF"/>
                  <w:w w:val="91"/>
                </w:rPr>
                <w:t>Corp. and Athena Energy Services Buyer,</w:t>
              </w:r>
            </w:hyperlink>
          </w:p>
        </w:tc>
        <w:tc>
          <w:tcPr>
            <w:tcW w:w="300" w:type="dxa"/>
            <w:vAlign w:val="bottom"/>
            <w:tcBorders>
              <w:bottom w:val="single" w:sz="8" w:color="0000FF"/>
            </w:tcBorders>
            <w:gridSpan w:val="14"/>
          </w:tcPr>
          <w:p>
            <w:pPr>
              <w:spacing w:after="0" w:line="126" w:lineRule="exact"/>
              <w:rPr>
                <w:rFonts w:ascii="Arial" w:cs="Arial" w:eastAsia="Arial" w:hAnsi="Arial"/>
                <w:sz w:val="14"/>
                <w:szCs w:val="14"/>
                <w:color w:val="0000FF"/>
              </w:rPr>
            </w:pPr>
            <w:hyperlink r:id="rId132">
              <w:r>
                <w:rPr>
                  <w:rFonts w:ascii="Arial" w:cs="Arial" w:eastAsia="Arial" w:hAnsi="Arial"/>
                  <w:sz w:val="14"/>
                  <w:szCs w:val="14"/>
                  <w:color w:val="0000FF"/>
                </w:rPr>
                <w:t>LLC</w:t>
              </w:r>
            </w:hyperlink>
          </w:p>
        </w:tc>
        <w:tc>
          <w:tcPr>
            <w:tcW w:w="20" w:type="dxa"/>
            <w:vAlign w:val="bottom"/>
          </w:tcPr>
          <w:p>
            <w:pPr>
              <w:spacing w:after="0"/>
              <w:rPr>
                <w:sz w:val="10"/>
                <w:szCs w:val="10"/>
                <w:color w:val="auto"/>
              </w:rPr>
            </w:pPr>
          </w:p>
        </w:tc>
        <w:tc>
          <w:tcPr>
            <w:tcW w:w="1720" w:type="dxa"/>
            <w:vAlign w:val="bottom"/>
            <w:gridSpan w:val="2"/>
          </w:tcPr>
          <w:p>
            <w:pPr>
              <w:ind w:left="140"/>
              <w:spacing w:after="0" w:line="126"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80" w:type="dxa"/>
            <w:vAlign w:val="bottom"/>
          </w:tcPr>
          <w:p>
            <w:pPr>
              <w:jc w:val="center"/>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34"/>
          </w:tcPr>
          <w:p>
            <w:pPr>
              <w:spacing w:after="0"/>
              <w:rPr>
                <w:rFonts w:ascii="Arial" w:cs="Arial" w:eastAsia="Arial" w:hAnsi="Arial"/>
                <w:sz w:val="14"/>
                <w:szCs w:val="14"/>
                <w:color w:val="0000FF"/>
                <w:w w:val="97"/>
              </w:rPr>
            </w:pPr>
            <w:hyperlink r:id="rId133">
              <w:r>
                <w:rPr>
                  <w:rFonts w:ascii="Arial" w:cs="Arial" w:eastAsia="Arial" w:hAnsi="Arial"/>
                  <w:sz w:val="14"/>
                  <w:szCs w:val="14"/>
                  <w:color w:val="0000FF"/>
                  <w:w w:val="97"/>
                </w:rPr>
                <w:t>Asset Purchase Agreement, by and between</w:t>
              </w:r>
            </w:hyperlink>
          </w:p>
        </w:tc>
        <w:tc>
          <w:tcPr>
            <w:tcW w:w="12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w w:val="92"/>
              </w:rPr>
              <w:t>CenterPoint Energy’s Form</w:t>
            </w:r>
          </w:p>
        </w:tc>
        <w:tc>
          <w:tcPr>
            <w:tcW w:w="1200" w:type="dxa"/>
            <w:vAlign w:val="bottom"/>
            <w:gridSpan w:val="2"/>
          </w:tcPr>
          <w:p>
            <w:pPr>
              <w:jc w:val="center"/>
              <w:ind w:left="49"/>
              <w:spacing w:after="0"/>
              <w:rPr>
                <w:sz w:val="20"/>
                <w:szCs w:val="20"/>
                <w:color w:val="auto"/>
              </w:rPr>
            </w:pPr>
            <w:r>
              <w:rPr>
                <w:rFonts w:ascii="Arial" w:cs="Arial" w:eastAsia="Arial" w:hAnsi="Arial"/>
                <w:sz w:val="14"/>
                <w:szCs w:val="14"/>
                <w:color w:val="auto"/>
                <w:w w:val="93"/>
              </w:rPr>
              <w:t>1-31447</w:t>
            </w:r>
          </w:p>
        </w:tc>
        <w:tc>
          <w:tcPr>
            <w:tcW w:w="104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2.4</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7"/>
          </w:tcPr>
          <w:p>
            <w:pPr>
              <w:spacing w:after="0" w:line="119" w:lineRule="exact"/>
              <w:rPr>
                <w:rFonts w:ascii="Arial" w:cs="Arial" w:eastAsia="Arial" w:hAnsi="Arial"/>
                <w:sz w:val="13"/>
                <w:szCs w:val="13"/>
                <w:color w:val="0000FF"/>
                <w:w w:val="95"/>
              </w:rPr>
            </w:pPr>
            <w:hyperlink r:id="rId133">
              <w:r>
                <w:rPr>
                  <w:rFonts w:ascii="Arial" w:cs="Arial" w:eastAsia="Arial" w:hAnsi="Arial"/>
                  <w:sz w:val="13"/>
                  <w:szCs w:val="13"/>
                  <w:color w:val="0000FF"/>
                  <w:w w:val="95"/>
                </w:rPr>
                <w:t>CenterPoint Energy Resources Corp. and</w:t>
              </w:r>
            </w:hyperlink>
          </w:p>
        </w:tc>
        <w:tc>
          <w:tcPr>
            <w:tcW w:w="16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19" w:lineRule="exact"/>
              <w:rPr>
                <w:sz w:val="20"/>
                <w:szCs w:val="20"/>
                <w:color w:val="auto"/>
              </w:rPr>
            </w:pPr>
            <w:r>
              <w:rPr>
                <w:rFonts w:ascii="Arial" w:cs="Arial" w:eastAsia="Arial" w:hAnsi="Arial"/>
                <w:sz w:val="13"/>
                <w:szCs w:val="13"/>
                <w:color w:val="auto"/>
              </w:rPr>
              <w:t>10-Q for the quarter ended</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bottom w:val="single" w:sz="8" w:color="0000FF"/>
            </w:tcBorders>
            <w:gridSpan w:val="34"/>
          </w:tcPr>
          <w:p>
            <w:pPr>
              <w:spacing w:after="0" w:line="126" w:lineRule="exact"/>
              <w:rPr>
                <w:rFonts w:ascii="Arial" w:cs="Arial" w:eastAsia="Arial" w:hAnsi="Arial"/>
                <w:sz w:val="14"/>
                <w:szCs w:val="14"/>
                <w:color w:val="0000FF"/>
                <w:w w:val="93"/>
              </w:rPr>
            </w:pPr>
            <w:hyperlink r:id="rId133">
              <w:r>
                <w:rPr>
                  <w:rFonts w:ascii="Arial" w:cs="Arial" w:eastAsia="Arial" w:hAnsi="Arial"/>
                  <w:sz w:val="14"/>
                  <w:szCs w:val="14"/>
                  <w:color w:val="0000FF"/>
                  <w:w w:val="93"/>
                </w:rPr>
                <w:t>Southern Col Midco, LLC, dated as of April 29,</w:t>
              </w:r>
            </w:hyperlink>
          </w:p>
        </w:tc>
        <w:tc>
          <w:tcPr>
            <w:tcW w:w="120" w:type="dxa"/>
            <w:vAlign w:val="bottom"/>
          </w:tcPr>
          <w:p>
            <w:pPr>
              <w:spacing w:after="0"/>
              <w:rPr>
                <w:sz w:val="10"/>
                <w:szCs w:val="10"/>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rPr>
              <w:t>March 31, 2021</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80" w:type="dxa"/>
            <w:vAlign w:val="bottom"/>
            <w:tcBorders>
              <w:bottom w:val="single" w:sz="8" w:color="0000FF"/>
            </w:tcBorders>
          </w:tcPr>
          <w:p>
            <w:pPr>
              <w:spacing w:after="0" w:line="126" w:lineRule="exact"/>
              <w:rPr>
                <w:rFonts w:ascii="Arial" w:cs="Arial" w:eastAsia="Arial" w:hAnsi="Arial"/>
                <w:sz w:val="14"/>
                <w:szCs w:val="14"/>
                <w:color w:val="0000FF"/>
                <w:w w:val="83"/>
              </w:rPr>
            </w:pPr>
            <w:hyperlink r:id="rId133">
              <w:r>
                <w:rPr>
                  <w:rFonts w:ascii="Arial" w:cs="Arial" w:eastAsia="Arial" w:hAnsi="Arial"/>
                  <w:sz w:val="14"/>
                  <w:szCs w:val="14"/>
                  <w:color w:val="0000FF"/>
                  <w:w w:val="83"/>
                </w:rPr>
                <w:t>2021</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34"/>
          </w:tcPr>
          <w:p>
            <w:pPr>
              <w:spacing w:after="0"/>
              <w:rPr>
                <w:rFonts w:ascii="Arial" w:cs="Arial" w:eastAsia="Arial" w:hAnsi="Arial"/>
                <w:sz w:val="14"/>
                <w:szCs w:val="14"/>
                <w:color w:val="0000FF"/>
              </w:rPr>
            </w:pPr>
            <w:hyperlink r:id="rId134">
              <w:r>
                <w:rPr>
                  <w:rFonts w:ascii="Arial" w:cs="Arial" w:eastAsia="Arial" w:hAnsi="Arial"/>
                  <w:sz w:val="14"/>
                  <w:szCs w:val="14"/>
                  <w:color w:val="0000FF"/>
                </w:rPr>
                <w:t>Restated Articles of Incorporation of</w:t>
              </w:r>
            </w:hyperlink>
          </w:p>
        </w:tc>
        <w:tc>
          <w:tcPr>
            <w:tcW w:w="120" w:type="dxa"/>
            <w:vAlign w:val="bottom"/>
          </w:tcPr>
          <w:p>
            <w:pPr>
              <w:spacing w:after="0"/>
              <w:rPr>
                <w:sz w:val="14"/>
                <w:szCs w:val="14"/>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w w:val="92"/>
              </w:rPr>
              <w:t>CenterPoint Energy’s Form</w:t>
            </w:r>
          </w:p>
        </w:tc>
        <w:tc>
          <w:tcPr>
            <w:tcW w:w="1200" w:type="dxa"/>
            <w:vAlign w:val="bottom"/>
            <w:gridSpan w:val="2"/>
          </w:tcPr>
          <w:p>
            <w:pPr>
              <w:jc w:val="center"/>
              <w:ind w:left="49"/>
              <w:spacing w:after="0"/>
              <w:rPr>
                <w:sz w:val="20"/>
                <w:szCs w:val="20"/>
                <w:color w:val="auto"/>
              </w:rPr>
            </w:pPr>
            <w:r>
              <w:rPr>
                <w:rFonts w:ascii="Arial" w:cs="Arial" w:eastAsia="Arial" w:hAnsi="Arial"/>
                <w:sz w:val="14"/>
                <w:szCs w:val="14"/>
                <w:color w:val="auto"/>
                <w:w w:val="93"/>
              </w:rPr>
              <w:t>1-31447</w:t>
            </w:r>
          </w:p>
        </w:tc>
        <w:tc>
          <w:tcPr>
            <w:tcW w:w="104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tcBorders>
              <w:top w:val="single" w:sz="8" w:color="0000FF"/>
            </w:tcBorders>
            <w:gridSpan w:val="10"/>
          </w:tcPr>
          <w:p>
            <w:pPr>
              <w:spacing w:after="0" w:line="126" w:lineRule="exact"/>
              <w:rPr>
                <w:rFonts w:ascii="Arial" w:cs="Arial" w:eastAsia="Arial" w:hAnsi="Arial"/>
                <w:sz w:val="14"/>
                <w:szCs w:val="14"/>
                <w:color w:val="0000FF"/>
              </w:rPr>
            </w:pPr>
            <w:hyperlink r:id="rId134">
              <w:r>
                <w:rPr>
                  <w:rFonts w:ascii="Arial" w:cs="Arial" w:eastAsia="Arial" w:hAnsi="Arial"/>
                  <w:sz w:val="14"/>
                  <w:szCs w:val="14"/>
                  <w:color w:val="0000FF"/>
                </w:rPr>
                <w:t>CenterPoint Energy</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rPr>
              <w:t>8-K dated July 24, 2008</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34"/>
          </w:tcPr>
          <w:p>
            <w:pPr>
              <w:spacing w:after="0"/>
              <w:rPr>
                <w:rFonts w:ascii="Arial" w:cs="Arial" w:eastAsia="Arial" w:hAnsi="Arial"/>
                <w:sz w:val="14"/>
                <w:szCs w:val="14"/>
                <w:color w:val="0000FF"/>
                <w:w w:val="97"/>
              </w:rPr>
            </w:pPr>
            <w:hyperlink r:id="rId135">
              <w:r>
                <w:rPr>
                  <w:rFonts w:ascii="Arial" w:cs="Arial" w:eastAsia="Arial" w:hAnsi="Arial"/>
                  <w:sz w:val="14"/>
                  <w:szCs w:val="14"/>
                  <w:color w:val="0000FF"/>
                  <w:w w:val="97"/>
                </w:rPr>
                <w:t>Restated Certificate of Formation of Houston</w:t>
              </w:r>
            </w:hyperlink>
          </w:p>
        </w:tc>
        <w:tc>
          <w:tcPr>
            <w:tcW w:w="12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Houston Electric’s Form</w:t>
            </w:r>
          </w:p>
        </w:tc>
        <w:tc>
          <w:tcPr>
            <w:tcW w:w="1200" w:type="dxa"/>
            <w:vAlign w:val="bottom"/>
            <w:gridSpan w:val="2"/>
          </w:tcPr>
          <w:p>
            <w:pPr>
              <w:jc w:val="center"/>
              <w:ind w:left="49"/>
              <w:spacing w:after="0"/>
              <w:rPr>
                <w:sz w:val="20"/>
                <w:szCs w:val="20"/>
                <w:color w:val="auto"/>
              </w:rPr>
            </w:pPr>
            <w:r>
              <w:rPr>
                <w:rFonts w:ascii="Arial" w:cs="Arial" w:eastAsia="Arial" w:hAnsi="Arial"/>
                <w:sz w:val="14"/>
                <w:szCs w:val="14"/>
                <w:color w:val="auto"/>
                <w:w w:val="91"/>
              </w:rPr>
              <w:t>1-3187</w:t>
            </w:r>
          </w:p>
        </w:tc>
        <w:tc>
          <w:tcPr>
            <w:tcW w:w="104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tcBorders>
            <w:gridSpan w:val="26"/>
          </w:tcPr>
          <w:p>
            <w:pPr>
              <w:spacing w:after="0" w:line="119" w:lineRule="exact"/>
              <w:rPr>
                <w:rFonts w:ascii="Arial" w:cs="Arial" w:eastAsia="Arial" w:hAnsi="Arial"/>
                <w:sz w:val="13"/>
                <w:szCs w:val="13"/>
                <w:color w:val="0000FF"/>
              </w:rPr>
            </w:pPr>
            <w:hyperlink r:id="rId135">
              <w:r>
                <w:rPr>
                  <w:rFonts w:ascii="Arial" w:cs="Arial" w:eastAsia="Arial" w:hAnsi="Arial"/>
                  <w:sz w:val="13"/>
                  <w:szCs w:val="13"/>
                  <w:color w:val="0000FF"/>
                </w:rPr>
                <w:t>Electric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19" w:lineRule="exact"/>
              <w:rPr>
                <w:sz w:val="20"/>
                <w:szCs w:val="20"/>
                <w:color w:val="auto"/>
              </w:rPr>
            </w:pPr>
            <w:r>
              <w:rPr>
                <w:rFonts w:ascii="Arial" w:cs="Arial" w:eastAsia="Arial" w:hAnsi="Arial"/>
                <w:sz w:val="13"/>
                <w:szCs w:val="13"/>
                <w:color w:val="auto"/>
              </w:rPr>
              <w:t>10-Q for the quarter ended</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June 30, 2011</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2"/>
              </w:rPr>
              <w:t>3.3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34"/>
          </w:tcPr>
          <w:p>
            <w:pPr>
              <w:spacing w:after="0" w:line="152" w:lineRule="exact"/>
              <w:rPr>
                <w:rFonts w:ascii="Arial" w:cs="Arial" w:eastAsia="Arial" w:hAnsi="Arial"/>
                <w:sz w:val="14"/>
                <w:szCs w:val="14"/>
                <w:color w:val="0000FF"/>
              </w:rPr>
            </w:pPr>
            <w:hyperlink r:id="rId136">
              <w:r>
                <w:rPr>
                  <w:rFonts w:ascii="Arial" w:cs="Arial" w:eastAsia="Arial" w:hAnsi="Arial"/>
                  <w:sz w:val="14"/>
                  <w:szCs w:val="14"/>
                  <w:color w:val="0000FF"/>
                </w:rPr>
                <w:t>Certificate of Incorporation of RERC Corp.</w:t>
              </w:r>
            </w:hyperlink>
          </w:p>
        </w:tc>
        <w:tc>
          <w:tcPr>
            <w:tcW w:w="120" w:type="dxa"/>
            <w:vAlign w:val="bottom"/>
          </w:tcPr>
          <w:p>
            <w:pPr>
              <w:spacing w:after="0"/>
              <w:rPr>
                <w:sz w:val="13"/>
                <w:szCs w:val="13"/>
                <w:color w:val="auto"/>
              </w:rPr>
            </w:pPr>
          </w:p>
        </w:tc>
        <w:tc>
          <w:tcPr>
            <w:tcW w:w="1600" w:type="dxa"/>
            <w:vAlign w:val="bottom"/>
          </w:tcPr>
          <w:p>
            <w:pPr>
              <w:ind w:left="20"/>
              <w:spacing w:after="0" w:line="152" w:lineRule="exact"/>
              <w:rPr>
                <w:sz w:val="20"/>
                <w:szCs w:val="20"/>
                <w:color w:val="auto"/>
              </w:rPr>
            </w:pPr>
            <w:r>
              <w:rPr>
                <w:rFonts w:ascii="Arial" w:cs="Arial" w:eastAsia="Arial" w:hAnsi="Arial"/>
                <w:sz w:val="14"/>
                <w:szCs w:val="14"/>
                <w:color w:val="auto"/>
              </w:rPr>
              <w:t>CERC Form 10-K for the</w:t>
            </w:r>
          </w:p>
        </w:tc>
        <w:tc>
          <w:tcPr>
            <w:tcW w:w="1200" w:type="dxa"/>
            <w:vAlign w:val="bottom"/>
            <w:gridSpan w:val="2"/>
          </w:tcPr>
          <w:p>
            <w:pPr>
              <w:jc w:val="center"/>
              <w:ind w:left="49"/>
              <w:spacing w:after="0" w:line="15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95"/>
              </w:rPr>
              <w:t>3(a)(1)</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4"/>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ind w:left="20"/>
              <w:spacing w:after="0" w:line="114" w:lineRule="exact"/>
              <w:rPr>
                <w:sz w:val="20"/>
                <w:szCs w:val="20"/>
                <w:color w:val="auto"/>
              </w:rPr>
            </w:pPr>
            <w:r>
              <w:rPr>
                <w:rFonts w:ascii="Arial" w:cs="Arial" w:eastAsia="Arial" w:hAnsi="Arial"/>
                <w:sz w:val="13"/>
                <w:szCs w:val="13"/>
                <w:color w:val="auto"/>
              </w:rPr>
              <w:t>year ended December 31,</w:t>
            </w: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34"/>
          </w:tcPr>
          <w:p>
            <w:pPr>
              <w:spacing w:after="0" w:line="157" w:lineRule="exact"/>
              <w:rPr>
                <w:rFonts w:ascii="Arial" w:cs="Arial" w:eastAsia="Arial" w:hAnsi="Arial"/>
                <w:sz w:val="14"/>
                <w:szCs w:val="14"/>
                <w:color w:val="0000FF"/>
                <w:w w:val="98"/>
              </w:rPr>
            </w:pPr>
            <w:hyperlink r:id="rId136">
              <w:r>
                <w:rPr>
                  <w:rFonts w:ascii="Arial" w:cs="Arial" w:eastAsia="Arial" w:hAnsi="Arial"/>
                  <w:sz w:val="14"/>
                  <w:szCs w:val="14"/>
                  <w:color w:val="0000FF"/>
                  <w:w w:val="98"/>
                </w:rPr>
                <w:t>Certificate of Merger merging former NorAm</w:t>
              </w:r>
            </w:hyperlink>
          </w:p>
        </w:tc>
        <w:tc>
          <w:tcPr>
            <w:tcW w:w="120" w:type="dxa"/>
            <w:vAlign w:val="bottom"/>
          </w:tcPr>
          <w:p>
            <w:pPr>
              <w:spacing w:after="0"/>
              <w:rPr>
                <w:sz w:val="13"/>
                <w:szCs w:val="13"/>
                <w:color w:val="auto"/>
              </w:rPr>
            </w:pPr>
          </w:p>
        </w:tc>
        <w:tc>
          <w:tcPr>
            <w:tcW w:w="1600" w:type="dxa"/>
            <w:vAlign w:val="bottom"/>
          </w:tcPr>
          <w:p>
            <w:pPr>
              <w:ind w:left="20"/>
              <w:spacing w:after="0" w:line="157" w:lineRule="exact"/>
              <w:rPr>
                <w:sz w:val="20"/>
                <w:szCs w:val="20"/>
                <w:color w:val="auto"/>
              </w:rPr>
            </w:pPr>
            <w:r>
              <w:rPr>
                <w:rFonts w:ascii="Arial" w:cs="Arial" w:eastAsia="Arial" w:hAnsi="Arial"/>
                <w:sz w:val="14"/>
                <w:szCs w:val="14"/>
                <w:color w:val="auto"/>
              </w:rPr>
              <w:t>CERC Form 10-K for the</w:t>
            </w:r>
          </w:p>
        </w:tc>
        <w:tc>
          <w:tcPr>
            <w:tcW w:w="1200" w:type="dxa"/>
            <w:vAlign w:val="bottom"/>
            <w:gridSpan w:val="2"/>
          </w:tcPr>
          <w:p>
            <w:pPr>
              <w:jc w:val="center"/>
              <w:ind w:left="49"/>
              <w:spacing w:after="0" w:line="157"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5"/>
              </w:rPr>
              <w:t>3(a)(2)</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30"/>
          </w:tcPr>
          <w:p>
            <w:pPr>
              <w:spacing w:after="0" w:line="126" w:lineRule="exact"/>
              <w:rPr>
                <w:rFonts w:ascii="Arial" w:cs="Arial" w:eastAsia="Arial" w:hAnsi="Arial"/>
                <w:sz w:val="14"/>
                <w:szCs w:val="14"/>
                <w:color w:val="0000FF"/>
              </w:rPr>
            </w:pPr>
            <w:hyperlink r:id="rId136">
              <w:r>
                <w:rPr>
                  <w:rFonts w:ascii="Arial" w:cs="Arial" w:eastAsia="Arial" w:hAnsi="Arial"/>
                  <w:sz w:val="14"/>
                  <w:szCs w:val="14"/>
                  <w:color w:val="0000FF"/>
                </w:rPr>
                <w:t>Energy Corp. with and into HI Merger,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w w:val="96"/>
              </w:rPr>
              <w:t>year ended December 31,</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top w:val="single" w:sz="8" w:color="0000FF"/>
              <w:bottom w:val="single" w:sz="8" w:color="0000FF"/>
            </w:tcBorders>
            <w:gridSpan w:val="5"/>
          </w:tcPr>
          <w:p>
            <w:pPr>
              <w:spacing w:after="0" w:line="126" w:lineRule="exact"/>
              <w:rPr>
                <w:rFonts w:ascii="Arial" w:cs="Arial" w:eastAsia="Arial" w:hAnsi="Arial"/>
                <w:sz w:val="14"/>
                <w:szCs w:val="14"/>
                <w:color w:val="0000FF"/>
                <w:w w:val="88"/>
              </w:rPr>
            </w:pPr>
            <w:hyperlink r:id="rId136">
              <w:r>
                <w:rPr>
                  <w:rFonts w:ascii="Arial" w:cs="Arial" w:eastAsia="Arial" w:hAnsi="Arial"/>
                  <w:sz w:val="14"/>
                  <w:szCs w:val="14"/>
                  <w:color w:val="0000FF"/>
                  <w:w w:val="88"/>
                </w:rPr>
                <w:t>dated August 6, 1997</w:t>
              </w:r>
            </w:hyperlink>
          </w:p>
        </w:tc>
        <w:tc>
          <w:tcPr>
            <w:tcW w:w="126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gridSpan w:val="2"/>
          </w:tcPr>
          <w:p>
            <w:pPr>
              <w:ind w:left="140"/>
              <w:spacing w:after="0" w:line="126" w:lineRule="exact"/>
              <w:rPr>
                <w:sz w:val="20"/>
                <w:szCs w:val="20"/>
                <w:color w:val="auto"/>
              </w:rPr>
            </w:pPr>
            <w:r>
              <w:rPr>
                <w:rFonts w:ascii="Arial" w:cs="Arial" w:eastAsia="Arial" w:hAnsi="Arial"/>
                <w:sz w:val="14"/>
                <w:szCs w:val="14"/>
                <w:color w:val="auto"/>
              </w:rPr>
              <w:t>1997</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34"/>
          </w:tcPr>
          <w:p>
            <w:pPr>
              <w:spacing w:after="0"/>
              <w:rPr>
                <w:rFonts w:ascii="Arial" w:cs="Arial" w:eastAsia="Arial" w:hAnsi="Arial"/>
                <w:sz w:val="14"/>
                <w:szCs w:val="14"/>
                <w:color w:val="0000FF"/>
                <w:w w:val="96"/>
              </w:rPr>
            </w:pPr>
            <w:hyperlink r:id="rId137">
              <w:r>
                <w:rPr>
                  <w:rFonts w:ascii="Arial" w:cs="Arial" w:eastAsia="Arial" w:hAnsi="Arial"/>
                  <w:sz w:val="14"/>
                  <w:szCs w:val="14"/>
                  <w:color w:val="0000FF"/>
                  <w:w w:val="96"/>
                </w:rPr>
                <w:t>Certificate of Amendment changing the name</w:t>
              </w:r>
            </w:hyperlink>
          </w:p>
        </w:tc>
        <w:tc>
          <w:tcPr>
            <w:tcW w:w="120" w:type="dxa"/>
            <w:vAlign w:val="bottom"/>
          </w:tcPr>
          <w:p>
            <w:pPr>
              <w:spacing w:after="0"/>
              <w:rPr>
                <w:sz w:val="14"/>
                <w:szCs w:val="14"/>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CERC Form 10-K for the</w:t>
            </w:r>
          </w:p>
        </w:tc>
        <w:tc>
          <w:tcPr>
            <w:tcW w:w="1200" w:type="dxa"/>
            <w:vAlign w:val="bottom"/>
            <w:gridSpan w:val="2"/>
          </w:tcPr>
          <w:p>
            <w:pPr>
              <w:jc w:val="center"/>
              <w:ind w:left="49"/>
              <w:spacing w:after="0"/>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3(a)(3)</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27"/>
          </w:tcPr>
          <w:p>
            <w:pPr>
              <w:spacing w:after="0" w:line="126" w:lineRule="exact"/>
              <w:rPr>
                <w:rFonts w:ascii="Arial" w:cs="Arial" w:eastAsia="Arial" w:hAnsi="Arial"/>
                <w:sz w:val="14"/>
                <w:szCs w:val="14"/>
                <w:color w:val="0000FF"/>
              </w:rPr>
            </w:pPr>
            <w:hyperlink r:id="rId137">
              <w:r>
                <w:rPr>
                  <w:rFonts w:ascii="Arial" w:cs="Arial" w:eastAsia="Arial" w:hAnsi="Arial"/>
                  <w:sz w:val="14"/>
                  <w:szCs w:val="14"/>
                  <w:color w:val="0000FF"/>
                </w:rPr>
                <w:t>to Reliant Energy Resources Corp.</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w w:val="96"/>
              </w:rPr>
              <w:t>year ended December 31,</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2"/>
              </w:rPr>
              <w:t>3.6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34"/>
          </w:tcPr>
          <w:p>
            <w:pPr>
              <w:spacing w:after="0" w:line="152" w:lineRule="exact"/>
              <w:rPr>
                <w:rFonts w:ascii="Arial" w:cs="Arial" w:eastAsia="Arial" w:hAnsi="Arial"/>
                <w:sz w:val="14"/>
                <w:szCs w:val="14"/>
                <w:color w:val="0000FF"/>
                <w:w w:val="96"/>
              </w:rPr>
            </w:pPr>
            <w:hyperlink r:id="rId138">
              <w:r>
                <w:rPr>
                  <w:rFonts w:ascii="Arial" w:cs="Arial" w:eastAsia="Arial" w:hAnsi="Arial"/>
                  <w:sz w:val="14"/>
                  <w:szCs w:val="14"/>
                  <w:color w:val="0000FF"/>
                  <w:w w:val="96"/>
                </w:rPr>
                <w:t>Certificate of Amendment changing the name</w:t>
              </w:r>
            </w:hyperlink>
          </w:p>
        </w:tc>
        <w:tc>
          <w:tcPr>
            <w:tcW w:w="120" w:type="dxa"/>
            <w:vAlign w:val="bottom"/>
          </w:tcPr>
          <w:p>
            <w:pPr>
              <w:spacing w:after="0"/>
              <w:rPr>
                <w:sz w:val="13"/>
                <w:szCs w:val="13"/>
                <w:color w:val="auto"/>
              </w:rPr>
            </w:pPr>
          </w:p>
        </w:tc>
        <w:tc>
          <w:tcPr>
            <w:tcW w:w="1600" w:type="dxa"/>
            <w:vAlign w:val="bottom"/>
          </w:tcPr>
          <w:p>
            <w:pPr>
              <w:ind w:left="20"/>
              <w:spacing w:after="0" w:line="152" w:lineRule="exact"/>
              <w:rPr>
                <w:sz w:val="20"/>
                <w:szCs w:val="20"/>
                <w:color w:val="auto"/>
              </w:rPr>
            </w:pPr>
            <w:r>
              <w:rPr>
                <w:rFonts w:ascii="Arial" w:cs="Arial" w:eastAsia="Arial" w:hAnsi="Arial"/>
                <w:sz w:val="14"/>
                <w:szCs w:val="14"/>
                <w:color w:val="auto"/>
              </w:rPr>
              <w:t>CERC Form 10-Q for the</w:t>
            </w:r>
          </w:p>
        </w:tc>
        <w:tc>
          <w:tcPr>
            <w:tcW w:w="1200" w:type="dxa"/>
            <w:vAlign w:val="bottom"/>
            <w:gridSpan w:val="2"/>
          </w:tcPr>
          <w:p>
            <w:pPr>
              <w:jc w:val="center"/>
              <w:ind w:left="49"/>
              <w:spacing w:after="0" w:line="15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95"/>
              </w:rPr>
              <w:t>3(a)(4)</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27"/>
          </w:tcPr>
          <w:p>
            <w:pPr>
              <w:spacing w:after="0" w:line="126" w:lineRule="exact"/>
              <w:rPr>
                <w:rFonts w:ascii="Arial" w:cs="Arial" w:eastAsia="Arial" w:hAnsi="Arial"/>
                <w:sz w:val="14"/>
                <w:szCs w:val="14"/>
                <w:color w:val="0000FF"/>
              </w:rPr>
            </w:pPr>
            <w:hyperlink r:id="rId138">
              <w:r>
                <w:rPr>
                  <w:rFonts w:ascii="Arial" w:cs="Arial" w:eastAsia="Arial" w:hAnsi="Arial"/>
                  <w:sz w:val="14"/>
                  <w:szCs w:val="14"/>
                  <w:color w:val="0000FF"/>
                </w:rPr>
                <w:t>to CenterPoint Energy Resources Corp.</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rPr>
              <w:t>quarter ended June 30,</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2"/>
              </w:rPr>
              <w:t>3.7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34"/>
          </w:tcPr>
          <w:p>
            <w:pPr>
              <w:spacing w:after="0" w:line="152" w:lineRule="exact"/>
              <w:rPr>
                <w:rFonts w:ascii="Arial" w:cs="Arial" w:eastAsia="Arial" w:hAnsi="Arial"/>
                <w:sz w:val="14"/>
                <w:szCs w:val="14"/>
                <w:color w:val="0000FF"/>
              </w:rPr>
            </w:pPr>
            <w:hyperlink r:id="rId139">
              <w:r>
                <w:rPr>
                  <w:rFonts w:ascii="Arial" w:cs="Arial" w:eastAsia="Arial" w:hAnsi="Arial"/>
                  <w:sz w:val="14"/>
                  <w:szCs w:val="14"/>
                  <w:color w:val="0000FF"/>
                </w:rPr>
                <w:t>Third Amended and Restated Bylaws of</w:t>
              </w:r>
            </w:hyperlink>
          </w:p>
        </w:tc>
        <w:tc>
          <w:tcPr>
            <w:tcW w:w="120" w:type="dxa"/>
            <w:vAlign w:val="bottom"/>
          </w:tcPr>
          <w:p>
            <w:pPr>
              <w:spacing w:after="0"/>
              <w:rPr>
                <w:sz w:val="13"/>
                <w:szCs w:val="13"/>
                <w:color w:val="auto"/>
              </w:rPr>
            </w:pPr>
          </w:p>
        </w:tc>
        <w:tc>
          <w:tcPr>
            <w:tcW w:w="1600" w:type="dxa"/>
            <w:vAlign w:val="bottom"/>
          </w:tcPr>
          <w:p>
            <w:pPr>
              <w:ind w:left="20"/>
              <w:spacing w:after="0" w:line="152" w:lineRule="exact"/>
              <w:rPr>
                <w:sz w:val="20"/>
                <w:szCs w:val="20"/>
                <w:color w:val="auto"/>
              </w:rPr>
            </w:pPr>
            <w:r>
              <w:rPr>
                <w:rFonts w:ascii="Arial" w:cs="Arial" w:eastAsia="Arial" w:hAnsi="Arial"/>
                <w:sz w:val="14"/>
                <w:szCs w:val="14"/>
                <w:color w:val="auto"/>
                <w:w w:val="92"/>
              </w:rPr>
              <w:t>CenterPoint Energy’s Form</w:t>
            </w:r>
          </w:p>
        </w:tc>
        <w:tc>
          <w:tcPr>
            <w:tcW w:w="1200" w:type="dxa"/>
            <w:vAlign w:val="bottom"/>
            <w:gridSpan w:val="2"/>
          </w:tcPr>
          <w:p>
            <w:pPr>
              <w:jc w:val="center"/>
              <w:ind w:left="49"/>
              <w:spacing w:after="0" w:line="152" w:lineRule="exact"/>
              <w:rPr>
                <w:sz w:val="20"/>
                <w:szCs w:val="20"/>
                <w:color w:val="auto"/>
              </w:rPr>
            </w:pPr>
            <w:r>
              <w:rPr>
                <w:rFonts w:ascii="Arial" w:cs="Arial" w:eastAsia="Arial" w:hAnsi="Arial"/>
                <w:sz w:val="14"/>
                <w:szCs w:val="14"/>
                <w:color w:val="auto"/>
                <w:w w:val="93"/>
              </w:rPr>
              <w:t>1-31447</w:t>
            </w:r>
          </w:p>
        </w:tc>
        <w:tc>
          <w:tcPr>
            <w:tcW w:w="1040" w:type="dxa"/>
            <w:vAlign w:val="bottom"/>
            <w:gridSpan w:val="2"/>
          </w:tcPr>
          <w:p>
            <w:pPr>
              <w:jc w:val="center"/>
              <w:ind w:left="69"/>
              <w:spacing w:after="0" w:line="152"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3"/>
                <w:szCs w:val="13"/>
                <w:color w:val="auto"/>
              </w:rPr>
            </w:pPr>
          </w:p>
        </w:tc>
        <w:tc>
          <w:tcPr>
            <w:tcW w:w="112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0000FF"/>
            </w:tcBorders>
            <w:gridSpan w:val="15"/>
          </w:tcPr>
          <w:p>
            <w:pPr>
              <w:spacing w:after="0" w:line="126" w:lineRule="exact"/>
              <w:rPr>
                <w:rFonts w:ascii="Arial" w:cs="Arial" w:eastAsia="Arial" w:hAnsi="Arial"/>
                <w:sz w:val="14"/>
                <w:szCs w:val="14"/>
                <w:color w:val="0000FF"/>
              </w:rPr>
            </w:pPr>
            <w:hyperlink r:id="rId139">
              <w:r>
                <w:rPr>
                  <w:rFonts w:ascii="Arial" w:cs="Arial" w:eastAsia="Arial" w:hAnsi="Arial"/>
                  <w:sz w:val="14"/>
                  <w:szCs w:val="14"/>
                  <w:color w:val="0000FF"/>
                </w:rPr>
                <w:t>CenterPoint Energy</w:t>
              </w:r>
            </w:hyperlink>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rPr>
              <w:t>8-K dated February 21,</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2"/>
              </w:rPr>
              <w:t>3.8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34"/>
          </w:tcPr>
          <w:p>
            <w:pPr>
              <w:spacing w:after="0" w:line="152" w:lineRule="exact"/>
              <w:rPr>
                <w:rFonts w:ascii="Arial" w:cs="Arial" w:eastAsia="Arial" w:hAnsi="Arial"/>
                <w:sz w:val="14"/>
                <w:szCs w:val="14"/>
                <w:color w:val="0000FF"/>
              </w:rPr>
            </w:pPr>
            <w:hyperlink r:id="rId140">
              <w:r>
                <w:rPr>
                  <w:rFonts w:ascii="Arial" w:cs="Arial" w:eastAsia="Arial" w:hAnsi="Arial"/>
                  <w:sz w:val="14"/>
                  <w:szCs w:val="14"/>
                  <w:color w:val="0000FF"/>
                </w:rPr>
                <w:t>Amended and Restated Limited Liability</w:t>
              </w:r>
            </w:hyperlink>
          </w:p>
        </w:tc>
        <w:tc>
          <w:tcPr>
            <w:tcW w:w="120" w:type="dxa"/>
            <w:vAlign w:val="bottom"/>
          </w:tcPr>
          <w:p>
            <w:pPr>
              <w:spacing w:after="0"/>
              <w:rPr>
                <w:sz w:val="13"/>
                <w:szCs w:val="13"/>
                <w:color w:val="auto"/>
              </w:rPr>
            </w:pPr>
          </w:p>
        </w:tc>
        <w:tc>
          <w:tcPr>
            <w:tcW w:w="1600" w:type="dxa"/>
            <w:vAlign w:val="bottom"/>
          </w:tcPr>
          <w:p>
            <w:pPr>
              <w:ind w:left="20"/>
              <w:spacing w:after="0" w:line="152" w:lineRule="exact"/>
              <w:rPr>
                <w:sz w:val="20"/>
                <w:szCs w:val="20"/>
                <w:color w:val="auto"/>
              </w:rPr>
            </w:pPr>
            <w:r>
              <w:rPr>
                <w:rFonts w:ascii="Arial" w:cs="Arial" w:eastAsia="Arial" w:hAnsi="Arial"/>
                <w:sz w:val="14"/>
                <w:szCs w:val="14"/>
                <w:color w:val="auto"/>
              </w:rPr>
              <w:t>Houston Electric’s Form</w:t>
            </w:r>
          </w:p>
        </w:tc>
        <w:tc>
          <w:tcPr>
            <w:tcW w:w="1200" w:type="dxa"/>
            <w:vAlign w:val="bottom"/>
            <w:gridSpan w:val="2"/>
          </w:tcPr>
          <w:p>
            <w:pPr>
              <w:jc w:val="center"/>
              <w:ind w:left="49"/>
              <w:spacing w:after="0" w:line="152" w:lineRule="exact"/>
              <w:rPr>
                <w:sz w:val="20"/>
                <w:szCs w:val="20"/>
                <w:color w:val="auto"/>
              </w:rPr>
            </w:pPr>
            <w:r>
              <w:rPr>
                <w:rFonts w:ascii="Arial" w:cs="Arial" w:eastAsia="Arial" w:hAnsi="Arial"/>
                <w:sz w:val="14"/>
                <w:szCs w:val="14"/>
                <w:color w:val="auto"/>
                <w:w w:val="91"/>
              </w:rPr>
              <w:t>1-3187</w:t>
            </w:r>
          </w:p>
        </w:tc>
        <w:tc>
          <w:tcPr>
            <w:tcW w:w="1040" w:type="dxa"/>
            <w:vAlign w:val="bottom"/>
            <w:gridSpan w:val="2"/>
          </w:tcPr>
          <w:p>
            <w:pPr>
              <w:jc w:val="center"/>
              <w:ind w:left="69"/>
              <w:spacing w:after="0" w:line="152" w:lineRule="exact"/>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tcBorders>
              <w:top w:val="single" w:sz="8" w:color="0000FF"/>
              <w:bottom w:val="single" w:sz="8" w:color="0000FF"/>
            </w:tcBorders>
            <w:gridSpan w:val="16"/>
          </w:tcPr>
          <w:p>
            <w:pPr>
              <w:spacing w:after="0" w:line="126" w:lineRule="exact"/>
              <w:rPr>
                <w:rFonts w:ascii="Arial" w:cs="Arial" w:eastAsia="Arial" w:hAnsi="Arial"/>
                <w:sz w:val="14"/>
                <w:szCs w:val="14"/>
                <w:color w:val="0000FF"/>
                <w:w w:val="89"/>
              </w:rPr>
            </w:pPr>
            <w:hyperlink r:id="rId140">
              <w:r>
                <w:rPr>
                  <w:rFonts w:ascii="Arial" w:cs="Arial" w:eastAsia="Arial" w:hAnsi="Arial"/>
                  <w:sz w:val="14"/>
                  <w:szCs w:val="14"/>
                  <w:color w:val="0000FF"/>
                  <w:w w:val="89"/>
                </w:rPr>
                <w:t>Company Agreement of Houston Electric</w:t>
              </w:r>
            </w:hyperlink>
          </w:p>
        </w:tc>
        <w:tc>
          <w:tcPr>
            <w:tcW w:w="40" w:type="dxa"/>
            <w:vAlign w:val="bottom"/>
            <w:tcBorders>
              <w:bottom w:val="single" w:sz="8" w:color="0000FF"/>
            </w:tcBorders>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w w:val="94"/>
              </w:rPr>
              <w:t>10-Q for the quarter ended</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June 30, 2011</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2"/>
              </w:rPr>
              <w:t>3.9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34"/>
          </w:tcPr>
          <w:p>
            <w:pPr>
              <w:spacing w:after="0" w:line="152" w:lineRule="exact"/>
              <w:rPr>
                <w:rFonts w:ascii="Arial" w:cs="Arial" w:eastAsia="Arial" w:hAnsi="Arial"/>
                <w:sz w:val="14"/>
                <w:szCs w:val="14"/>
                <w:color w:val="0000FF"/>
              </w:rPr>
            </w:pPr>
            <w:hyperlink r:id="rId136">
              <w:r>
                <w:rPr>
                  <w:rFonts w:ascii="Arial" w:cs="Arial" w:eastAsia="Arial" w:hAnsi="Arial"/>
                  <w:sz w:val="14"/>
                  <w:szCs w:val="14"/>
                  <w:color w:val="0000FF"/>
                </w:rPr>
                <w:t>Bylaws of RERC Corp.</w:t>
              </w:r>
            </w:hyperlink>
          </w:p>
        </w:tc>
        <w:tc>
          <w:tcPr>
            <w:tcW w:w="120" w:type="dxa"/>
            <w:vAlign w:val="bottom"/>
          </w:tcPr>
          <w:p>
            <w:pPr>
              <w:spacing w:after="0"/>
              <w:rPr>
                <w:sz w:val="13"/>
                <w:szCs w:val="13"/>
                <w:color w:val="auto"/>
              </w:rPr>
            </w:pPr>
          </w:p>
        </w:tc>
        <w:tc>
          <w:tcPr>
            <w:tcW w:w="1600" w:type="dxa"/>
            <w:vAlign w:val="bottom"/>
          </w:tcPr>
          <w:p>
            <w:pPr>
              <w:ind w:left="20"/>
              <w:spacing w:after="0" w:line="152" w:lineRule="exact"/>
              <w:rPr>
                <w:sz w:val="20"/>
                <w:szCs w:val="20"/>
                <w:color w:val="auto"/>
              </w:rPr>
            </w:pPr>
            <w:r>
              <w:rPr>
                <w:rFonts w:ascii="Arial" w:cs="Arial" w:eastAsia="Arial" w:hAnsi="Arial"/>
                <w:sz w:val="14"/>
                <w:szCs w:val="14"/>
                <w:color w:val="auto"/>
              </w:rPr>
              <w:t>CERC Form 10-K for the</w:t>
            </w:r>
          </w:p>
        </w:tc>
        <w:tc>
          <w:tcPr>
            <w:tcW w:w="1200" w:type="dxa"/>
            <w:vAlign w:val="bottom"/>
            <w:gridSpan w:val="2"/>
          </w:tcPr>
          <w:p>
            <w:pPr>
              <w:jc w:val="center"/>
              <w:ind w:left="49"/>
              <w:spacing w:after="0" w:line="15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96"/>
              </w:rPr>
              <w:t>3(b)</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21" w:lineRule="exact"/>
              <w:rPr>
                <w:sz w:val="20"/>
                <w:szCs w:val="20"/>
                <w:color w:val="auto"/>
              </w:rPr>
            </w:pPr>
            <w:r>
              <w:rPr>
                <w:rFonts w:ascii="Arial" w:cs="Arial" w:eastAsia="Arial" w:hAnsi="Arial"/>
                <w:sz w:val="14"/>
                <w:szCs w:val="14"/>
                <w:color w:val="auto"/>
                <w:w w:val="96"/>
              </w:rPr>
              <w:t>year ended December 31,</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5"/>
              </w:rPr>
              <w:t>3.10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34"/>
          </w:tcPr>
          <w:p>
            <w:pPr>
              <w:spacing w:after="0" w:line="157" w:lineRule="exact"/>
              <w:rPr>
                <w:rFonts w:ascii="Arial" w:cs="Arial" w:eastAsia="Arial" w:hAnsi="Arial"/>
                <w:sz w:val="14"/>
                <w:szCs w:val="14"/>
                <w:color w:val="0000FF"/>
              </w:rPr>
            </w:pPr>
            <w:hyperlink r:id="rId141">
              <w:r>
                <w:rPr>
                  <w:rFonts w:ascii="Arial" w:cs="Arial" w:eastAsia="Arial" w:hAnsi="Arial"/>
                  <w:sz w:val="14"/>
                  <w:szCs w:val="14"/>
                  <w:color w:val="0000FF"/>
                </w:rPr>
                <w:t>Statement of Resolutions Deleting Shares</w:t>
              </w:r>
            </w:hyperlink>
          </w:p>
        </w:tc>
        <w:tc>
          <w:tcPr>
            <w:tcW w:w="120" w:type="dxa"/>
            <w:vAlign w:val="bottom"/>
          </w:tcPr>
          <w:p>
            <w:pPr>
              <w:spacing w:after="0"/>
              <w:rPr>
                <w:sz w:val="13"/>
                <w:szCs w:val="13"/>
                <w:color w:val="auto"/>
              </w:rPr>
            </w:pPr>
          </w:p>
        </w:tc>
        <w:tc>
          <w:tcPr>
            <w:tcW w:w="1600" w:type="dxa"/>
            <w:vAlign w:val="bottom"/>
          </w:tcPr>
          <w:p>
            <w:pPr>
              <w:ind w:left="20"/>
              <w:spacing w:after="0" w:line="157" w:lineRule="exact"/>
              <w:rPr>
                <w:sz w:val="20"/>
                <w:szCs w:val="20"/>
                <w:color w:val="auto"/>
              </w:rPr>
            </w:pPr>
            <w:r>
              <w:rPr>
                <w:rFonts w:ascii="Arial" w:cs="Arial" w:eastAsia="Arial" w:hAnsi="Arial"/>
                <w:sz w:val="14"/>
                <w:szCs w:val="14"/>
                <w:color w:val="auto"/>
                <w:w w:val="92"/>
              </w:rPr>
              <w:t>CenterPoint Energy’s Form</w:t>
            </w:r>
          </w:p>
        </w:tc>
        <w:tc>
          <w:tcPr>
            <w:tcW w:w="1200" w:type="dxa"/>
            <w:vAlign w:val="bottom"/>
            <w:gridSpan w:val="2"/>
          </w:tcPr>
          <w:p>
            <w:pPr>
              <w:jc w:val="center"/>
              <w:ind w:left="49"/>
              <w:spacing w:after="0" w:line="157"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9"/>
              </w:rPr>
              <w:t>3(c)</w:t>
            </w:r>
          </w:p>
        </w:tc>
        <w:tc>
          <w:tcPr>
            <w:tcW w:w="1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tcBorders>
            <w:gridSpan w:val="18"/>
          </w:tcPr>
          <w:p>
            <w:pPr>
              <w:spacing w:after="0" w:line="126" w:lineRule="exact"/>
              <w:rPr>
                <w:rFonts w:ascii="Arial" w:cs="Arial" w:eastAsia="Arial" w:hAnsi="Arial"/>
                <w:sz w:val="14"/>
                <w:szCs w:val="14"/>
                <w:color w:val="0000FF"/>
                <w:w w:val="94"/>
              </w:rPr>
            </w:pPr>
            <w:hyperlink r:id="rId141">
              <w:r>
                <w:rPr>
                  <w:rFonts w:ascii="Arial" w:cs="Arial" w:eastAsia="Arial" w:hAnsi="Arial"/>
                  <w:sz w:val="14"/>
                  <w:szCs w:val="14"/>
                  <w:color w:val="0000FF"/>
                  <w:w w:val="94"/>
                </w:rPr>
                <w:t>Designated Series A Preferred Stock of</w:t>
              </w:r>
            </w:hyperlink>
          </w:p>
        </w:tc>
        <w:tc>
          <w:tcPr>
            <w:tcW w:w="10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rPr>
              <w:t>10-K for the year ended</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tcBorders>
            <w:gridSpan w:val="12"/>
          </w:tcPr>
          <w:p>
            <w:pPr>
              <w:spacing w:after="0" w:line="126" w:lineRule="exact"/>
              <w:rPr>
                <w:rFonts w:ascii="Arial" w:cs="Arial" w:eastAsia="Arial" w:hAnsi="Arial"/>
                <w:sz w:val="14"/>
                <w:szCs w:val="14"/>
                <w:color w:val="0000FF"/>
              </w:rPr>
            </w:pPr>
            <w:hyperlink r:id="rId141">
              <w:r>
                <w:rPr>
                  <w:rFonts w:ascii="Arial" w:cs="Arial" w:eastAsia="Arial" w:hAnsi="Arial"/>
                  <w:sz w:val="14"/>
                  <w:szCs w:val="14"/>
                  <w:color w:val="0000FF"/>
                </w:rPr>
                <w:t>CenterPoint Energy</w:t>
              </w:r>
            </w:hyperlink>
          </w:p>
        </w:tc>
        <w:tc>
          <w:tcPr>
            <w:tcW w:w="20" w:type="dxa"/>
            <w:vAlign w:val="bottom"/>
          </w:tcPr>
          <w:p>
            <w:pPr>
              <w:spacing w:after="0"/>
              <w:rPr>
                <w:sz w:val="10"/>
                <w:szCs w:val="10"/>
                <w:color w:val="auto"/>
              </w:rPr>
            </w:pPr>
          </w:p>
        </w:tc>
        <w:tc>
          <w:tcPr>
            <w:tcW w:w="22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rPr>
              <w:t>December 31, 2011</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34"/>
          </w:tcPr>
          <w:p>
            <w:pPr>
              <w:spacing w:after="0"/>
              <w:rPr>
                <w:rFonts w:ascii="Arial" w:cs="Arial" w:eastAsia="Arial" w:hAnsi="Arial"/>
                <w:sz w:val="14"/>
                <w:szCs w:val="14"/>
                <w:color w:val="0000FF"/>
                <w:w w:val="93"/>
              </w:rPr>
            </w:pPr>
            <w:hyperlink r:id="rId142">
              <w:r>
                <w:rPr>
                  <w:rFonts w:ascii="Arial" w:cs="Arial" w:eastAsia="Arial" w:hAnsi="Arial"/>
                  <w:sz w:val="14"/>
                  <w:szCs w:val="14"/>
                  <w:color w:val="0000FF"/>
                  <w:w w:val="93"/>
                </w:rPr>
                <w:t>Statement of Resolution Establishing Series of</w:t>
              </w:r>
            </w:hyperlink>
          </w:p>
        </w:tc>
        <w:tc>
          <w:tcPr>
            <w:tcW w:w="120" w:type="dxa"/>
            <w:vAlign w:val="bottom"/>
          </w:tcPr>
          <w:p>
            <w:pPr>
              <w:spacing w:after="0"/>
              <w:rPr>
                <w:sz w:val="14"/>
                <w:szCs w:val="14"/>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w w:val="92"/>
              </w:rPr>
              <w:t>CenterPoint Energy’s Form</w:t>
            </w:r>
          </w:p>
        </w:tc>
        <w:tc>
          <w:tcPr>
            <w:tcW w:w="1200" w:type="dxa"/>
            <w:vAlign w:val="bottom"/>
            <w:gridSpan w:val="2"/>
          </w:tcPr>
          <w:p>
            <w:pPr>
              <w:jc w:val="center"/>
              <w:ind w:left="49"/>
              <w:spacing w:after="0"/>
              <w:rPr>
                <w:sz w:val="20"/>
                <w:szCs w:val="20"/>
                <w:color w:val="auto"/>
              </w:rPr>
            </w:pPr>
            <w:r>
              <w:rPr>
                <w:rFonts w:ascii="Arial" w:cs="Arial" w:eastAsia="Arial" w:hAnsi="Arial"/>
                <w:sz w:val="14"/>
                <w:szCs w:val="14"/>
                <w:color w:val="auto"/>
                <w:w w:val="93"/>
              </w:rPr>
              <w:t>1-31447</w:t>
            </w:r>
          </w:p>
        </w:tc>
        <w:tc>
          <w:tcPr>
            <w:tcW w:w="104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tcBorders>
            <w:gridSpan w:val="32"/>
          </w:tcPr>
          <w:p>
            <w:pPr>
              <w:spacing w:after="0" w:line="126" w:lineRule="exact"/>
              <w:rPr>
                <w:rFonts w:ascii="Arial" w:cs="Arial" w:eastAsia="Arial" w:hAnsi="Arial"/>
                <w:sz w:val="14"/>
                <w:szCs w:val="14"/>
                <w:color w:val="0000FF"/>
                <w:w w:val="93"/>
              </w:rPr>
            </w:pPr>
            <w:hyperlink r:id="rId142">
              <w:r>
                <w:rPr>
                  <w:rFonts w:ascii="Arial" w:cs="Arial" w:eastAsia="Arial" w:hAnsi="Arial"/>
                  <w:sz w:val="14"/>
                  <w:szCs w:val="14"/>
                  <w:color w:val="0000FF"/>
                  <w:w w:val="93"/>
                </w:rPr>
                <w:t>Shares Designated Series A Fixed-to-Floating</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w w:val="93"/>
              </w:rPr>
              <w:t>8-K dated August 22, 2018</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bottom w:val="single" w:sz="8" w:color="0000FF"/>
            </w:tcBorders>
            <w:gridSpan w:val="29"/>
          </w:tcPr>
          <w:p>
            <w:pPr>
              <w:spacing w:after="0" w:line="126" w:lineRule="exact"/>
              <w:rPr>
                <w:rFonts w:ascii="Arial" w:cs="Arial" w:eastAsia="Arial" w:hAnsi="Arial"/>
                <w:sz w:val="14"/>
                <w:szCs w:val="14"/>
                <w:color w:val="0000FF"/>
                <w:w w:val="90"/>
              </w:rPr>
            </w:pPr>
            <w:hyperlink r:id="rId142">
              <w:r>
                <w:rPr>
                  <w:rFonts w:ascii="Arial" w:cs="Arial" w:eastAsia="Arial" w:hAnsi="Arial"/>
                  <w:sz w:val="14"/>
                  <w:szCs w:val="14"/>
                  <w:color w:val="0000FF"/>
                  <w:w w:val="90"/>
                </w:rPr>
                <w:t>Rate Cumulative Redeemable Preferred Stock</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Borders>
              <w:bottom w:val="single" w:sz="8" w:color="0000FF"/>
            </w:tcBorders>
            <w:gridSpan w:val="6"/>
          </w:tcPr>
          <w:p>
            <w:pPr>
              <w:spacing w:after="0" w:line="113" w:lineRule="exact"/>
              <w:rPr>
                <w:rFonts w:ascii="Arial" w:cs="Arial" w:eastAsia="Arial" w:hAnsi="Arial"/>
                <w:sz w:val="13"/>
                <w:szCs w:val="13"/>
                <w:color w:val="0000FF"/>
                <w:w w:val="96"/>
              </w:rPr>
            </w:pPr>
            <w:hyperlink r:id="rId142">
              <w:r>
                <w:rPr>
                  <w:rFonts w:ascii="Arial" w:cs="Arial" w:eastAsia="Arial" w:hAnsi="Arial"/>
                  <w:sz w:val="13"/>
                  <w:szCs w:val="13"/>
                  <w:color w:val="0000FF"/>
                  <w:w w:val="96"/>
                </w:rPr>
                <w:t>of CenterPoint Energy</w:t>
              </w:r>
            </w:hyperlink>
          </w:p>
        </w:tc>
        <w:tc>
          <w:tcPr>
            <w:tcW w:w="1400" w:type="dxa"/>
            <w:vAlign w:val="bottom"/>
            <w:gridSpan w:val="25"/>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980" w:type="dxa"/>
            <w:vAlign w:val="bottom"/>
          </w:tcPr>
          <w:p>
            <w:pPr>
              <w:jc w:val="center"/>
              <w:spacing w:after="0"/>
              <w:rPr>
                <w:sz w:val="20"/>
                <w:szCs w:val="20"/>
                <w:color w:val="auto"/>
              </w:rPr>
            </w:pPr>
            <w:r>
              <w:rPr>
                <w:rFonts w:ascii="Arial" w:cs="Arial" w:eastAsia="Arial" w:hAnsi="Arial"/>
                <w:sz w:val="14"/>
                <w:szCs w:val="14"/>
                <w:color w:val="auto"/>
                <w:w w:val="95"/>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34"/>
          </w:tcPr>
          <w:p>
            <w:pPr>
              <w:spacing w:after="0"/>
              <w:rPr>
                <w:rFonts w:ascii="Arial" w:cs="Arial" w:eastAsia="Arial" w:hAnsi="Arial"/>
                <w:sz w:val="14"/>
                <w:szCs w:val="14"/>
                <w:color w:val="0000FF"/>
                <w:w w:val="93"/>
              </w:rPr>
            </w:pPr>
            <w:hyperlink r:id="rId143">
              <w:r>
                <w:rPr>
                  <w:rFonts w:ascii="Arial" w:cs="Arial" w:eastAsia="Arial" w:hAnsi="Arial"/>
                  <w:sz w:val="14"/>
                  <w:szCs w:val="14"/>
                  <w:color w:val="0000FF"/>
                  <w:w w:val="93"/>
                </w:rPr>
                <w:t>Statement of Resolution Establishing Series of</w:t>
              </w:r>
            </w:hyperlink>
          </w:p>
        </w:tc>
        <w:tc>
          <w:tcPr>
            <w:tcW w:w="12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w w:val="92"/>
              </w:rPr>
              <w:t>CenterPoint Energy’s Form</w:t>
            </w:r>
          </w:p>
        </w:tc>
        <w:tc>
          <w:tcPr>
            <w:tcW w:w="1200" w:type="dxa"/>
            <w:vAlign w:val="bottom"/>
            <w:gridSpan w:val="2"/>
          </w:tcPr>
          <w:p>
            <w:pPr>
              <w:jc w:val="center"/>
              <w:ind w:left="49"/>
              <w:spacing w:after="0"/>
              <w:rPr>
                <w:sz w:val="20"/>
                <w:szCs w:val="20"/>
                <w:color w:val="auto"/>
              </w:rPr>
            </w:pPr>
            <w:r>
              <w:rPr>
                <w:rFonts w:ascii="Arial" w:cs="Arial" w:eastAsia="Arial" w:hAnsi="Arial"/>
                <w:sz w:val="14"/>
                <w:szCs w:val="14"/>
                <w:color w:val="auto"/>
                <w:w w:val="93"/>
              </w:rPr>
              <w:t>1-31447</w:t>
            </w:r>
          </w:p>
        </w:tc>
        <w:tc>
          <w:tcPr>
            <w:tcW w:w="104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tcBorders>
            <w:gridSpan w:val="32"/>
          </w:tcPr>
          <w:p>
            <w:pPr>
              <w:spacing w:after="0" w:line="113" w:lineRule="exact"/>
              <w:rPr>
                <w:rFonts w:ascii="Arial" w:cs="Arial" w:eastAsia="Arial" w:hAnsi="Arial"/>
                <w:sz w:val="13"/>
                <w:szCs w:val="13"/>
                <w:color w:val="0000FF"/>
                <w:w w:val="99"/>
              </w:rPr>
            </w:pPr>
            <w:hyperlink r:id="rId143">
              <w:r>
                <w:rPr>
                  <w:rFonts w:ascii="Arial" w:cs="Arial" w:eastAsia="Arial" w:hAnsi="Arial"/>
                  <w:sz w:val="13"/>
                  <w:szCs w:val="13"/>
                  <w:color w:val="0000FF"/>
                  <w:w w:val="99"/>
                </w:rPr>
                <w:t>Shares designated 7.00% Series B Mandatory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13" w:lineRule="exact"/>
              <w:rPr>
                <w:sz w:val="20"/>
                <w:szCs w:val="20"/>
                <w:color w:val="auto"/>
              </w:rPr>
            </w:pPr>
            <w:r>
              <w:rPr>
                <w:rFonts w:ascii="Arial" w:cs="Arial" w:eastAsia="Arial" w:hAnsi="Arial"/>
                <w:sz w:val="13"/>
                <w:szCs w:val="13"/>
                <w:color w:val="auto"/>
              </w:rPr>
              <w:t>8-K dated September 25,</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8"/>
          </w:tcPr>
          <w:p>
            <w:pPr>
              <w:spacing w:after="0" w:line="119" w:lineRule="exact"/>
              <w:rPr>
                <w:rFonts w:ascii="Arial" w:cs="Arial" w:eastAsia="Arial" w:hAnsi="Arial"/>
                <w:sz w:val="13"/>
                <w:szCs w:val="13"/>
                <w:color w:val="0000FF"/>
              </w:rPr>
            </w:pPr>
            <w:hyperlink r:id="rId143">
              <w:r>
                <w:rPr>
                  <w:rFonts w:ascii="Arial" w:cs="Arial" w:eastAsia="Arial" w:hAnsi="Arial"/>
                  <w:sz w:val="13"/>
                  <w:szCs w:val="13"/>
                  <w:color w:val="0000FF"/>
                </w:rPr>
                <w:t>Convertible Preferred Stock of CenterPoint</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gridSpan w:val="2"/>
          </w:tcPr>
          <w:p>
            <w:pPr>
              <w:ind w:left="140"/>
              <w:spacing w:after="0" w:line="119" w:lineRule="exact"/>
              <w:rPr>
                <w:sz w:val="20"/>
                <w:szCs w:val="20"/>
                <w:color w:val="auto"/>
              </w:rPr>
            </w:pPr>
            <w:r>
              <w:rPr>
                <w:rFonts w:ascii="Arial" w:cs="Arial" w:eastAsia="Arial" w:hAnsi="Arial"/>
                <w:sz w:val="13"/>
                <w:szCs w:val="13"/>
                <w:color w:val="auto"/>
              </w:rPr>
              <w:t>2018</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top w:val="single" w:sz="8" w:color="0000FF"/>
              <w:bottom w:val="single" w:sz="8" w:color="0000FF"/>
            </w:tcBorders>
            <w:gridSpan w:val="2"/>
          </w:tcPr>
          <w:p>
            <w:pPr>
              <w:spacing w:after="0" w:line="126" w:lineRule="exact"/>
              <w:rPr>
                <w:rFonts w:ascii="Arial" w:cs="Arial" w:eastAsia="Arial" w:hAnsi="Arial"/>
                <w:sz w:val="14"/>
                <w:szCs w:val="14"/>
                <w:color w:val="0000FF"/>
                <w:w w:val="85"/>
              </w:rPr>
            </w:pPr>
            <w:hyperlink r:id="rId143">
              <w:r>
                <w:rPr>
                  <w:rFonts w:ascii="Arial" w:cs="Arial" w:eastAsia="Arial" w:hAnsi="Arial"/>
                  <w:sz w:val="14"/>
                  <w:szCs w:val="14"/>
                  <w:color w:val="0000FF"/>
                  <w:w w:val="85"/>
                </w:rPr>
                <w:t>Energy</w:t>
              </w:r>
            </w:hyperlink>
          </w:p>
        </w:tc>
        <w:tc>
          <w:tcPr>
            <w:tcW w:w="2040" w:type="dxa"/>
            <w:vAlign w:val="bottom"/>
            <w:tcBorders>
              <w:top w:val="single" w:sz="8" w:color="0000FF"/>
            </w:tcBorders>
            <w:gridSpan w:val="18"/>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80" w:type="dxa"/>
            <w:vAlign w:val="bottom"/>
          </w:tcPr>
          <w:p>
            <w:pPr>
              <w:jc w:val="center"/>
              <w:spacing w:after="0"/>
              <w:rPr>
                <w:sz w:val="20"/>
                <w:szCs w:val="20"/>
                <w:color w:val="auto"/>
              </w:rPr>
            </w:pPr>
            <w:r>
              <w:rPr>
                <w:rFonts w:ascii="Arial" w:cs="Arial" w:eastAsia="Arial" w:hAnsi="Arial"/>
                <w:sz w:val="14"/>
                <w:szCs w:val="14"/>
                <w:color w:val="auto"/>
                <w:w w:val="95"/>
              </w:rPr>
              <w:t>3.13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34"/>
          </w:tcPr>
          <w:p>
            <w:pPr>
              <w:spacing w:after="0"/>
              <w:rPr>
                <w:rFonts w:ascii="Arial" w:cs="Arial" w:eastAsia="Arial" w:hAnsi="Arial"/>
                <w:sz w:val="14"/>
                <w:szCs w:val="14"/>
                <w:color w:val="0000FF"/>
                <w:w w:val="93"/>
              </w:rPr>
            </w:pPr>
            <w:hyperlink r:id="rId144">
              <w:r>
                <w:rPr>
                  <w:rFonts w:ascii="Arial" w:cs="Arial" w:eastAsia="Arial" w:hAnsi="Arial"/>
                  <w:sz w:val="14"/>
                  <w:szCs w:val="14"/>
                  <w:color w:val="0000FF"/>
                  <w:w w:val="93"/>
                </w:rPr>
                <w:t>Statement of Resolution Establishing Series of</w:t>
              </w:r>
            </w:hyperlink>
          </w:p>
        </w:tc>
        <w:tc>
          <w:tcPr>
            <w:tcW w:w="12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w w:val="92"/>
              </w:rPr>
              <w:t>CenterPoint Energy’s Form</w:t>
            </w:r>
          </w:p>
        </w:tc>
        <w:tc>
          <w:tcPr>
            <w:tcW w:w="1200" w:type="dxa"/>
            <w:vAlign w:val="bottom"/>
            <w:gridSpan w:val="2"/>
          </w:tcPr>
          <w:p>
            <w:pPr>
              <w:jc w:val="center"/>
              <w:ind w:left="49"/>
              <w:spacing w:after="0"/>
              <w:rPr>
                <w:sz w:val="20"/>
                <w:szCs w:val="20"/>
                <w:color w:val="auto"/>
              </w:rPr>
            </w:pPr>
            <w:r>
              <w:rPr>
                <w:rFonts w:ascii="Arial" w:cs="Arial" w:eastAsia="Arial" w:hAnsi="Arial"/>
                <w:sz w:val="14"/>
                <w:szCs w:val="14"/>
                <w:color w:val="auto"/>
                <w:w w:val="93"/>
              </w:rPr>
              <w:t>1-31447</w:t>
            </w:r>
          </w:p>
        </w:tc>
        <w:tc>
          <w:tcPr>
            <w:tcW w:w="104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80" w:type="dxa"/>
            <w:vAlign w:val="bottom"/>
            <w:tcBorders>
              <w:top w:val="single" w:sz="8" w:color="0000FF"/>
              <w:bottom w:val="single" w:sz="8" w:color="0000FF"/>
            </w:tcBorders>
            <w:gridSpan w:val="11"/>
          </w:tcPr>
          <w:p>
            <w:pPr>
              <w:spacing w:after="0" w:line="119" w:lineRule="exact"/>
              <w:rPr>
                <w:rFonts w:ascii="Arial" w:cs="Arial" w:eastAsia="Arial" w:hAnsi="Arial"/>
                <w:sz w:val="13"/>
                <w:szCs w:val="13"/>
                <w:color w:val="0000FF"/>
                <w:w w:val="95"/>
              </w:rPr>
            </w:pPr>
            <w:hyperlink r:id="rId144">
              <w:r>
                <w:rPr>
                  <w:rFonts w:ascii="Arial" w:cs="Arial" w:eastAsia="Arial" w:hAnsi="Arial"/>
                  <w:sz w:val="13"/>
                  <w:szCs w:val="13"/>
                  <w:color w:val="0000FF"/>
                  <w:w w:val="95"/>
                </w:rPr>
                <w:t>Shares designated Series C Mandatory</w:t>
              </w:r>
            </w:hyperlink>
          </w:p>
        </w:tc>
        <w:tc>
          <w:tcPr>
            <w:tcW w:w="50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19" w:lineRule="exact"/>
              <w:rPr>
                <w:sz w:val="20"/>
                <w:szCs w:val="20"/>
                <w:color w:val="auto"/>
              </w:rPr>
            </w:pPr>
            <w:r>
              <w:rPr>
                <w:rFonts w:ascii="Arial" w:cs="Arial" w:eastAsia="Arial" w:hAnsi="Arial"/>
                <w:sz w:val="13"/>
                <w:szCs w:val="13"/>
                <w:color w:val="auto"/>
              </w:rPr>
              <w:t>8-K dated May 6, 2020</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gridSpan w:val="34"/>
          </w:tcPr>
          <w:p>
            <w:pPr>
              <w:spacing w:after="0" w:line="126" w:lineRule="exact"/>
              <w:rPr>
                <w:rFonts w:ascii="Arial" w:cs="Arial" w:eastAsia="Arial" w:hAnsi="Arial"/>
                <w:sz w:val="14"/>
                <w:szCs w:val="14"/>
                <w:color w:val="0000FF"/>
              </w:rPr>
            </w:pPr>
            <w:hyperlink r:id="rId144">
              <w:r>
                <w:rPr>
                  <w:rFonts w:ascii="Arial" w:cs="Arial" w:eastAsia="Arial" w:hAnsi="Arial"/>
                  <w:sz w:val="14"/>
                  <w:szCs w:val="14"/>
                  <w:color w:val="0000FF"/>
                </w:rPr>
                <w:t>Convertible Preferred Stock of CenterPoint</w:t>
              </w:r>
            </w:hyperlink>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9"/>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220" w:type="dxa"/>
            <w:vAlign w:val="bottom"/>
            <w:gridSpan w:val="7"/>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gridSpan w:val="34"/>
          </w:tcPr>
          <w:p>
            <w:pPr>
              <w:spacing w:after="0" w:line="113" w:lineRule="exact"/>
              <w:rPr>
                <w:rFonts w:ascii="Arial" w:cs="Arial" w:eastAsia="Arial" w:hAnsi="Arial"/>
                <w:sz w:val="13"/>
                <w:szCs w:val="13"/>
                <w:color w:val="0000FF"/>
                <w:w w:val="99"/>
              </w:rPr>
            </w:pPr>
            <w:hyperlink r:id="rId144">
              <w:r>
                <w:rPr>
                  <w:rFonts w:ascii="Arial" w:cs="Arial" w:eastAsia="Arial" w:hAnsi="Arial"/>
                  <w:sz w:val="13"/>
                  <w:szCs w:val="13"/>
                  <w:color w:val="0000FF"/>
                  <w:w w:val="99"/>
                </w:rPr>
                <w:t>Energy, Inc., filed with the Secretary of State of</w:t>
              </w:r>
            </w:hyperlink>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bottom w:val="single" w:sz="8" w:color="0000FF"/>
            </w:tcBorders>
            <w:gridSpan w:val="24"/>
          </w:tcPr>
          <w:p>
            <w:pPr>
              <w:spacing w:after="0" w:line="126" w:lineRule="exact"/>
              <w:rPr>
                <w:rFonts w:ascii="Arial" w:cs="Arial" w:eastAsia="Arial" w:hAnsi="Arial"/>
                <w:sz w:val="14"/>
                <w:szCs w:val="14"/>
                <w:color w:val="0000FF"/>
                <w:w w:val="89"/>
              </w:rPr>
            </w:pPr>
            <w:hyperlink r:id="rId144">
              <w:r>
                <w:rPr>
                  <w:rFonts w:ascii="Arial" w:cs="Arial" w:eastAsia="Arial" w:hAnsi="Arial"/>
                  <w:sz w:val="14"/>
                  <w:szCs w:val="14"/>
                  <w:color w:val="0000FF"/>
                  <w:w w:val="89"/>
                </w:rPr>
                <w:t>the State of Texas and effective May 7, 2020</w:t>
              </w:r>
            </w:hyperlink>
          </w:p>
        </w:tc>
        <w:tc>
          <w:tcPr>
            <w:tcW w:w="18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8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34"/>
          </w:tcPr>
          <w:p>
            <w:pPr>
              <w:spacing w:after="0"/>
              <w:rPr>
                <w:rFonts w:ascii="Arial" w:cs="Arial" w:eastAsia="Arial" w:hAnsi="Arial"/>
                <w:sz w:val="14"/>
                <w:szCs w:val="14"/>
                <w:color w:val="0000FF"/>
                <w:w w:val="96"/>
              </w:rPr>
            </w:pPr>
            <w:hyperlink r:id="rId145">
              <w:r>
                <w:rPr>
                  <w:rFonts w:ascii="Arial" w:cs="Arial" w:eastAsia="Arial" w:hAnsi="Arial"/>
                  <w:sz w:val="14"/>
                  <w:szCs w:val="14"/>
                  <w:color w:val="0000FF"/>
                  <w:w w:val="96"/>
                </w:rPr>
                <w:t>Form of CenterPoint Energy Stock Certificate</w:t>
              </w:r>
            </w:hyperlink>
          </w:p>
        </w:tc>
        <w:tc>
          <w:tcPr>
            <w:tcW w:w="12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CenterPoint Energy’s</w:t>
            </w:r>
          </w:p>
        </w:tc>
        <w:tc>
          <w:tcPr>
            <w:tcW w:w="1200" w:type="dxa"/>
            <w:vAlign w:val="bottom"/>
            <w:gridSpan w:val="2"/>
          </w:tcPr>
          <w:p>
            <w:pPr>
              <w:jc w:val="center"/>
              <w:ind w:left="49"/>
              <w:spacing w:after="0"/>
              <w:rPr>
                <w:sz w:val="20"/>
                <w:szCs w:val="20"/>
                <w:color w:val="auto"/>
              </w:rPr>
            </w:pPr>
            <w:r>
              <w:rPr>
                <w:rFonts w:ascii="Arial" w:cs="Arial" w:eastAsia="Arial" w:hAnsi="Arial"/>
                <w:sz w:val="14"/>
                <w:szCs w:val="14"/>
                <w:color w:val="auto"/>
                <w:w w:val="93"/>
              </w:rPr>
              <w:t>3-69502</w:t>
            </w:r>
          </w:p>
        </w:tc>
        <w:tc>
          <w:tcPr>
            <w:tcW w:w="104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ind w:left="20"/>
              <w:spacing w:after="0" w:line="114" w:lineRule="exact"/>
              <w:rPr>
                <w:sz w:val="20"/>
                <w:szCs w:val="20"/>
                <w:color w:val="auto"/>
              </w:rPr>
            </w:pPr>
            <w:r>
              <w:rPr>
                <w:rFonts w:ascii="Arial" w:cs="Arial" w:eastAsia="Arial" w:hAnsi="Arial"/>
                <w:sz w:val="13"/>
                <w:szCs w:val="13"/>
                <w:color w:val="auto"/>
              </w:rPr>
              <w:t>Registration Statement on</w:t>
            </w: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Form S-4</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34"/>
          </w:tcPr>
          <w:p>
            <w:pPr>
              <w:spacing w:after="0" w:line="157" w:lineRule="exact"/>
              <w:rPr>
                <w:rFonts w:ascii="Arial" w:cs="Arial" w:eastAsia="Arial" w:hAnsi="Arial"/>
                <w:sz w:val="14"/>
                <w:szCs w:val="14"/>
                <w:color w:val="0000FF"/>
                <w:w w:val="97"/>
              </w:rPr>
            </w:pPr>
            <w:hyperlink r:id="rId146">
              <w:r>
                <w:rPr>
                  <w:rFonts w:ascii="Arial" w:cs="Arial" w:eastAsia="Arial" w:hAnsi="Arial"/>
                  <w:sz w:val="14"/>
                  <w:szCs w:val="14"/>
                  <w:color w:val="0000FF"/>
                  <w:w w:val="97"/>
                </w:rPr>
                <w:t>Form of Certificate representing the Series A</w:t>
              </w:r>
            </w:hyperlink>
          </w:p>
        </w:tc>
        <w:tc>
          <w:tcPr>
            <w:tcW w:w="120" w:type="dxa"/>
            <w:vAlign w:val="bottom"/>
          </w:tcPr>
          <w:p>
            <w:pPr>
              <w:spacing w:after="0"/>
              <w:rPr>
                <w:sz w:val="14"/>
                <w:szCs w:val="14"/>
                <w:color w:val="auto"/>
              </w:rPr>
            </w:pPr>
          </w:p>
        </w:tc>
        <w:tc>
          <w:tcPr>
            <w:tcW w:w="1600" w:type="dxa"/>
            <w:vAlign w:val="bottom"/>
          </w:tcPr>
          <w:p>
            <w:pPr>
              <w:ind w:left="20"/>
              <w:spacing w:after="0" w:line="157" w:lineRule="exact"/>
              <w:rPr>
                <w:sz w:val="20"/>
                <w:szCs w:val="20"/>
                <w:color w:val="auto"/>
              </w:rPr>
            </w:pPr>
            <w:r>
              <w:rPr>
                <w:rFonts w:ascii="Arial" w:cs="Arial" w:eastAsia="Arial" w:hAnsi="Arial"/>
                <w:sz w:val="14"/>
                <w:szCs w:val="14"/>
                <w:color w:val="auto"/>
                <w:w w:val="92"/>
              </w:rPr>
              <w:t>CenterPoint Energy’s Form</w:t>
            </w:r>
          </w:p>
        </w:tc>
        <w:tc>
          <w:tcPr>
            <w:tcW w:w="1200" w:type="dxa"/>
            <w:vAlign w:val="bottom"/>
            <w:gridSpan w:val="2"/>
          </w:tcPr>
          <w:p>
            <w:pPr>
              <w:jc w:val="center"/>
              <w:ind w:left="49"/>
              <w:spacing w:after="0" w:line="157" w:lineRule="exact"/>
              <w:rPr>
                <w:sz w:val="20"/>
                <w:szCs w:val="20"/>
                <w:color w:val="auto"/>
              </w:rPr>
            </w:pPr>
            <w:r>
              <w:rPr>
                <w:rFonts w:ascii="Arial" w:cs="Arial" w:eastAsia="Arial" w:hAnsi="Arial"/>
                <w:sz w:val="14"/>
                <w:szCs w:val="14"/>
                <w:color w:val="auto"/>
                <w:w w:val="93"/>
              </w:rPr>
              <w:t>1-31447</w:t>
            </w:r>
          </w:p>
        </w:tc>
        <w:tc>
          <w:tcPr>
            <w:tcW w:w="1040" w:type="dxa"/>
            <w:vAlign w:val="bottom"/>
            <w:gridSpan w:val="2"/>
          </w:tcPr>
          <w:p>
            <w:pPr>
              <w:jc w:val="center"/>
              <w:ind w:left="69"/>
              <w:spacing w:after="0" w:line="157" w:lineRule="exact"/>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4"/>
                <w:szCs w:val="14"/>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top w:val="single" w:sz="8" w:color="0000FF"/>
              <w:bottom w:val="single" w:sz="8" w:color="0000FF"/>
            </w:tcBorders>
            <w:gridSpan w:val="9"/>
          </w:tcPr>
          <w:p>
            <w:pPr>
              <w:spacing w:after="0" w:line="119"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Fixed-to-Floating Rate Cumulative</w:t>
              </w:r>
            </w:hyperlink>
          </w:p>
        </w:tc>
        <w:tc>
          <w:tcPr>
            <w:tcW w:w="560" w:type="dxa"/>
            <w:vAlign w:val="bottom"/>
            <w:tcBorders>
              <w:top w:val="single" w:sz="8" w:color="0000FF"/>
            </w:tcBorders>
            <w:gridSpan w:val="16"/>
          </w:tcPr>
          <w:p>
            <w:pPr>
              <w:spacing w:after="0"/>
              <w:rPr>
                <w:sz w:val="10"/>
                <w:szCs w:val="10"/>
                <w:color w:val="auto"/>
              </w:rPr>
            </w:pPr>
          </w:p>
        </w:tc>
        <w:tc>
          <w:tcPr>
            <w:tcW w:w="180" w:type="dxa"/>
            <w:vAlign w:val="bottom"/>
            <w:gridSpan w:val="9"/>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ind w:left="20"/>
              <w:spacing w:after="0" w:line="119" w:lineRule="exact"/>
              <w:rPr>
                <w:sz w:val="20"/>
                <w:szCs w:val="20"/>
                <w:color w:val="auto"/>
              </w:rPr>
            </w:pPr>
            <w:r>
              <w:rPr>
                <w:rFonts w:ascii="Arial" w:cs="Arial" w:eastAsia="Arial" w:hAnsi="Arial"/>
                <w:sz w:val="13"/>
                <w:szCs w:val="13"/>
                <w:color w:val="auto"/>
              </w:rPr>
              <w:t>8-K dated August 22, 2018</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gridSpan w:val="34"/>
          </w:tcPr>
          <w:p>
            <w:pPr>
              <w:spacing w:after="0" w:line="126" w:lineRule="exact"/>
              <w:rPr>
                <w:rFonts w:ascii="Arial" w:cs="Arial" w:eastAsia="Arial" w:hAnsi="Arial"/>
                <w:sz w:val="14"/>
                <w:szCs w:val="14"/>
                <w:color w:val="0000FF"/>
                <w:w w:val="98"/>
              </w:rPr>
            </w:pPr>
            <w:hyperlink r:id="rId146">
              <w:r>
                <w:rPr>
                  <w:rFonts w:ascii="Arial" w:cs="Arial" w:eastAsia="Arial" w:hAnsi="Arial"/>
                  <w:sz w:val="14"/>
                  <w:szCs w:val="14"/>
                  <w:color w:val="0000FF"/>
                  <w:w w:val="98"/>
                </w:rPr>
                <w:t>Redeemable Preferred Stock of CenterPoint</w:t>
              </w:r>
            </w:hyperlink>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top w:val="single" w:sz="8" w:color="0000FF"/>
              <w:bottom w:val="single" w:sz="8" w:color="0000FF"/>
            </w:tcBorders>
            <w:gridSpan w:val="2"/>
          </w:tcPr>
          <w:p>
            <w:pPr>
              <w:spacing w:after="0" w:line="126" w:lineRule="exact"/>
              <w:rPr>
                <w:rFonts w:ascii="Arial" w:cs="Arial" w:eastAsia="Arial" w:hAnsi="Arial"/>
                <w:sz w:val="14"/>
                <w:szCs w:val="14"/>
                <w:color w:val="0000FF"/>
                <w:w w:val="85"/>
              </w:rPr>
            </w:pPr>
            <w:hyperlink r:id="rId146">
              <w:r>
                <w:rPr>
                  <w:rFonts w:ascii="Arial" w:cs="Arial" w:eastAsia="Arial" w:hAnsi="Arial"/>
                  <w:sz w:val="14"/>
                  <w:szCs w:val="14"/>
                  <w:color w:val="0000FF"/>
                  <w:w w:val="85"/>
                </w:rPr>
                <w:t>Energy</w:t>
              </w:r>
            </w:hyperlink>
          </w:p>
        </w:tc>
        <w:tc>
          <w:tcPr>
            <w:tcW w:w="2100" w:type="dxa"/>
            <w:vAlign w:val="bottom"/>
            <w:tcBorders>
              <w:top w:val="single" w:sz="8" w:color="0000FF"/>
            </w:tcBorders>
            <w:gridSpan w:val="21"/>
          </w:tcPr>
          <w:p>
            <w:pPr>
              <w:spacing w:after="0"/>
              <w:rPr>
                <w:sz w:val="10"/>
                <w:szCs w:val="10"/>
                <w:color w:val="auto"/>
              </w:rPr>
            </w:pPr>
          </w:p>
        </w:tc>
        <w:tc>
          <w:tcPr>
            <w:tcW w:w="220" w:type="dxa"/>
            <w:vAlign w:val="bottom"/>
            <w:gridSpan w:val="11"/>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34"/>
          </w:tcPr>
          <w:p>
            <w:pPr>
              <w:spacing w:after="0"/>
              <w:rPr>
                <w:rFonts w:ascii="Arial" w:cs="Arial" w:eastAsia="Arial" w:hAnsi="Arial"/>
                <w:sz w:val="14"/>
                <w:szCs w:val="14"/>
                <w:color w:val="0000FF"/>
              </w:rPr>
            </w:pPr>
            <w:hyperlink r:id="rId147">
              <w:r>
                <w:rPr>
                  <w:rFonts w:ascii="Arial" w:cs="Arial" w:eastAsia="Arial" w:hAnsi="Arial"/>
                  <w:sz w:val="14"/>
                  <w:szCs w:val="14"/>
                  <w:color w:val="0000FF"/>
                </w:rPr>
                <w:t>Indenture dated as of February 1, 1998,</w:t>
              </w:r>
            </w:hyperlink>
          </w:p>
        </w:tc>
        <w:tc>
          <w:tcPr>
            <w:tcW w:w="120" w:type="dxa"/>
            <w:vAlign w:val="bottom"/>
          </w:tcPr>
          <w:p>
            <w:pPr>
              <w:spacing w:after="0"/>
              <w:rPr>
                <w:sz w:val="14"/>
                <w:szCs w:val="14"/>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CERC’s Form 8-K dated</w:t>
            </w:r>
          </w:p>
        </w:tc>
        <w:tc>
          <w:tcPr>
            <w:tcW w:w="1200" w:type="dxa"/>
            <w:vAlign w:val="bottom"/>
            <w:gridSpan w:val="2"/>
          </w:tcPr>
          <w:p>
            <w:pPr>
              <w:jc w:val="center"/>
              <w:ind w:left="49"/>
              <w:spacing w:after="0"/>
              <w:rPr>
                <w:sz w:val="20"/>
                <w:szCs w:val="20"/>
                <w:color w:val="auto"/>
              </w:rPr>
            </w:pPr>
            <w:r>
              <w:rPr>
                <w:rFonts w:ascii="Arial" w:cs="Arial" w:eastAsia="Arial" w:hAnsi="Arial"/>
                <w:sz w:val="14"/>
                <w:szCs w:val="14"/>
                <w:color w:val="auto"/>
                <w:w w:val="93"/>
              </w:rPr>
              <w:t>1-13265</w:t>
            </w:r>
          </w:p>
        </w:tc>
        <w:tc>
          <w:tcPr>
            <w:tcW w:w="104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13"/>
            <w:shd w:val="clear" w:color="auto" w:fill="0000FF"/>
          </w:tcPr>
          <w:p>
            <w:pPr>
              <w:spacing w:after="0" w:line="20" w:lineRule="exact"/>
              <w:rPr>
                <w:sz w:val="1"/>
                <w:szCs w:val="1"/>
                <w:color w:val="auto"/>
              </w:rPr>
            </w:pPr>
          </w:p>
        </w:tc>
        <w:tc>
          <w:tcPr>
            <w:tcW w:w="500" w:type="dxa"/>
            <w:vAlign w:val="bottom"/>
            <w:gridSpan w:val="2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vMerge w:val="restart"/>
          </w:tcPr>
          <w:p>
            <w:pPr>
              <w:ind w:left="20"/>
              <w:spacing w:after="0" w:line="153" w:lineRule="exact"/>
              <w:rPr>
                <w:sz w:val="20"/>
                <w:szCs w:val="20"/>
                <w:color w:val="auto"/>
              </w:rPr>
            </w:pPr>
            <w:r>
              <w:rPr>
                <w:rFonts w:ascii="Arial" w:cs="Arial" w:eastAsia="Arial" w:hAnsi="Arial"/>
                <w:sz w:val="14"/>
                <w:szCs w:val="14"/>
                <w:color w:val="auto"/>
              </w:rPr>
              <w:t>February 5, 1998</w:t>
            </w: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gridSpan w:val="34"/>
          </w:tcPr>
          <w:p>
            <w:pPr>
              <w:spacing w:after="0" w:line="133" w:lineRule="exact"/>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between CERC (formerly NorAm Energy</w:t>
              </w:r>
            </w:hyperlink>
          </w:p>
        </w:tc>
        <w:tc>
          <w:tcPr>
            <w:tcW w:w="1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100"/>
        <w:spacing w:after="0" w:line="197" w:lineRule="auto"/>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Corp.) and The Bank of New York Mellon</w:t>
        </w:r>
      </w:hyperlink>
    </w:p>
    <w:p>
      <w:pPr>
        <w:ind w:left="1100"/>
        <w:spacing w:after="0" w:line="218" w:lineRule="auto"/>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Trust Company, National Association</w:t>
        </w:r>
      </w:hyperlink>
    </w:p>
    <w:p>
      <w:pPr>
        <w:ind w:left="1100"/>
        <w:spacing w:after="0" w:line="218" w:lineRule="auto"/>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(successor to JPMorgan Chase Bank, National</w:t>
        </w:r>
      </w:hyperlink>
    </w:p>
    <w:p>
      <w:pPr>
        <w:ind w:left="1100"/>
        <w:spacing w:after="0" w:line="198" w:lineRule="auto"/>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Association (formerly Chase Bank of Texas)),</w:t>
        </w:r>
      </w:hyperlink>
    </w:p>
    <w:p>
      <w:pPr>
        <w:ind w:left="1100"/>
        <w:spacing w:after="0"/>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as trustee</w:t>
        </w:r>
      </w:hyperlink>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Report or Registration</w:t>
            </w: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SEC File or</w:t>
            </w: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CenterPoint</w:t>
            </w: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Houston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20" w:type="dxa"/>
            <w:vAlign w:val="bottom"/>
            <w:gridSpan w:val="12"/>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0"/>
              </w:rPr>
              <w:t>Registration</w:t>
            </w: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12"/>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Statement</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980" w:type="dxa"/>
            <w:vAlign w:val="bottom"/>
          </w:tcPr>
          <w:p>
            <w:pPr>
              <w:jc w:val="center"/>
              <w:spacing w:after="0" w:line="126" w:lineRule="exact"/>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16"/>
          </w:tcPr>
          <w:p>
            <w:pPr>
              <w:spacing w:after="0" w:line="126" w:lineRule="exact"/>
              <w:rPr>
                <w:rFonts w:ascii="Arial" w:cs="Arial" w:eastAsia="Arial" w:hAnsi="Arial"/>
                <w:sz w:val="14"/>
                <w:szCs w:val="14"/>
                <w:color w:val="0000FF"/>
              </w:rPr>
            </w:pPr>
            <w:hyperlink r:id="rId149">
              <w:r>
                <w:rPr>
                  <w:rFonts w:ascii="Arial" w:cs="Arial" w:eastAsia="Arial" w:hAnsi="Arial"/>
                  <w:sz w:val="14"/>
                  <w:szCs w:val="14"/>
                  <w:color w:val="0000FF"/>
                </w:rPr>
                <w:t>Supplemental Indenture No. 23, dated as of</w:t>
              </w:r>
            </w:hyperlink>
          </w:p>
        </w:tc>
        <w:tc>
          <w:tcPr>
            <w:tcW w:w="100" w:type="dxa"/>
            <w:vAlign w:val="bottom"/>
          </w:tcPr>
          <w:p>
            <w:pPr>
              <w:spacing w:after="0"/>
              <w:rPr>
                <w:sz w:val="11"/>
                <w:szCs w:val="11"/>
                <w:color w:val="auto"/>
              </w:rPr>
            </w:pPr>
          </w:p>
        </w:tc>
        <w:tc>
          <w:tcPr>
            <w:tcW w:w="1600" w:type="dxa"/>
            <w:vAlign w:val="bottom"/>
          </w:tcPr>
          <w:p>
            <w:pPr>
              <w:ind w:left="20"/>
              <w:spacing w:after="0" w:line="126" w:lineRule="exact"/>
              <w:rPr>
                <w:sz w:val="20"/>
                <w:szCs w:val="20"/>
                <w:color w:val="auto"/>
              </w:rPr>
            </w:pPr>
            <w:r>
              <w:rPr>
                <w:rFonts w:ascii="Arial" w:cs="Arial" w:eastAsia="Arial" w:hAnsi="Arial"/>
                <w:sz w:val="14"/>
                <w:szCs w:val="14"/>
                <w:color w:val="auto"/>
                <w:w w:val="99"/>
              </w:rPr>
              <w:t>CERC’s Quarterly Report</w:t>
            </w:r>
          </w:p>
        </w:tc>
        <w:tc>
          <w:tcPr>
            <w:tcW w:w="120" w:type="dxa"/>
            <w:vAlign w:val="bottom"/>
          </w:tcPr>
          <w:p>
            <w:pPr>
              <w:spacing w:after="0"/>
              <w:rPr>
                <w:sz w:val="11"/>
                <w:szCs w:val="11"/>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1"/>
                <w:szCs w:val="11"/>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4"/>
                <w:szCs w:val="14"/>
                <w:color w:val="auto"/>
                <w:w w:val="92"/>
              </w:rPr>
              <w:t>4.6</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tcBorders>
            <w:gridSpan w:val="10"/>
          </w:tcPr>
          <w:p>
            <w:pPr>
              <w:spacing w:after="0" w:line="119" w:lineRule="exact"/>
              <w:rPr>
                <w:rFonts w:ascii="Arial" w:cs="Arial" w:eastAsia="Arial" w:hAnsi="Arial"/>
                <w:sz w:val="13"/>
                <w:szCs w:val="13"/>
                <w:color w:val="0000FF"/>
              </w:rPr>
            </w:pPr>
            <w:hyperlink r:id="rId149">
              <w:r>
                <w:rPr>
                  <w:rFonts w:ascii="Arial" w:cs="Arial" w:eastAsia="Arial" w:hAnsi="Arial"/>
                  <w:sz w:val="13"/>
                  <w:szCs w:val="13"/>
                  <w:color w:val="0000FF"/>
                </w:rPr>
                <w:t>February 23, 2023, to Exhibit 4.3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ind w:left="20"/>
              <w:spacing w:after="0" w:line="119" w:lineRule="exact"/>
              <w:rPr>
                <w:sz w:val="20"/>
                <w:szCs w:val="20"/>
                <w:color w:val="auto"/>
              </w:rPr>
            </w:pPr>
            <w:r>
              <w:rPr>
                <w:rFonts w:ascii="Arial" w:cs="Arial" w:eastAsia="Arial" w:hAnsi="Arial"/>
                <w:sz w:val="13"/>
                <w:szCs w:val="13"/>
                <w:color w:val="auto"/>
              </w:rPr>
              <w:t>on Form 10-Q for the</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ind w:left="20"/>
              <w:spacing w:after="0" w:line="121" w:lineRule="exact"/>
              <w:rPr>
                <w:sz w:val="20"/>
                <w:szCs w:val="20"/>
                <w:color w:val="auto"/>
              </w:rPr>
            </w:pPr>
            <w:r>
              <w:rPr>
                <w:rFonts w:ascii="Arial" w:cs="Arial" w:eastAsia="Arial" w:hAnsi="Arial"/>
                <w:sz w:val="14"/>
                <w:szCs w:val="14"/>
                <w:color w:val="auto"/>
              </w:rPr>
              <w:t>quarter ended March 31,</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87"/>
              </w:rPr>
              <w:t>†4.5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16"/>
          </w:tcPr>
          <w:p>
            <w:pPr>
              <w:spacing w:after="0" w:line="157" w:lineRule="exact"/>
              <w:rPr>
                <w:sz w:val="20"/>
                <w:szCs w:val="20"/>
                <w:color w:val="auto"/>
              </w:rPr>
            </w:pPr>
            <w:r>
              <w:rPr>
                <w:rFonts w:ascii="Arial" w:cs="Arial" w:eastAsia="Arial" w:hAnsi="Arial"/>
                <w:sz w:val="14"/>
                <w:szCs w:val="14"/>
                <w:color w:val="0000FF"/>
              </w:rPr>
              <w:t>Supplemental Indenture No. 24, dated as of</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tcBorders>
            <w:gridSpan w:val="10"/>
          </w:tcPr>
          <w:p>
            <w:pPr>
              <w:spacing w:after="0" w:line="126" w:lineRule="exact"/>
              <w:rPr>
                <w:sz w:val="20"/>
                <w:szCs w:val="20"/>
                <w:color w:val="auto"/>
              </w:rPr>
            </w:pPr>
            <w:r>
              <w:rPr>
                <w:rFonts w:ascii="Arial" w:cs="Arial" w:eastAsia="Arial" w:hAnsi="Arial"/>
                <w:sz w:val="14"/>
                <w:szCs w:val="14"/>
                <w:color w:val="0000FF"/>
              </w:rPr>
              <w:t>May 3, 2023, to Exhibit 4.3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80" w:type="dxa"/>
            <w:vAlign w:val="bottom"/>
          </w:tcPr>
          <w:p>
            <w:pPr>
              <w:jc w:val="center"/>
              <w:spacing w:after="0"/>
              <w:rPr>
                <w:sz w:val="20"/>
                <w:szCs w:val="20"/>
                <w:color w:val="auto"/>
              </w:rPr>
            </w:pPr>
            <w:r>
              <w:rPr>
                <w:rFonts w:ascii="Arial" w:cs="Arial" w:eastAsia="Arial" w:hAnsi="Arial"/>
                <w:sz w:val="14"/>
                <w:szCs w:val="14"/>
                <w:color w:val="auto"/>
                <w:w w:val="91"/>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w w:val="89"/>
              </w:rPr>
              <w:t>First Amendment to Second Amended and</w:t>
            </w:r>
          </w:p>
        </w:tc>
        <w:tc>
          <w:tcPr>
            <w:tcW w:w="340" w:type="dxa"/>
            <w:vAlign w:val="bottom"/>
            <w:gridSpan w:val="7"/>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16"/>
          </w:tcPr>
          <w:p>
            <w:pPr>
              <w:spacing w:after="0" w:line="113" w:lineRule="exact"/>
              <w:rPr>
                <w:sz w:val="20"/>
                <w:szCs w:val="20"/>
                <w:color w:val="auto"/>
              </w:rPr>
            </w:pPr>
            <w:r>
              <w:rPr>
                <w:rFonts w:ascii="Arial" w:cs="Arial" w:eastAsia="Arial" w:hAnsi="Arial"/>
                <w:sz w:val="13"/>
                <w:szCs w:val="13"/>
                <w:color w:val="0000FF"/>
                <w:w w:val="98"/>
              </w:rPr>
              <w:t>Restated Credit Agreement, dated as of July 26,</w:t>
            </w: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80" w:type="dxa"/>
            <w:vAlign w:val="bottom"/>
            <w:tcBorders>
              <w:top w:val="single" w:sz="8" w:color="0000FF"/>
              <w:bottom w:val="single" w:sz="8" w:color="0000FF"/>
            </w:tcBorders>
          </w:tcPr>
          <w:p>
            <w:pPr>
              <w:spacing w:after="0" w:line="126" w:lineRule="exact"/>
              <w:rPr>
                <w:sz w:val="20"/>
                <w:szCs w:val="20"/>
                <w:color w:val="auto"/>
              </w:rPr>
            </w:pPr>
            <w:r>
              <w:rPr>
                <w:rFonts w:ascii="Arial" w:cs="Arial" w:eastAsia="Arial" w:hAnsi="Arial"/>
                <w:sz w:val="14"/>
                <w:szCs w:val="14"/>
                <w:color w:val="0000FF"/>
                <w:w w:val="83"/>
              </w:rPr>
              <w:t>2023</w:t>
            </w: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80" w:type="dxa"/>
            <w:vAlign w:val="bottom"/>
          </w:tcPr>
          <w:p>
            <w:pPr>
              <w:jc w:val="center"/>
              <w:spacing w:after="0"/>
              <w:rPr>
                <w:sz w:val="20"/>
                <w:szCs w:val="20"/>
                <w:color w:val="auto"/>
              </w:rPr>
            </w:pPr>
            <w:r>
              <w:rPr>
                <w:rFonts w:ascii="Arial" w:cs="Arial" w:eastAsia="Arial" w:hAnsi="Arial"/>
                <w:sz w:val="14"/>
                <w:szCs w:val="14"/>
                <w:color w:val="auto"/>
                <w:w w:val="89"/>
              </w:rPr>
              <w:t>†31.1.1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0000FF"/>
              </w:rPr>
              <w:t>Rule 13a-14(a)/15d-14(a) Certification of</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top w:val="single" w:sz="8" w:color="0000FF"/>
              <w:bottom w:val="single" w:sz="8" w:color="0000FF"/>
            </w:tcBorders>
            <w:gridSpan w:val="4"/>
          </w:tcPr>
          <w:p>
            <w:pPr>
              <w:spacing w:after="0" w:line="113" w:lineRule="exact"/>
              <w:rPr>
                <w:sz w:val="20"/>
                <w:szCs w:val="20"/>
                <w:color w:val="auto"/>
              </w:rPr>
            </w:pPr>
            <w:r>
              <w:rPr>
                <w:rFonts w:ascii="Arial" w:cs="Arial" w:eastAsia="Arial" w:hAnsi="Arial"/>
                <w:sz w:val="13"/>
                <w:szCs w:val="13"/>
                <w:color w:val="0000FF"/>
                <w:w w:val="96"/>
              </w:rPr>
              <w:t>David J. Lesar</w:t>
            </w:r>
          </w:p>
        </w:tc>
        <w:tc>
          <w:tcPr>
            <w:tcW w:w="1540" w:type="dxa"/>
            <w:vAlign w:val="bottom"/>
            <w:tcBorders>
              <w:top w:val="single" w:sz="8" w:color="0000FF"/>
            </w:tcBorders>
            <w:gridSpan w:val="4"/>
          </w:tcPr>
          <w:p>
            <w:pPr>
              <w:spacing w:after="0"/>
              <w:rPr>
                <w:sz w:val="9"/>
                <w:szCs w:val="9"/>
                <w:color w:val="auto"/>
              </w:rPr>
            </w:pPr>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980" w:type="dxa"/>
            <w:vAlign w:val="bottom"/>
          </w:tcPr>
          <w:p>
            <w:pPr>
              <w:jc w:val="center"/>
              <w:spacing w:after="0"/>
              <w:rPr>
                <w:sz w:val="20"/>
                <w:szCs w:val="20"/>
                <w:color w:val="auto"/>
              </w:rPr>
            </w:pPr>
            <w:r>
              <w:rPr>
                <w:rFonts w:ascii="Arial" w:cs="Arial" w:eastAsia="Arial" w:hAnsi="Arial"/>
                <w:sz w:val="14"/>
                <w:szCs w:val="14"/>
                <w:color w:val="auto"/>
                <w:w w:val="89"/>
              </w:rPr>
              <w:t>†31.1.2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0000FF"/>
                <w:w w:val="92"/>
              </w:rPr>
              <w:t>Rule 13a-14(a)/15d-14(a) Certification of Jason</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15"/>
          </w:tcPr>
          <w:p>
            <w:pPr>
              <w:spacing w:after="0" w:line="126" w:lineRule="exact"/>
              <w:rPr>
                <w:sz w:val="20"/>
                <w:szCs w:val="20"/>
                <w:color w:val="auto"/>
              </w:rPr>
            </w:pPr>
            <w:r>
              <w:rPr>
                <w:rFonts w:ascii="Arial" w:cs="Arial" w:eastAsia="Arial" w:hAnsi="Arial"/>
                <w:sz w:val="14"/>
                <w:szCs w:val="14"/>
                <w:color w:val="0000FF"/>
              </w:rPr>
              <w:t>P. Wells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89"/>
              </w:rPr>
              <w:t>†31.1.3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0000FF"/>
                <w:w w:val="92"/>
              </w:rPr>
              <w:t>Rule 13a-14(a)/15d-14(a) Certification of Jason</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15"/>
          </w:tcPr>
          <w:p>
            <w:pPr>
              <w:spacing w:after="0" w:line="126" w:lineRule="exact"/>
              <w:rPr>
                <w:sz w:val="20"/>
                <w:szCs w:val="20"/>
                <w:color w:val="auto"/>
              </w:rPr>
            </w:pPr>
            <w:r>
              <w:rPr>
                <w:rFonts w:ascii="Arial" w:cs="Arial" w:eastAsia="Arial" w:hAnsi="Arial"/>
                <w:sz w:val="14"/>
                <w:szCs w:val="14"/>
                <w:color w:val="0000FF"/>
              </w:rPr>
              <w:t>P. Wells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89"/>
              </w:rPr>
              <w:t>†31.2.1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0000FF"/>
              </w:rPr>
              <w:t>Rule 13a-14(a)/15d-14(a) Certification of</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5"/>
          </w:tcPr>
          <w:p>
            <w:pPr>
              <w:spacing w:after="0" w:line="126" w:lineRule="exact"/>
              <w:rPr>
                <w:sz w:val="20"/>
                <w:szCs w:val="20"/>
                <w:color w:val="auto"/>
              </w:rPr>
            </w:pPr>
            <w:r>
              <w:rPr>
                <w:rFonts w:ascii="Arial" w:cs="Arial" w:eastAsia="Arial" w:hAnsi="Arial"/>
                <w:sz w:val="14"/>
                <w:szCs w:val="14"/>
                <w:color w:val="0000FF"/>
                <w:w w:val="90"/>
              </w:rPr>
              <w:t>Christopher A. Foster</w:t>
            </w:r>
          </w:p>
        </w:tc>
        <w:tc>
          <w:tcPr>
            <w:tcW w:w="1140" w:type="dxa"/>
            <w:vAlign w:val="bottom"/>
            <w:tcBorders>
              <w:top w:val="single" w:sz="8" w:color="0000FF"/>
            </w:tcBorders>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80" w:type="dxa"/>
            <w:vAlign w:val="bottom"/>
          </w:tcPr>
          <w:p>
            <w:pPr>
              <w:jc w:val="center"/>
              <w:spacing w:after="0"/>
              <w:rPr>
                <w:sz w:val="20"/>
                <w:szCs w:val="20"/>
                <w:color w:val="auto"/>
              </w:rPr>
            </w:pPr>
            <w:r>
              <w:rPr>
                <w:rFonts w:ascii="Arial" w:cs="Arial" w:eastAsia="Arial" w:hAnsi="Arial"/>
                <w:sz w:val="14"/>
                <w:szCs w:val="14"/>
                <w:color w:val="auto"/>
                <w:w w:val="89"/>
              </w:rPr>
              <w:t>†31.2.2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0000FF"/>
              </w:rPr>
              <w:t>Rule 13a-14(a)/15d-14(a) Certification of</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top w:val="single" w:sz="8" w:color="0000FF"/>
              <w:bottom w:val="single" w:sz="8" w:color="0000FF"/>
            </w:tcBorders>
            <w:gridSpan w:val="5"/>
          </w:tcPr>
          <w:p>
            <w:pPr>
              <w:spacing w:after="0" w:line="113" w:lineRule="exact"/>
              <w:rPr>
                <w:sz w:val="20"/>
                <w:szCs w:val="20"/>
                <w:color w:val="auto"/>
              </w:rPr>
            </w:pPr>
            <w:r>
              <w:rPr>
                <w:rFonts w:ascii="Arial" w:cs="Arial" w:eastAsia="Arial" w:hAnsi="Arial"/>
                <w:sz w:val="13"/>
                <w:szCs w:val="13"/>
                <w:color w:val="0000FF"/>
                <w:w w:val="97"/>
              </w:rPr>
              <w:t>Christopher A. Foster</w:t>
            </w:r>
          </w:p>
        </w:tc>
        <w:tc>
          <w:tcPr>
            <w:tcW w:w="1140" w:type="dxa"/>
            <w:vAlign w:val="bottom"/>
            <w:tcBorders>
              <w:top w:val="single" w:sz="8" w:color="0000FF"/>
            </w:tcBorders>
            <w:gridSpan w:val="3"/>
          </w:tcPr>
          <w:p>
            <w:pPr>
              <w:spacing w:after="0"/>
              <w:rPr>
                <w:sz w:val="9"/>
                <w:szCs w:val="9"/>
                <w:color w:val="auto"/>
              </w:rPr>
            </w:pPr>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980" w:type="dxa"/>
            <w:vAlign w:val="bottom"/>
          </w:tcPr>
          <w:p>
            <w:pPr>
              <w:jc w:val="center"/>
              <w:spacing w:after="0"/>
              <w:rPr>
                <w:sz w:val="20"/>
                <w:szCs w:val="20"/>
                <w:color w:val="auto"/>
              </w:rPr>
            </w:pPr>
            <w:r>
              <w:rPr>
                <w:rFonts w:ascii="Arial" w:cs="Arial" w:eastAsia="Arial" w:hAnsi="Arial"/>
                <w:sz w:val="14"/>
                <w:szCs w:val="14"/>
                <w:color w:val="auto"/>
                <w:w w:val="89"/>
              </w:rPr>
              <w:t>†31.2.3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0000FF"/>
              </w:rPr>
              <w:t>Rule 13a-14(a)/15d-14(a) Certification of</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5"/>
          </w:tcPr>
          <w:p>
            <w:pPr>
              <w:spacing w:after="0" w:line="126" w:lineRule="exact"/>
              <w:rPr>
                <w:sz w:val="20"/>
                <w:szCs w:val="20"/>
                <w:color w:val="auto"/>
              </w:rPr>
            </w:pPr>
            <w:r>
              <w:rPr>
                <w:rFonts w:ascii="Arial" w:cs="Arial" w:eastAsia="Arial" w:hAnsi="Arial"/>
                <w:sz w:val="14"/>
                <w:szCs w:val="14"/>
                <w:color w:val="0000FF"/>
                <w:w w:val="90"/>
              </w:rPr>
              <w:t>Christopher A. Foster</w:t>
            </w:r>
          </w:p>
        </w:tc>
        <w:tc>
          <w:tcPr>
            <w:tcW w:w="1140" w:type="dxa"/>
            <w:vAlign w:val="bottom"/>
            <w:tcBorders>
              <w:top w:val="single" w:sz="8" w:color="0000FF"/>
            </w:tcBorders>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89"/>
              </w:rPr>
              <w:t>†32.1.1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0000FF"/>
              </w:rPr>
              <w:t>Section 1350 Certification of David J. Lesar</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80" w:type="dxa"/>
            <w:vAlign w:val="bottom"/>
          </w:tcPr>
          <w:p>
            <w:pPr>
              <w:jc w:val="center"/>
              <w:spacing w:after="0"/>
              <w:rPr>
                <w:sz w:val="20"/>
                <w:szCs w:val="20"/>
                <w:color w:val="auto"/>
              </w:rPr>
            </w:pPr>
            <w:r>
              <w:rPr>
                <w:rFonts w:ascii="Arial" w:cs="Arial" w:eastAsia="Arial" w:hAnsi="Arial"/>
                <w:sz w:val="14"/>
                <w:szCs w:val="14"/>
                <w:color w:val="auto"/>
                <w:w w:val="89"/>
              </w:rPr>
              <w:t>†32.1.2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4"/>
                <w:szCs w:val="14"/>
                <w:color w:val="0000FF"/>
                <w:w w:val="90"/>
              </w:rPr>
              <w:t>Section 1350 Certification of Jason P. Wells</w:t>
            </w:r>
          </w:p>
        </w:tc>
        <w:tc>
          <w:tcPr>
            <w:tcW w:w="20" w:type="dxa"/>
            <w:vAlign w:val="bottom"/>
            <w:tcBorders>
              <w:top w:val="single" w:sz="8" w:color="0000FF"/>
            </w:tcBorders>
          </w:tcPr>
          <w:p>
            <w:pPr>
              <w:spacing w:after="0"/>
              <w:rPr>
                <w:sz w:val="15"/>
                <w:szCs w:val="15"/>
                <w:color w:val="auto"/>
              </w:rPr>
            </w:pPr>
          </w:p>
        </w:tc>
        <w:tc>
          <w:tcPr>
            <w:tcW w:w="24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80" w:type="dxa"/>
            <w:vAlign w:val="bottom"/>
          </w:tcPr>
          <w:p>
            <w:pPr>
              <w:jc w:val="center"/>
              <w:spacing w:after="0"/>
              <w:rPr>
                <w:sz w:val="20"/>
                <w:szCs w:val="20"/>
                <w:color w:val="auto"/>
              </w:rPr>
            </w:pPr>
            <w:r>
              <w:rPr>
                <w:rFonts w:ascii="Arial" w:cs="Arial" w:eastAsia="Arial" w:hAnsi="Arial"/>
                <w:sz w:val="14"/>
                <w:szCs w:val="14"/>
                <w:color w:val="auto"/>
                <w:w w:val="89"/>
              </w:rPr>
              <w:t>†32.1.3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0"/>
              </w:rPr>
              <w:t>Section 1350 Certification of Jason P. Wells</w:t>
            </w:r>
          </w:p>
        </w:tc>
        <w:tc>
          <w:tcPr>
            <w:tcW w:w="26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89"/>
              </w:rPr>
              <w:t>†32.2.1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0000FF"/>
              </w:rPr>
              <w:t>Section 1350 Certification of Christopher A.</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Borders>
              <w:top w:val="single" w:sz="8" w:color="0000FF"/>
              <w:bottom w:val="single" w:sz="8" w:color="0000FF"/>
            </w:tcBorders>
            <w:gridSpan w:val="2"/>
          </w:tcPr>
          <w:p>
            <w:pPr>
              <w:spacing w:after="0" w:line="126" w:lineRule="exact"/>
              <w:rPr>
                <w:sz w:val="20"/>
                <w:szCs w:val="20"/>
                <w:color w:val="auto"/>
              </w:rPr>
            </w:pPr>
            <w:r>
              <w:rPr>
                <w:rFonts w:ascii="Arial" w:cs="Arial" w:eastAsia="Arial" w:hAnsi="Arial"/>
                <w:sz w:val="14"/>
                <w:szCs w:val="14"/>
                <w:color w:val="0000FF"/>
                <w:w w:val="85"/>
              </w:rPr>
              <w:t>Foster</w:t>
            </w:r>
          </w:p>
        </w:tc>
        <w:tc>
          <w:tcPr>
            <w:tcW w:w="2180" w:type="dxa"/>
            <w:vAlign w:val="bottom"/>
            <w:tcBorders>
              <w:top w:val="single" w:sz="8" w:color="0000FF"/>
            </w:tcBorders>
            <w:gridSpan w:val="12"/>
          </w:tcPr>
          <w:p>
            <w:pPr>
              <w:spacing w:after="0"/>
              <w:rPr>
                <w:sz w:val="10"/>
                <w:szCs w:val="10"/>
                <w:color w:val="auto"/>
              </w:rPr>
            </w:pPr>
          </w:p>
        </w:tc>
        <w:tc>
          <w:tcPr>
            <w:tcW w:w="2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80" w:type="dxa"/>
            <w:vAlign w:val="bottom"/>
          </w:tcPr>
          <w:p>
            <w:pPr>
              <w:jc w:val="center"/>
              <w:spacing w:after="0"/>
              <w:rPr>
                <w:sz w:val="20"/>
                <w:szCs w:val="20"/>
                <w:color w:val="auto"/>
              </w:rPr>
            </w:pPr>
            <w:r>
              <w:rPr>
                <w:rFonts w:ascii="Arial" w:cs="Arial" w:eastAsia="Arial" w:hAnsi="Arial"/>
                <w:sz w:val="14"/>
                <w:szCs w:val="14"/>
                <w:color w:val="auto"/>
                <w:w w:val="89"/>
              </w:rPr>
              <w:t>†32.2.2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0000FF"/>
              </w:rPr>
              <w:t>Section 1350 Certification of Christopher A.</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top w:val="single" w:sz="8" w:color="0000FF"/>
              <w:bottom w:val="single" w:sz="8" w:color="0000FF"/>
            </w:tcBorders>
            <w:gridSpan w:val="2"/>
          </w:tcPr>
          <w:p>
            <w:pPr>
              <w:spacing w:after="0" w:line="113" w:lineRule="exact"/>
              <w:rPr>
                <w:sz w:val="20"/>
                <w:szCs w:val="20"/>
                <w:color w:val="auto"/>
              </w:rPr>
            </w:pPr>
            <w:r>
              <w:rPr>
                <w:rFonts w:ascii="Arial" w:cs="Arial" w:eastAsia="Arial" w:hAnsi="Arial"/>
                <w:sz w:val="13"/>
                <w:szCs w:val="13"/>
                <w:color w:val="0000FF"/>
                <w:w w:val="92"/>
              </w:rPr>
              <w:t>Foster</w:t>
            </w:r>
          </w:p>
        </w:tc>
        <w:tc>
          <w:tcPr>
            <w:tcW w:w="2160" w:type="dxa"/>
            <w:vAlign w:val="bottom"/>
            <w:tcBorders>
              <w:top w:val="single" w:sz="8" w:color="0000FF"/>
            </w:tcBorders>
            <w:gridSpan w:val="11"/>
          </w:tcPr>
          <w:p>
            <w:pPr>
              <w:spacing w:after="0"/>
              <w:rPr>
                <w:sz w:val="9"/>
                <w:szCs w:val="9"/>
                <w:color w:val="auto"/>
              </w:rPr>
            </w:pPr>
          </w:p>
        </w:tc>
        <w:tc>
          <w:tcPr>
            <w:tcW w:w="22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980" w:type="dxa"/>
            <w:vAlign w:val="bottom"/>
          </w:tcPr>
          <w:p>
            <w:pPr>
              <w:jc w:val="center"/>
              <w:spacing w:after="0"/>
              <w:rPr>
                <w:sz w:val="20"/>
                <w:szCs w:val="20"/>
                <w:color w:val="auto"/>
              </w:rPr>
            </w:pPr>
            <w:r>
              <w:rPr>
                <w:rFonts w:ascii="Arial" w:cs="Arial" w:eastAsia="Arial" w:hAnsi="Arial"/>
                <w:sz w:val="14"/>
                <w:szCs w:val="14"/>
                <w:color w:val="auto"/>
                <w:w w:val="89"/>
              </w:rPr>
              <w:t>†32.2.3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0000FF"/>
              </w:rPr>
              <w:t>Section 1350 Certification of Christopher A.</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Borders>
              <w:top w:val="single" w:sz="8" w:color="0000FF"/>
              <w:bottom w:val="single" w:sz="8" w:color="0000FF"/>
            </w:tcBorders>
            <w:gridSpan w:val="2"/>
          </w:tcPr>
          <w:p>
            <w:pPr>
              <w:spacing w:after="0" w:line="126" w:lineRule="exact"/>
              <w:rPr>
                <w:sz w:val="20"/>
                <w:szCs w:val="20"/>
                <w:color w:val="auto"/>
              </w:rPr>
            </w:pPr>
            <w:r>
              <w:rPr>
                <w:rFonts w:ascii="Arial" w:cs="Arial" w:eastAsia="Arial" w:hAnsi="Arial"/>
                <w:sz w:val="14"/>
                <w:szCs w:val="14"/>
                <w:color w:val="0000FF"/>
                <w:w w:val="85"/>
              </w:rPr>
              <w:t>Foster</w:t>
            </w:r>
          </w:p>
        </w:tc>
        <w:tc>
          <w:tcPr>
            <w:tcW w:w="2160" w:type="dxa"/>
            <w:vAlign w:val="bottom"/>
            <w:tcBorders>
              <w:top w:val="single" w:sz="8" w:color="0000FF"/>
            </w:tcBorders>
            <w:gridSpan w:val="11"/>
          </w:tcPr>
          <w:p>
            <w:pPr>
              <w:spacing w:after="0"/>
              <w:rPr>
                <w:sz w:val="10"/>
                <w:szCs w:val="10"/>
                <w:color w:val="auto"/>
              </w:rPr>
            </w:pPr>
          </w:p>
        </w:tc>
        <w:tc>
          <w:tcPr>
            <w:tcW w:w="22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80" w:type="dxa"/>
            <w:vAlign w:val="bottom"/>
          </w:tcPr>
          <w:p>
            <w:pPr>
              <w:jc w:val="center"/>
              <w:spacing w:after="0"/>
              <w:rPr>
                <w:sz w:val="20"/>
                <w:szCs w:val="20"/>
                <w:color w:val="auto"/>
              </w:rPr>
            </w:pPr>
            <w:r>
              <w:rPr>
                <w:rFonts w:ascii="Arial" w:cs="Arial" w:eastAsia="Arial" w:hAnsi="Arial"/>
                <w:sz w:val="14"/>
                <w:szCs w:val="14"/>
                <w:color w:val="auto"/>
                <w:w w:val="95"/>
              </w:rPr>
              <w:t>†101.INS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auto"/>
                <w:w w:val="94"/>
              </w:rPr>
              <w:t>Inline XBRL Instance Document - the instance</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16"/>
          </w:tcPr>
          <w:p>
            <w:pPr>
              <w:spacing w:after="0" w:line="146" w:lineRule="exact"/>
              <w:rPr>
                <w:sz w:val="20"/>
                <w:szCs w:val="20"/>
                <w:color w:val="auto"/>
              </w:rPr>
            </w:pPr>
            <w:r>
              <w:rPr>
                <w:rFonts w:ascii="Arial" w:cs="Arial" w:eastAsia="Arial" w:hAnsi="Arial"/>
                <w:sz w:val="14"/>
                <w:szCs w:val="14"/>
                <w:color w:val="auto"/>
                <w:w w:val="99"/>
              </w:rPr>
              <w:t>document does not appear in the Interactive</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16"/>
          </w:tcPr>
          <w:p>
            <w:pPr>
              <w:spacing w:after="0" w:line="138" w:lineRule="exact"/>
              <w:rPr>
                <w:sz w:val="20"/>
                <w:szCs w:val="20"/>
                <w:color w:val="auto"/>
              </w:rPr>
            </w:pPr>
            <w:r>
              <w:rPr>
                <w:rFonts w:ascii="Arial" w:cs="Arial" w:eastAsia="Arial" w:hAnsi="Arial"/>
                <w:sz w:val="14"/>
                <w:szCs w:val="14"/>
                <w:color w:val="auto"/>
                <w:w w:val="91"/>
              </w:rPr>
              <w:t>Data File because its XBRL tags are embedded</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auto"/>
              </w:rPr>
              <w:t>within the Inline XBRL document</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80" w:type="dxa"/>
            <w:vAlign w:val="bottom"/>
          </w:tcPr>
          <w:p>
            <w:pPr>
              <w:jc w:val="center"/>
              <w:spacing w:after="0" w:line="160" w:lineRule="exact"/>
              <w:rPr>
                <w:sz w:val="20"/>
                <w:szCs w:val="20"/>
                <w:color w:val="auto"/>
              </w:rPr>
            </w:pPr>
            <w:r>
              <w:rPr>
                <w:rFonts w:ascii="Arial" w:cs="Arial" w:eastAsia="Arial" w:hAnsi="Arial"/>
                <w:sz w:val="14"/>
                <w:szCs w:val="14"/>
                <w:color w:val="auto"/>
                <w:w w:val="92"/>
              </w:rPr>
              <w:t>†101.SCH</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16"/>
          </w:tcPr>
          <w:p>
            <w:pPr>
              <w:spacing w:after="0" w:line="160" w:lineRule="exact"/>
              <w:rPr>
                <w:sz w:val="20"/>
                <w:szCs w:val="20"/>
                <w:color w:val="auto"/>
              </w:rPr>
            </w:pPr>
            <w:r>
              <w:rPr>
                <w:rFonts w:ascii="Arial" w:cs="Arial" w:eastAsia="Arial" w:hAnsi="Arial"/>
                <w:sz w:val="14"/>
                <w:szCs w:val="14"/>
                <w:color w:val="auto"/>
              </w:rPr>
              <w:t>Inline XBRL Taxonomy Extension Schema</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3"/>
                <w:szCs w:val="13"/>
                <w:color w:val="auto"/>
              </w:rPr>
            </w:pPr>
          </w:p>
        </w:tc>
        <w:tc>
          <w:tcPr>
            <w:tcW w:w="98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auto"/>
              </w:rPr>
              <w:t>Document</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6"/>
              </w:rPr>
              <w:t>†101.CAL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16"/>
          </w:tcPr>
          <w:p>
            <w:pPr>
              <w:spacing w:after="0" w:line="152" w:lineRule="exact"/>
              <w:rPr>
                <w:sz w:val="20"/>
                <w:szCs w:val="20"/>
                <w:color w:val="auto"/>
              </w:rPr>
            </w:pPr>
            <w:r>
              <w:rPr>
                <w:rFonts w:ascii="Arial" w:cs="Arial" w:eastAsia="Arial" w:hAnsi="Arial"/>
                <w:sz w:val="14"/>
                <w:szCs w:val="14"/>
                <w:color w:val="auto"/>
                <w:w w:val="96"/>
              </w:rPr>
              <w:t>Inline XBRL Taxonomy Extension Calculation</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3"/>
                <w:szCs w:val="13"/>
                <w:color w:val="auto"/>
              </w:rPr>
            </w:pPr>
          </w:p>
        </w:tc>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auto"/>
              </w:rPr>
              <w:t>Linkbase Document</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5"/>
              </w:rPr>
              <w:t>†101.DEF</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16"/>
          </w:tcPr>
          <w:p>
            <w:pPr>
              <w:spacing w:after="0" w:line="157" w:lineRule="exact"/>
              <w:rPr>
                <w:sz w:val="20"/>
                <w:szCs w:val="20"/>
                <w:color w:val="auto"/>
              </w:rPr>
            </w:pPr>
            <w:r>
              <w:rPr>
                <w:rFonts w:ascii="Arial" w:cs="Arial" w:eastAsia="Arial" w:hAnsi="Arial"/>
                <w:sz w:val="14"/>
                <w:szCs w:val="14"/>
                <w:color w:val="auto"/>
              </w:rPr>
              <w:t>Inline XBRL Taxonomy Extension Definition</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auto"/>
              </w:rPr>
              <w:t>Linkbase Document</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80" w:type="dxa"/>
            <w:vAlign w:val="bottom"/>
          </w:tcPr>
          <w:p>
            <w:pPr>
              <w:jc w:val="center"/>
              <w:spacing w:after="0" w:line="160" w:lineRule="exact"/>
              <w:rPr>
                <w:sz w:val="20"/>
                <w:szCs w:val="20"/>
                <w:color w:val="auto"/>
              </w:rPr>
            </w:pPr>
            <w:r>
              <w:rPr>
                <w:rFonts w:ascii="Arial" w:cs="Arial" w:eastAsia="Arial" w:hAnsi="Arial"/>
                <w:sz w:val="14"/>
                <w:szCs w:val="14"/>
                <w:color w:val="auto"/>
                <w:w w:val="97"/>
              </w:rPr>
              <w:t>†101.LAB</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16"/>
          </w:tcPr>
          <w:p>
            <w:pPr>
              <w:spacing w:after="0" w:line="160" w:lineRule="exact"/>
              <w:rPr>
                <w:sz w:val="20"/>
                <w:szCs w:val="20"/>
                <w:color w:val="auto"/>
              </w:rPr>
            </w:pPr>
            <w:r>
              <w:rPr>
                <w:rFonts w:ascii="Arial" w:cs="Arial" w:eastAsia="Arial" w:hAnsi="Arial"/>
                <w:sz w:val="14"/>
                <w:szCs w:val="14"/>
                <w:color w:val="auto"/>
              </w:rPr>
              <w:t>Inline XBRL Taxonomy Extension Labels</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3"/>
                <w:szCs w:val="13"/>
                <w:color w:val="auto"/>
              </w:rPr>
            </w:pPr>
          </w:p>
        </w:tc>
        <w:tc>
          <w:tcPr>
            <w:tcW w:w="98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auto"/>
              </w:rPr>
              <w:t>Linkbase Document</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0"/>
              </w:rPr>
              <w:t>†101.PRE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16"/>
          </w:tcPr>
          <w:p>
            <w:pPr>
              <w:spacing w:after="0" w:line="152" w:lineRule="exact"/>
              <w:rPr>
                <w:sz w:val="20"/>
                <w:szCs w:val="20"/>
                <w:color w:val="auto"/>
              </w:rPr>
            </w:pPr>
            <w:r>
              <w:rPr>
                <w:rFonts w:ascii="Arial" w:cs="Arial" w:eastAsia="Arial" w:hAnsi="Arial"/>
                <w:sz w:val="14"/>
                <w:szCs w:val="14"/>
                <w:color w:val="auto"/>
                <w:w w:val="93"/>
              </w:rPr>
              <w:t>Inline XBRL Taxonomy Extension Presentation</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3"/>
                <w:szCs w:val="13"/>
                <w:color w:val="auto"/>
              </w:rPr>
            </w:pPr>
          </w:p>
        </w:tc>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auto"/>
              </w:rPr>
              <w:t>Linkbase Document</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89"/>
              </w:rPr>
              <w:t>†104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16"/>
          </w:tcPr>
          <w:p>
            <w:pPr>
              <w:spacing w:after="0" w:line="157" w:lineRule="exact"/>
              <w:rPr>
                <w:sz w:val="20"/>
                <w:szCs w:val="20"/>
                <w:color w:val="auto"/>
              </w:rPr>
            </w:pPr>
            <w:r>
              <w:rPr>
                <w:rFonts w:ascii="Arial" w:cs="Arial" w:eastAsia="Arial" w:hAnsi="Arial"/>
                <w:sz w:val="14"/>
                <w:szCs w:val="14"/>
                <w:color w:val="auto"/>
                <w:w w:val="94"/>
              </w:rPr>
              <w:t>Cover Page Interactive Data File (formatted as</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16"/>
          </w:tcPr>
          <w:p>
            <w:pPr>
              <w:spacing w:after="0"/>
              <w:rPr>
                <w:sz w:val="20"/>
                <w:szCs w:val="20"/>
                <w:color w:val="auto"/>
              </w:rPr>
            </w:pPr>
            <w:r>
              <w:rPr>
                <w:rFonts w:ascii="Arial" w:cs="Arial" w:eastAsia="Arial" w:hAnsi="Arial"/>
                <w:sz w:val="14"/>
                <w:szCs w:val="14"/>
                <w:color w:val="auto"/>
              </w:rPr>
              <w:t>Inline XBRL and contained in Exhibit 101)</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760" w:right="600" w:hanging="243"/>
        <w:spacing w:after="0" w:line="225"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41"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INC.</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2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CENTERPOINT ENERGY RESOURCES CORP.</w:t>
      </w:r>
    </w:p>
    <w:p>
      <w:pPr>
        <w:spacing w:after="0" w:line="200" w:lineRule="exact"/>
        <w:rPr>
          <w:sz w:val="20"/>
          <w:szCs w:val="20"/>
          <w:color w:val="auto"/>
        </w:rPr>
      </w:pPr>
    </w:p>
    <w:p>
      <w:pPr>
        <w:spacing w:after="0" w:line="250" w:lineRule="exact"/>
        <w:rPr>
          <w:sz w:val="20"/>
          <w:szCs w:val="20"/>
          <w:color w:val="auto"/>
        </w:rPr>
      </w:pPr>
    </w:p>
    <w:tbl>
      <w:tblPr>
        <w:tblLayout w:type="fixed"/>
        <w:tblInd w:w="4840" w:type="dxa"/>
        <w:tblCellMar>
          <w:top w:w="0" w:type="dxa"/>
          <w:left w:w="0" w:type="dxa"/>
          <w:bottom w:w="0" w:type="dxa"/>
          <w:right w:w="0" w:type="dxa"/>
        </w:tblCellMar>
      </w:tblPr>
      <w:tr>
        <w:trPr>
          <w:trHeight w:val="224"/>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Kara Gostenhofer Ryan</w:t>
            </w:r>
          </w:p>
        </w:tc>
      </w:tr>
      <w:tr>
        <w:trPr>
          <w:trHeight w:val="218"/>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88"/>
              </w:rPr>
              <w:t>Kara Gostenhofer Ryan</w:t>
            </w:r>
          </w:p>
        </w:tc>
      </w:tr>
      <w:tr>
        <w:trPr>
          <w:trHeight w:val="239"/>
        </w:trPr>
        <w:tc>
          <w:tcPr>
            <w:tcW w:w="28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0"/>
              </w:rPr>
              <w:t>Vice President and Chief Accounting Officer</w:t>
            </w:r>
          </w:p>
        </w:tc>
      </w:tr>
      <w:tr>
        <w:trPr>
          <w:trHeight w:val="226"/>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2"/>
              </w:rPr>
              <w:t>(Duly Authorized Officer and Principal Accounting Officer)</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1"/>
          <w:szCs w:val="21"/>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CENTERPOINT ENERGY RESOURCES CORP.</w:t>
      </w: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(formerly known as NorAm Energy Corp.)</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THE BANK OF NEW YORK MELLON TRUST COMPANY, N.A.</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(successor to JPMorgan Chase Bank, National Association (formerly Chase Bank of Texas, National Association))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80"/>
        <w:spacing w:after="0"/>
        <w:rPr>
          <w:sz w:val="20"/>
          <w:szCs w:val="20"/>
          <w:color w:val="auto"/>
        </w:rPr>
      </w:pPr>
      <w:r>
        <w:rPr>
          <w:rFonts w:ascii="Arial" w:cs="Arial" w:eastAsia="Arial" w:hAnsi="Arial"/>
          <w:sz w:val="21"/>
          <w:szCs w:val="21"/>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rPr>
          <w:sz w:val="20"/>
          <w:szCs w:val="20"/>
          <w:color w:val="auto"/>
        </w:rPr>
      </w:pPr>
      <w:r>
        <w:rPr>
          <w:rFonts w:ascii="Arial" w:cs="Arial" w:eastAsia="Arial" w:hAnsi="Arial"/>
          <w:sz w:val="21"/>
          <w:szCs w:val="2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SUPPLEMENTAL INDENTURE NO. 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Dated as of May 3, 2023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00"/>
        <w:spacing w:after="0"/>
        <w:rPr>
          <w:sz w:val="20"/>
          <w:szCs w:val="20"/>
          <w:color w:val="auto"/>
        </w:rPr>
      </w:pPr>
      <w:r>
        <w:rPr>
          <w:rFonts w:ascii="Arial" w:cs="Arial" w:eastAsia="Arial" w:hAnsi="Arial"/>
          <w:sz w:val="21"/>
          <w:szCs w:val="21"/>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20"/>
        <w:spacing w:after="0"/>
        <w:rPr>
          <w:sz w:val="20"/>
          <w:szCs w:val="20"/>
          <w:color w:val="auto"/>
        </w:rPr>
      </w:pPr>
      <w:r>
        <w:rPr>
          <w:rFonts w:ascii="Arial" w:cs="Arial" w:eastAsia="Arial" w:hAnsi="Arial"/>
          <w:sz w:val="21"/>
          <w:szCs w:val="21"/>
          <w:color w:val="auto"/>
        </w:rPr>
        <w:t>$300,000,000 5.25% Senior Notes due 2028</w:t>
      </w:r>
    </w:p>
    <w:p>
      <w:pPr>
        <w:sectPr>
          <w:pgSz w:w="11900" w:h="16838" w:orient="portrait"/>
          <w:cols w:equalWidth="0" w:num="1">
            <w:col w:w="10120"/>
          </w:cols>
          <w:pgMar w:left="1440" w:top="577"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21"/>
          <w:szCs w:val="21"/>
          <w:color w:val="auto"/>
        </w:rPr>
        <w:t>CENTERPOINT ENERGY RESOURCES CORP.</w:t>
      </w:r>
    </w:p>
    <w:p>
      <w:pPr>
        <w:jc w:val="center"/>
        <w:spacing w:after="0"/>
        <w:rPr>
          <w:sz w:val="20"/>
          <w:szCs w:val="20"/>
          <w:color w:val="auto"/>
        </w:rPr>
      </w:pPr>
      <w:r>
        <w:rPr>
          <w:rFonts w:ascii="Arial" w:cs="Arial" w:eastAsia="Arial" w:hAnsi="Arial"/>
          <w:sz w:val="21"/>
          <w:szCs w:val="21"/>
          <w:color w:val="auto"/>
        </w:rPr>
        <w:t>SUPPLEMENTAL INDENTURE NO. 24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5.25% Senior Notes due 2028</w:t>
      </w:r>
    </w:p>
    <w:p>
      <w:pPr>
        <w:spacing w:after="0" w:line="290" w:lineRule="exact"/>
        <w:rPr>
          <w:sz w:val="20"/>
          <w:szCs w:val="20"/>
          <w:color w:val="auto"/>
        </w:rPr>
      </w:pPr>
    </w:p>
    <w:p>
      <w:pPr>
        <w:jc w:val="both"/>
        <w:ind w:firstLine="638"/>
        <w:spacing w:after="0" w:line="225" w:lineRule="auto"/>
        <w:rPr>
          <w:sz w:val="20"/>
          <w:szCs w:val="20"/>
          <w:color w:val="auto"/>
        </w:rPr>
      </w:pPr>
      <w:r>
        <w:rPr>
          <w:rFonts w:ascii="Arial" w:cs="Arial" w:eastAsia="Arial" w:hAnsi="Arial"/>
          <w:sz w:val="21"/>
          <w:szCs w:val="21"/>
          <w:color w:val="auto"/>
        </w:rPr>
        <w:t>SUPPLEMENTAL INDENTURE No. 24, dated as of May 3, 2023, between CENTERPOINT ENERGY RESOURCES CORP., a Delaware corporation formerly known as NorAm Energy Corp.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BANK OF NEW YORK MELLON TRUST COMPANY, N.A. (successor to JPMorgan Chase Bank, National Association (formerly Chase Bank of Texas, National Association)), as Trustee (the “</w:t>
      </w:r>
      <w:r>
        <w:rPr>
          <w:rFonts w:ascii="Arial" w:cs="Arial" w:eastAsia="Arial" w:hAnsi="Arial"/>
          <w:sz w:val="21"/>
          <w:szCs w:val="21"/>
          <w:u w:val="single" w:color="auto"/>
          <w:color w:val="auto"/>
        </w:rPr>
        <w:t>Trustee</w:t>
      </w:r>
      <w:r>
        <w:rPr>
          <w:rFonts w:ascii="Arial" w:cs="Arial" w:eastAsia="Arial" w:hAnsi="Arial"/>
          <w:sz w:val="21"/>
          <w:szCs w:val="21"/>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184"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The Company has heretofore executed and delivered to the Trustee an Indenture, dated as of February 1, 1998 (the “</w:t>
      </w:r>
      <w:r>
        <w:rPr>
          <w:rFonts w:ascii="Arial" w:cs="Arial" w:eastAsia="Arial" w:hAnsi="Arial"/>
          <w:sz w:val="21"/>
          <w:szCs w:val="21"/>
          <w:u w:val="single" w:color="auto"/>
          <w:color w:val="auto"/>
        </w:rPr>
        <w:t>Original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Indenture</w:t>
      </w:r>
      <w:r>
        <w:rPr>
          <w:rFonts w:ascii="Arial" w:cs="Arial" w:eastAsia="Arial" w:hAnsi="Arial"/>
          <w:sz w:val="21"/>
          <w:szCs w:val="21"/>
          <w:color w:val="auto"/>
        </w:rPr>
        <w:t>” and, as previously and hereby supplemented and amended, the “</w:t>
      </w:r>
      <w:r>
        <w:rPr>
          <w:rFonts w:ascii="Arial" w:cs="Arial" w:eastAsia="Arial" w:hAnsi="Arial"/>
          <w:sz w:val="21"/>
          <w:szCs w:val="21"/>
          <w:u w:val="single" w:color="auto"/>
          <w:color w:val="auto"/>
        </w:rPr>
        <w:t>Indenture</w:t>
      </w:r>
      <w:r>
        <w:rPr>
          <w:rFonts w:ascii="Arial" w:cs="Arial" w:eastAsia="Arial" w:hAnsi="Arial"/>
          <w:sz w:val="21"/>
          <w:szCs w:val="21"/>
          <w:color w:val="auto"/>
        </w:rPr>
        <w:t>”), providing for the issuance from time to time of one or more series of the Company’s Securities.</w:t>
      </w:r>
    </w:p>
    <w:p>
      <w:pPr>
        <w:spacing w:after="0" w:line="182"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The Company has changed its name from “NorAm Energy Corp.” to “CenterPoint Energy Resources Corp.” and all references in the Indenture to the “Company” or “NorAm Energy Corp.” shall be deemed to refer to CenterPoint Energy Resources Corp.</w:t>
      </w:r>
    </w:p>
    <w:p>
      <w:pPr>
        <w:spacing w:after="0" w:line="182" w:lineRule="exact"/>
        <w:rPr>
          <w:sz w:val="20"/>
          <w:szCs w:val="20"/>
          <w:color w:val="auto"/>
        </w:rPr>
      </w:pPr>
    </w:p>
    <w:p>
      <w:pPr>
        <w:jc w:val="both"/>
        <w:ind w:firstLine="638"/>
        <w:spacing w:after="0" w:line="225" w:lineRule="auto"/>
        <w:rPr>
          <w:sz w:val="20"/>
          <w:szCs w:val="20"/>
          <w:color w:val="auto"/>
        </w:rPr>
      </w:pPr>
      <w:r>
        <w:rPr>
          <w:rFonts w:ascii="Arial" w:cs="Arial" w:eastAsia="Arial" w:hAnsi="Arial"/>
          <w:sz w:val="21"/>
          <w:szCs w:val="21"/>
          <w:color w:val="auto"/>
        </w:rPr>
        <w:t xml:space="preserve">Pursuant to the terms of the Indenture, the Company has provided for the establishment of a series of Securities designated as the “5.25% Senior Notes due 2028” (the “ </w:t>
      </w:r>
      <w:r>
        <w:rPr>
          <w:rFonts w:ascii="Arial" w:cs="Arial" w:eastAsia="Arial" w:hAnsi="Arial"/>
          <w:sz w:val="21"/>
          <w:szCs w:val="21"/>
          <w:u w:val="single" w:color="auto"/>
          <w:color w:val="auto"/>
        </w:rPr>
        <w:t>Notes</w:t>
      </w:r>
      <w:r>
        <w:rPr>
          <w:rFonts w:ascii="Arial" w:cs="Arial" w:eastAsia="Arial" w:hAnsi="Arial"/>
          <w:sz w:val="21"/>
          <w:szCs w:val="21"/>
          <w:color w:val="auto"/>
        </w:rPr>
        <w:t>”), the form and substance of such Notes and the terms, provisions and conditions thereof are set forth in Supplemental Indenture No. 23 dated as of February 23, 2023, between the Company and the Trustee (the “</w:t>
      </w:r>
      <w:r>
        <w:rPr>
          <w:rFonts w:ascii="Arial" w:cs="Arial" w:eastAsia="Arial" w:hAnsi="Arial"/>
          <w:sz w:val="21"/>
          <w:szCs w:val="21"/>
          <w:u w:val="single" w:color="auto"/>
          <w:color w:val="auto"/>
        </w:rPr>
        <w:t>Twenty-Third Supplemental Indenture</w:t>
      </w:r>
      <w:r>
        <w:rPr>
          <w:rFonts w:ascii="Arial" w:cs="Arial" w:eastAsia="Arial" w:hAnsi="Arial"/>
          <w:sz w:val="21"/>
          <w:szCs w:val="21"/>
          <w:color w:val="auto"/>
        </w:rPr>
        <w:t>”).</w:t>
      </w:r>
    </w:p>
    <w:p>
      <w:pPr>
        <w:spacing w:after="0" w:line="183"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The Trustee, acting pursuant to a Company Order delivered in accordance with the terms of the Indenture, authenticated and delivered Notes for original issuance in an aggregate principal amount of $600,000,000 on February 23, 2023 (the “</w:t>
      </w:r>
      <w:r>
        <w:rPr>
          <w:rFonts w:ascii="Arial" w:cs="Arial" w:eastAsia="Arial" w:hAnsi="Arial"/>
          <w:sz w:val="21"/>
          <w:szCs w:val="21"/>
          <w:u w:val="single" w:color="auto"/>
          <w:color w:val="auto"/>
        </w:rPr>
        <w:t>Existing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Notes</w:t>
      </w:r>
      <w:r>
        <w:rPr>
          <w:rFonts w:ascii="Arial" w:cs="Arial" w:eastAsia="Arial" w:hAnsi="Arial"/>
          <w:sz w:val="21"/>
          <w:szCs w:val="21"/>
          <w:color w:val="auto"/>
        </w:rPr>
        <w:t>”).</w:t>
      </w:r>
    </w:p>
    <w:p>
      <w:pPr>
        <w:spacing w:after="0" w:line="182"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Section 202 of the Twenty-Third Supplemental Indenture provides that the authorized principal amount of the Notes may be increased above such previously authorized amount pursuant to a resolution of the Board of Directors of the Company to such effect.</w:t>
      </w:r>
    </w:p>
    <w:p>
      <w:pPr>
        <w:spacing w:after="0" w:line="156"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The Company has furnished the Trustee with a resolution of the Board of Directors of the Company authorizing the increase of the aggregate principal amount of the Notes by $300,000,000 (such additional aggregate principal amount of Notes, the “</w:t>
      </w:r>
      <w:r>
        <w:rPr>
          <w:rFonts w:ascii="Arial" w:cs="Arial" w:eastAsia="Arial" w:hAnsi="Arial"/>
          <w:sz w:val="21"/>
          <w:szCs w:val="21"/>
          <w:u w:val="single" w:color="auto"/>
          <w:color w:val="auto"/>
        </w:rPr>
        <w:t>New</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Notes</w:t>
      </w:r>
      <w:r>
        <w:rPr>
          <w:rFonts w:ascii="Arial" w:cs="Arial" w:eastAsia="Arial" w:hAnsi="Arial"/>
          <w:sz w:val="21"/>
          <w:szCs w:val="21"/>
          <w:color w:val="auto"/>
        </w:rPr>
        <w:t>”) and the execution of this Supplemental Indenture No. 24 to reflect such increase.</w:t>
      </w:r>
    </w:p>
    <w:p>
      <w:pPr>
        <w:spacing w:after="0" w:line="156" w:lineRule="exact"/>
        <w:rPr>
          <w:sz w:val="20"/>
          <w:szCs w:val="20"/>
          <w:color w:val="auto"/>
        </w:rPr>
      </w:pPr>
    </w:p>
    <w:p>
      <w:pPr>
        <w:jc w:val="both"/>
        <w:ind w:firstLine="638"/>
        <w:spacing w:after="0"/>
        <w:rPr>
          <w:sz w:val="20"/>
          <w:szCs w:val="20"/>
          <w:color w:val="auto"/>
        </w:rPr>
      </w:pPr>
      <w:r>
        <w:rPr>
          <w:rFonts w:ascii="Arial" w:cs="Arial" w:eastAsia="Arial" w:hAnsi="Arial"/>
          <w:sz w:val="21"/>
          <w:szCs w:val="21"/>
          <w:color w:val="auto"/>
        </w:rPr>
        <w:t>Section 301 of the Original Indenture provides that various matters with respect to any series of Securities issued under the Indenture may be established in an indenture supplemental to the Indenture.</w:t>
      </w:r>
    </w:p>
    <w:p>
      <w:pPr>
        <w:spacing w:after="0" w:line="155"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spacing w:after="0" w:line="182"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20"/>
          <w:szCs w:val="20"/>
          <w:color w:val="auto"/>
        </w:rPr>
        <w:t>For and in consideration of the premises and the issuance of the series of Securities provided for herein, it is mutually covenanted and agreed, for the equal and proportionate benefit of the Holders of the Securities of such series, as follows: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69"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1"/>
          <w:szCs w:val="21"/>
          <w:color w:val="auto"/>
        </w:rPr>
        <w:t>ARTICLE ONE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Relation to Indenture; Additional Definitions</w:t>
      </w:r>
    </w:p>
    <w:p>
      <w:pPr>
        <w:spacing w:after="0" w:line="184" w:lineRule="exact"/>
        <w:rPr>
          <w:sz w:val="20"/>
          <w:szCs w:val="20"/>
          <w:color w:val="auto"/>
        </w:rPr>
      </w:pPr>
    </w:p>
    <w:p>
      <w:pPr>
        <w:ind w:firstLine="638"/>
        <w:spacing w:after="0" w:line="264"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i w:val="1"/>
          <w:iCs w:val="1"/>
          <w:color w:val="auto"/>
        </w:rPr>
        <w:t>Relation to Indenture</w:t>
      </w:r>
      <w:r>
        <w:rPr>
          <w:rFonts w:ascii="Arial" w:cs="Arial" w:eastAsia="Arial" w:hAnsi="Arial"/>
          <w:sz w:val="20"/>
          <w:szCs w:val="20"/>
          <w:color w:val="auto"/>
        </w:rPr>
        <w:t>. This Supplemental Indenture No. 24 supplements and amends the Twenty-Third Supplemental Indenture as provided in ARTICLE TWO below and constitutes an integral part of the Original Indenture.</w:t>
      </w:r>
    </w:p>
    <w:p>
      <w:pPr>
        <w:spacing w:after="0" w:line="158"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auto"/>
        </w:rPr>
        <w:t>Section 102</w:t>
      </w:r>
      <w:r>
        <w:rPr>
          <w:sz w:val="20"/>
          <w:szCs w:val="20"/>
          <w:color w:val="auto"/>
        </w:rPr>
        <w:tab/>
      </w:r>
      <w:r>
        <w:rPr>
          <w:rFonts w:ascii="Arial" w:cs="Arial" w:eastAsia="Arial" w:hAnsi="Arial"/>
          <w:sz w:val="19"/>
          <w:szCs w:val="19"/>
          <w:i w:val="1"/>
          <w:iCs w:val="1"/>
          <w:color w:val="auto"/>
        </w:rPr>
        <w:t xml:space="preserve">Additional Definitions. </w:t>
      </w:r>
      <w:r>
        <w:rPr>
          <w:rFonts w:ascii="Arial" w:cs="Arial" w:eastAsia="Arial" w:hAnsi="Arial"/>
          <w:sz w:val="19"/>
          <w:szCs w:val="19"/>
          <w:color w:val="auto"/>
        </w:rPr>
        <w:t>For all purposes of this Supplemental Indenture No. 24:</w:t>
      </w:r>
    </w:p>
    <w:p>
      <w:pPr>
        <w:spacing w:after="0" w:line="210" w:lineRule="exact"/>
        <w:rPr>
          <w:sz w:val="20"/>
          <w:szCs w:val="20"/>
          <w:color w:val="auto"/>
        </w:rPr>
      </w:pPr>
    </w:p>
    <w:p>
      <w:pPr>
        <w:jc w:val="both"/>
        <w:ind w:left="640" w:firstLine="637"/>
        <w:spacing w:after="0" w:line="230" w:lineRule="auto"/>
        <w:rPr>
          <w:sz w:val="20"/>
          <w:szCs w:val="20"/>
          <w:color w:val="auto"/>
        </w:rPr>
      </w:pPr>
      <w:r>
        <w:rPr>
          <w:rFonts w:ascii="Arial" w:cs="Arial" w:eastAsia="Arial" w:hAnsi="Arial"/>
          <w:sz w:val="21"/>
          <w:szCs w:val="21"/>
          <w:color w:val="auto"/>
        </w:rPr>
        <w:t>Capitalized terms used but not defined in this Supplemental Indenture No. 24 have the meaning given such terms in the Indenture. Capitalized terms defined in both this Supplemental Indenture No. 24 and in the Indenture have the meaning given such terms in this Supplemental Indenture No. 24.</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Notes</w:t>
      </w:r>
      <w:r>
        <w:rPr>
          <w:rFonts w:ascii="Arial" w:cs="Arial" w:eastAsia="Arial" w:hAnsi="Arial"/>
          <w:sz w:val="21"/>
          <w:szCs w:val="21"/>
          <w:color w:val="auto"/>
        </w:rPr>
        <w:t>” has the meaning set forth in the fourth paragraph of the Recitals hereof.</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Notes Issue Date</w:t>
      </w:r>
      <w:r>
        <w:rPr>
          <w:rFonts w:ascii="Arial" w:cs="Arial" w:eastAsia="Arial" w:hAnsi="Arial"/>
          <w:sz w:val="21"/>
          <w:szCs w:val="21"/>
          <w:color w:val="auto"/>
        </w:rPr>
        <w:t>” has the meaning set forth in Section 203 hereof.</w:t>
      </w:r>
    </w:p>
    <w:p>
      <w:pPr>
        <w:spacing w:after="0" w:line="19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Indenture</w:t>
      </w:r>
      <w:r>
        <w:rPr>
          <w:rFonts w:ascii="Arial" w:cs="Arial" w:eastAsia="Arial" w:hAnsi="Arial"/>
          <w:sz w:val="21"/>
          <w:szCs w:val="21"/>
          <w:color w:val="auto"/>
        </w:rPr>
        <w:t>” has the meaning set forth in the first paragraph of the Recitals hereof.</w:t>
      </w: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Notes</w:t>
      </w:r>
      <w:r>
        <w:rPr>
          <w:rFonts w:ascii="Arial" w:cs="Arial" w:eastAsia="Arial" w:hAnsi="Arial"/>
          <w:sz w:val="21"/>
          <w:szCs w:val="21"/>
          <w:color w:val="auto"/>
        </w:rPr>
        <w:t>” has the meaning set forth in the sixth paragraph of the Recitals hereof.</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Notes Issue Date</w:t>
      </w:r>
      <w:r>
        <w:rPr>
          <w:rFonts w:ascii="Arial" w:cs="Arial" w:eastAsia="Arial" w:hAnsi="Arial"/>
          <w:sz w:val="21"/>
          <w:szCs w:val="21"/>
          <w:color w:val="auto"/>
        </w:rPr>
        <w:t>” has the meaning set forth in Section 202 hereof.</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Notes</w:t>
      </w:r>
      <w:r>
        <w:rPr>
          <w:rFonts w:ascii="Arial" w:cs="Arial" w:eastAsia="Arial" w:hAnsi="Arial"/>
          <w:sz w:val="21"/>
          <w:szCs w:val="21"/>
          <w:color w:val="auto"/>
        </w:rPr>
        <w:t>” has the meaning set forth in the third paragraph of the Recitals hereof.</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Original Indenture</w:t>
      </w:r>
      <w:r>
        <w:rPr>
          <w:rFonts w:ascii="Arial" w:cs="Arial" w:eastAsia="Arial" w:hAnsi="Arial"/>
          <w:sz w:val="21"/>
          <w:szCs w:val="21"/>
          <w:color w:val="auto"/>
        </w:rPr>
        <w:t>” has the meaning set forth in the first paragraph of the Recitals hereof.</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Twenty-Third Supplemental Indenture</w:t>
      </w:r>
      <w:r>
        <w:rPr>
          <w:rFonts w:ascii="Arial" w:cs="Arial" w:eastAsia="Arial" w:hAnsi="Arial"/>
          <w:sz w:val="20"/>
          <w:szCs w:val="20"/>
          <w:color w:val="auto"/>
        </w:rPr>
        <w:t>” has the meaning set forth in the third paragraph of the Recitals hereof.</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TWO</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Series of Securities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1"/>
          <w:szCs w:val="21"/>
          <w:color w:val="auto"/>
        </w:rPr>
        <w:t>The New Notes shall have terms identical to the Existing Notes as set forth in the Indenture (including the Twenty-Third Supplemental Indenture), except as modified by the following:</w:t>
      </w:r>
    </w:p>
    <w:p>
      <w:pPr>
        <w:spacing w:after="0" w:line="181" w:lineRule="exact"/>
        <w:rPr>
          <w:sz w:val="20"/>
          <w:szCs w:val="20"/>
          <w:color w:val="auto"/>
        </w:rPr>
      </w:pPr>
    </w:p>
    <w:p>
      <w:pPr>
        <w:jc w:val="both"/>
        <w:ind w:firstLine="638"/>
        <w:spacing w:after="0"/>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i w:val="1"/>
          <w:iCs w:val="1"/>
          <w:color w:val="auto"/>
        </w:rPr>
        <w:t>Title of the Securities.</w:t>
      </w:r>
      <w:r>
        <w:rPr>
          <w:rFonts w:ascii="Arial" w:cs="Arial" w:eastAsia="Arial" w:hAnsi="Arial"/>
          <w:sz w:val="21"/>
          <w:szCs w:val="21"/>
          <w:color w:val="auto"/>
        </w:rPr>
        <w:t xml:space="preserve"> The New Notes shall be an additional issuance of the “5.25% Senior Notes due 2028” and together with the Existing Notes shall form a single series of Securities under the Indenture.</w:t>
      </w:r>
    </w:p>
    <w:p>
      <w:pPr>
        <w:spacing w:after="0" w:line="181" w:lineRule="exact"/>
        <w:rPr>
          <w:sz w:val="20"/>
          <w:szCs w:val="20"/>
          <w:color w:val="auto"/>
        </w:rPr>
      </w:pPr>
    </w:p>
    <w:p>
      <w:pPr>
        <w:jc w:val="both"/>
        <w:ind w:firstLine="638"/>
        <w:spacing w:after="0" w:line="222"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i w:val="1"/>
          <w:iCs w:val="1"/>
          <w:color w:val="auto"/>
        </w:rPr>
        <w:t>Limitation on Aggregate Principal Amount</w:t>
      </w:r>
      <w:r>
        <w:rPr>
          <w:rFonts w:ascii="Arial" w:cs="Arial" w:eastAsia="Arial" w:hAnsi="Arial"/>
          <w:sz w:val="21"/>
          <w:szCs w:val="21"/>
          <w:color w:val="auto"/>
        </w:rPr>
        <w:t>. The Trustee shall authenticate and deliver the New Notes for original issue on May 3, 2023 (the “</w:t>
      </w:r>
      <w:r>
        <w:rPr>
          <w:rFonts w:ascii="Arial" w:cs="Arial" w:eastAsia="Arial" w:hAnsi="Arial"/>
          <w:sz w:val="21"/>
          <w:szCs w:val="21"/>
          <w:u w:val="single" w:color="auto"/>
          <w:color w:val="auto"/>
        </w:rPr>
        <w:t>New Notes Issue Date</w:t>
      </w:r>
      <w:r>
        <w:rPr>
          <w:rFonts w:ascii="Arial" w:cs="Arial" w:eastAsia="Arial" w:hAnsi="Arial"/>
          <w:sz w:val="21"/>
          <w:szCs w:val="21"/>
          <w:color w:val="auto"/>
        </w:rPr>
        <w:t>”) in the aggregate principal amount of $300,000,000, upon a Company Order for the authentication and delivery thereof and satisfaction of Sections 301 and 303 of the Original Indenture. Such order shall specify the amount of the New Notes to be authenticated, the date on which the original issue of New Notes is to be authenticated and the name or names of the initial Holder or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80" w:right="339" w:bottom="1440" w:gutter="0" w:footer="0" w:header="0"/>
        </w:sectPr>
      </w:pPr>
    </w:p>
    <w:bookmarkStart w:id="96" w:name="page97"/>
    <w:bookmarkEnd w:id="96"/>
    <w:p>
      <w:pPr>
        <w:jc w:val="both"/>
        <w:spacing w:after="0" w:line="230" w:lineRule="auto"/>
        <w:rPr>
          <w:sz w:val="20"/>
          <w:szCs w:val="20"/>
          <w:color w:val="auto"/>
        </w:rPr>
      </w:pPr>
      <w:r>
        <w:rPr>
          <w:rFonts w:ascii="Arial" w:cs="Arial" w:eastAsia="Arial" w:hAnsi="Arial"/>
          <w:sz w:val="21"/>
          <w:szCs w:val="21"/>
          <w:color w:val="auto"/>
        </w:rPr>
        <w:t xml:space="preserve">Holders. Upon the issuance of the New Notes, the aggregate principal amount of the Notes that may be outstanding shall not exceed $900,000,000;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authorized aggregate principal amount of the Notes may be increased above such amount by a Board Resolution to such effect.</w:t>
      </w:r>
    </w:p>
    <w:p>
      <w:pPr>
        <w:spacing w:after="0" w:line="156"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i w:val="1"/>
          <w:iCs w:val="1"/>
          <w:color w:val="auto"/>
        </w:rPr>
        <w:t>Percentage of Principal Amount</w:t>
      </w:r>
      <w:r>
        <w:rPr>
          <w:rFonts w:ascii="Arial" w:cs="Arial" w:eastAsia="Arial" w:hAnsi="Arial"/>
          <w:sz w:val="21"/>
          <w:szCs w:val="21"/>
          <w:color w:val="auto"/>
        </w:rPr>
        <w:t>. The New Notes shall be initially issued at 102.677% of their principal amount, plus accrued interest from and including February 23, 2023 (the “</w:t>
      </w:r>
      <w:r>
        <w:rPr>
          <w:rFonts w:ascii="Arial" w:cs="Arial" w:eastAsia="Arial" w:hAnsi="Arial"/>
          <w:sz w:val="21"/>
          <w:szCs w:val="21"/>
          <w:u w:val="single" w:color="auto"/>
          <w:color w:val="auto"/>
        </w:rPr>
        <w:t>Existing Notes Issue Date</w:t>
      </w:r>
      <w:r>
        <w:rPr>
          <w:rFonts w:ascii="Arial" w:cs="Arial" w:eastAsia="Arial" w:hAnsi="Arial"/>
          <w:sz w:val="21"/>
          <w:szCs w:val="21"/>
          <w:color w:val="auto"/>
        </w:rPr>
        <w:t>”), to, but excluding, the New Notes Issue Date.</w:t>
      </w:r>
    </w:p>
    <w:p>
      <w:pPr>
        <w:spacing w:after="0" w:line="156"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auto"/>
        </w:rPr>
        <w:t>Section 204</w:t>
      </w:r>
      <w:r>
        <w:rPr>
          <w:sz w:val="20"/>
          <w:szCs w:val="20"/>
          <w:color w:val="auto"/>
        </w:rPr>
        <w:tab/>
      </w:r>
      <w:r>
        <w:rPr>
          <w:rFonts w:ascii="Arial" w:cs="Arial" w:eastAsia="Arial" w:hAnsi="Arial"/>
          <w:sz w:val="19"/>
          <w:szCs w:val="19"/>
          <w:i w:val="1"/>
          <w:iCs w:val="1"/>
          <w:color w:val="auto"/>
        </w:rPr>
        <w:t>Form of Securities</w:t>
      </w:r>
      <w:r>
        <w:rPr>
          <w:rFonts w:ascii="Arial" w:cs="Arial" w:eastAsia="Arial" w:hAnsi="Arial"/>
          <w:sz w:val="19"/>
          <w:szCs w:val="19"/>
          <w:color w:val="auto"/>
        </w:rPr>
        <w:t>. The New Notes shall be substantially in the form attached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THREE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Miscellaneous Provisions</w:t>
      </w:r>
    </w:p>
    <w:p>
      <w:pPr>
        <w:spacing w:after="0" w:line="210" w:lineRule="exact"/>
        <w:rPr>
          <w:sz w:val="20"/>
          <w:szCs w:val="20"/>
          <w:color w:val="auto"/>
        </w:rPr>
      </w:pPr>
    </w:p>
    <w:p>
      <w:pPr>
        <w:jc w:val="both"/>
        <w:ind w:firstLine="638"/>
        <w:spacing w:after="0"/>
        <w:rPr>
          <w:sz w:val="20"/>
          <w:szCs w:val="20"/>
          <w:color w:val="auto"/>
        </w:rPr>
      </w:pPr>
      <w:r>
        <w:rPr>
          <w:rFonts w:ascii="Arial" w:cs="Arial" w:eastAsia="Arial" w:hAnsi="Arial"/>
          <w:sz w:val="21"/>
          <w:szCs w:val="21"/>
          <w:color w:val="auto"/>
        </w:rPr>
        <w:t>Section 301 The Indenture, as supplemented and amended by this Supplemental Indenture No. 24, is in all respects hereby adopted, ratified and confirmed.</w:t>
      </w:r>
    </w:p>
    <w:p>
      <w:pPr>
        <w:spacing w:after="0" w:line="181" w:lineRule="exact"/>
        <w:rPr>
          <w:sz w:val="20"/>
          <w:szCs w:val="20"/>
          <w:color w:val="auto"/>
        </w:rPr>
      </w:pPr>
    </w:p>
    <w:p>
      <w:pPr>
        <w:jc w:val="both"/>
        <w:ind w:firstLine="638"/>
        <w:spacing w:after="0"/>
        <w:rPr>
          <w:sz w:val="20"/>
          <w:szCs w:val="20"/>
          <w:color w:val="auto"/>
        </w:rPr>
      </w:pPr>
      <w:r>
        <w:rPr>
          <w:rFonts w:ascii="Arial" w:cs="Arial" w:eastAsia="Arial" w:hAnsi="Arial"/>
          <w:sz w:val="19"/>
          <w:szCs w:val="19"/>
          <w:color w:val="auto"/>
        </w:rPr>
        <w:t>Section 302 This Supplemental Indenture No. 24 may be executed in any number of counterparts, each of which shall be an original, but such counterparts shall together constitute but one and the same instrument. The words “execution,” “executed,” “signed,” signature,” and words of like import in this Supplemental Indenture No. 24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Supplemental Indenture No. 24 to the contrary notwithstanding, (a) any Officers’ Certificate, Company Order, Opinion of Counsel, Security, certificate of authentication appearing on or attached to any Security or other certificate, Opinion of Counsel, instrument, agreement or other document delivered pursuant to this Supplemental Indenture No. 24 may be executed, attested and transmitted by any of the foregoing electronic means and formats, (b) all references in Section 303 or elsewhere in the Indenture to the execution, attestation or authentication of any Security or any certificate of authentication appearing on or attached to any Security by means of a manual or facsimile signature shall be deemed to include signatures that are made or transmitted by any of the foregoing electronic means or formats, and (c) any requirement in Section 303 or elsewhere in the Indenture that any signature be made under a corporate seal (or facsimile thereof) shall not be applicable to the Securities of such series.</w:t>
      </w:r>
    </w:p>
    <w:p>
      <w:pPr>
        <w:spacing w:after="0" w:line="344"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Section 303 THIS SUPPLEMENTAL INDENTURE NO. 24 AND EACH NOTE SHALL BE DEEMED TO BE A CONTRACT MADE UNDER THE LAWS OF THE STATE OF NEW YORK AND SHALL BE GOVERNED BY AND CONSTRUED IN ACCORDANCE WITH THE LAWS OF THE STATE OF NEW YORK.</w:t>
      </w:r>
    </w:p>
    <w:p>
      <w:pPr>
        <w:spacing w:after="0" w:line="156"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19"/>
          <w:szCs w:val="19"/>
          <w:color w:val="auto"/>
        </w:rPr>
        <w:t>Section 304 If any provision in this Supplemental Indenture No. 24 limits, qualifies or conflicts with another provision hereof which is required to be included herein by any provisions of the Trust Indenture Act, such required provision shall control.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0" w:right="339" w:bottom="1440" w:gutter="0" w:footer="0" w:header="0"/>
        </w:sectPr>
      </w:pPr>
    </w:p>
    <w:bookmarkStart w:id="97" w:name="page98"/>
    <w:bookmarkEnd w:id="97"/>
    <w:p>
      <w:pPr>
        <w:spacing w:after="0" w:line="179"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Section 305 In case any provision in this Supplemental Indenture No. 24 or the New Notes shall be invalid, illegal or unenforceable, the validity, legality and enforceability of the remaining provisions shall not in any way be affected or impaired thereby.</w:t>
      </w:r>
    </w:p>
    <w:p>
      <w:pPr>
        <w:spacing w:after="0" w:line="182" w:lineRule="exact"/>
        <w:rPr>
          <w:sz w:val="20"/>
          <w:szCs w:val="20"/>
          <w:color w:val="auto"/>
        </w:rPr>
      </w:pPr>
    </w:p>
    <w:p>
      <w:pPr>
        <w:jc w:val="both"/>
        <w:ind w:firstLine="638"/>
        <w:spacing w:after="0" w:line="224" w:lineRule="auto"/>
        <w:rPr>
          <w:sz w:val="20"/>
          <w:szCs w:val="20"/>
          <w:color w:val="auto"/>
        </w:rPr>
      </w:pPr>
      <w:r>
        <w:rPr>
          <w:rFonts w:ascii="Arial" w:cs="Arial" w:eastAsia="Arial" w:hAnsi="Arial"/>
          <w:sz w:val="20"/>
          <w:szCs w:val="20"/>
          <w:color w:val="auto"/>
        </w:rPr>
        <w:t>Section 306 The Trustee shall have the right to accept and act upon instructions, including funds transfer instructions (“</w:t>
      </w:r>
      <w:r>
        <w:rPr>
          <w:rFonts w:ascii="Arial" w:cs="Arial" w:eastAsia="Arial" w:hAnsi="Arial"/>
          <w:sz w:val="20"/>
          <w:szCs w:val="20"/>
          <w:u w:val="single" w:color="auto"/>
          <w:color w:val="auto"/>
        </w:rPr>
        <w:t>Instructions</w:t>
      </w:r>
      <w:r>
        <w:rPr>
          <w:rFonts w:ascii="Arial" w:cs="Arial" w:eastAsia="Arial" w:hAnsi="Arial"/>
          <w:sz w:val="20"/>
          <w:szCs w:val="20"/>
          <w:color w:val="auto"/>
        </w:rPr>
        <w:t>”) given pursuant to this Indenture and delivered using Electronic Means; provided, however, that the Company shall provide to the Trustee an incumbency certificate listing officers with the authority to provide such Instructions (“</w:t>
      </w:r>
      <w:r>
        <w:rPr>
          <w:rFonts w:ascii="Arial" w:cs="Arial" w:eastAsia="Arial" w:hAnsi="Arial"/>
          <w:sz w:val="20"/>
          <w:szCs w:val="20"/>
          <w:u w:val="single" w:color="auto"/>
          <w:color w:val="auto"/>
        </w:rPr>
        <w:t>Authorized</w:t>
      </w:r>
      <w:r>
        <w:rPr>
          <w:rFonts w:ascii="Arial" w:cs="Arial" w:eastAsia="Arial" w:hAnsi="Arial"/>
          <w:sz w:val="20"/>
          <w:szCs w:val="20"/>
          <w:color w:val="auto"/>
        </w:rPr>
        <w:t xml:space="preserve"> </w:t>
      </w:r>
      <w:r>
        <w:rPr>
          <w:rFonts w:ascii="Arial" w:cs="Arial" w:eastAsia="Arial" w:hAnsi="Arial"/>
          <w:sz w:val="20"/>
          <w:szCs w:val="20"/>
          <w:u w:val="single" w:color="auto"/>
          <w:color w:val="auto"/>
        </w:rPr>
        <w:t>Officers</w:t>
      </w:r>
      <w:r>
        <w:rPr>
          <w:rFonts w:ascii="Arial" w:cs="Arial" w:eastAsia="Arial" w:hAnsi="Arial"/>
          <w:sz w:val="20"/>
          <w:szCs w:val="20"/>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unless the Trustee has knowledge to the contrary or the Trustee is acting in bad faith.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Absent gross negligence, willful misconduct or bad faith by the Trustee,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absent gross negligence, willful misconduct or bad faith by the Trustee: (i) to assume all risks arising out of the use of Electronic Means to submit Instructions to the Trustee, including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as soon as practicable upon learning of any compromise or unauthorized use of the security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98" w:name="page99"/>
    <w:bookmarkEnd w:id="98"/>
    <w:p>
      <w:pPr>
        <w:ind w:firstLine="638"/>
        <w:spacing w:after="0"/>
        <w:rPr>
          <w:sz w:val="20"/>
          <w:szCs w:val="20"/>
          <w:color w:val="auto"/>
        </w:rPr>
      </w:pPr>
      <w:r>
        <w:rPr>
          <w:rFonts w:ascii="Arial" w:cs="Arial" w:eastAsia="Arial" w:hAnsi="Arial"/>
          <w:sz w:val="21"/>
          <w:szCs w:val="21"/>
          <w:color w:val="auto"/>
        </w:rPr>
        <w:t>IN WITNESS WHEREOF, the parties hereto have caused this Supplemental Indenture No. 24 to be duly executed, as of the day and year first written above.</w:t>
      </w:r>
    </w:p>
    <w:p>
      <w:pPr>
        <w:spacing w:after="0" w:line="200" w:lineRule="exact"/>
        <w:rPr>
          <w:sz w:val="20"/>
          <w:szCs w:val="20"/>
          <w:color w:val="auto"/>
        </w:rPr>
      </w:pPr>
    </w:p>
    <w:p>
      <w:pPr>
        <w:spacing w:after="0" w:line="220"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CENTERPOINT ENERGY RESOURCES CORP.</w:t>
      </w:r>
    </w:p>
    <w:p>
      <w:pPr>
        <w:spacing w:after="0" w:line="200" w:lineRule="exact"/>
        <w:rPr>
          <w:sz w:val="20"/>
          <w:szCs w:val="20"/>
          <w:color w:val="auto"/>
        </w:rPr>
      </w:pPr>
    </w:p>
    <w:p>
      <w:pPr>
        <w:spacing w:after="0" w:line="238"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By: /s/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-5715</wp:posOffset>
            </wp:positionV>
            <wp:extent cx="14636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ind w:left="4220"/>
        <w:spacing w:after="0" w:line="211" w:lineRule="auto"/>
        <w:rPr>
          <w:sz w:val="20"/>
          <w:szCs w:val="20"/>
          <w:color w:val="auto"/>
        </w:rPr>
      </w:pPr>
      <w:r>
        <w:rPr>
          <w:rFonts w:ascii="Arial" w:cs="Arial" w:eastAsia="Arial" w:hAnsi="Arial"/>
          <w:sz w:val="21"/>
          <w:szCs w:val="21"/>
          <w:color w:val="auto"/>
        </w:rPr>
        <w:t>Jason P. Wells</w:t>
      </w:r>
    </w:p>
    <w:p>
      <w:pPr>
        <w:ind w:left="4220"/>
        <w:spacing w:after="0" w:line="211" w:lineRule="auto"/>
        <w:rPr>
          <w:sz w:val="20"/>
          <w:szCs w:val="20"/>
          <w:color w:val="auto"/>
        </w:rPr>
      </w:pPr>
      <w:r>
        <w:rPr>
          <w:rFonts w:ascii="Arial" w:cs="Arial" w:eastAsia="Arial" w:hAnsi="Arial"/>
          <w:sz w:val="21"/>
          <w:szCs w:val="21"/>
          <w:color w:val="auto"/>
        </w:rPr>
        <w:t>President, Chief Executive Officer and Chief Financial Officer</w:t>
      </w:r>
    </w:p>
    <w:p>
      <w:pPr>
        <w:spacing w:after="0"/>
        <w:rPr>
          <w:sz w:val="20"/>
          <w:szCs w:val="20"/>
          <w:color w:val="auto"/>
        </w:rPr>
      </w:pPr>
      <w:r>
        <w:rPr>
          <w:rFonts w:ascii="Arial" w:cs="Arial" w:eastAsia="Arial" w:hAnsi="Arial"/>
          <w:sz w:val="21"/>
          <w:szCs w:val="21"/>
          <w:color w:val="auto"/>
        </w:rPr>
        <w:t>Attest:</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/s/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660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1660525"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1"/>
          <w:szCs w:val="21"/>
          <w:color w:val="auto"/>
        </w:rPr>
        <w:t>Vincent A. Mercaldi</w:t>
      </w:r>
    </w:p>
    <w:p>
      <w:pPr>
        <w:spacing w:after="0"/>
        <w:rPr>
          <w:sz w:val="20"/>
          <w:szCs w:val="20"/>
          <w:color w:val="auto"/>
        </w:rPr>
      </w:pPr>
      <w:r>
        <w:rPr>
          <w:rFonts w:ascii="Arial" w:cs="Arial" w:eastAsia="Arial" w:hAnsi="Arial"/>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40" w:right="1540"/>
        <w:spacing w:after="0"/>
        <w:rPr>
          <w:sz w:val="20"/>
          <w:szCs w:val="20"/>
          <w:color w:val="auto"/>
        </w:rPr>
      </w:pPr>
      <w:r>
        <w:rPr>
          <w:rFonts w:ascii="Arial" w:cs="Arial" w:eastAsia="Arial" w:hAnsi="Arial"/>
          <w:sz w:val="21"/>
          <w:szCs w:val="21"/>
          <w:color w:val="auto"/>
        </w:rPr>
        <w:t>THE BANK OF NEW YORK MELLON TRUST COMPANY, N.A., As Trustee</w:t>
      </w:r>
    </w:p>
    <w:p>
      <w:pPr>
        <w:spacing w:after="0" w:line="200" w:lineRule="exact"/>
        <w:rPr>
          <w:sz w:val="20"/>
          <w:szCs w:val="20"/>
          <w:color w:val="auto"/>
        </w:rPr>
      </w:pPr>
    </w:p>
    <w:p>
      <w:pPr>
        <w:spacing w:after="0" w:line="209"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By: /s/ April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-5715</wp:posOffset>
            </wp:positionV>
            <wp:extent cx="15741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0"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21"/>
          <w:szCs w:val="21"/>
          <w:u w:val="single" w:color="auto"/>
          <w:color w:val="auto"/>
        </w:rPr>
        <w:t>Exhibit 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FACE OF SECURITY]</w:t>
      </w:r>
    </w:p>
    <w:p>
      <w:pPr>
        <w:spacing w:after="0" w:line="21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w:t>
      </w:r>
      <w:r>
        <w:rPr>
          <w:rFonts w:ascii="Arial" w:cs="Arial" w:eastAsia="Arial" w:hAnsi="Arial"/>
          <w:sz w:val="20"/>
          <w:szCs w:val="20"/>
          <w:u w:val="single" w:color="auto"/>
          <w:color w:val="auto"/>
        </w:rPr>
        <w:t>DTC</w:t>
      </w:r>
      <w:r>
        <w:rPr>
          <w:rFonts w:ascii="Arial" w:cs="Arial" w:eastAsia="Arial" w:hAnsi="Arial"/>
          <w:sz w:val="20"/>
          <w:szCs w:val="20"/>
          <w:color w:val="auto"/>
        </w:rPr>
        <w:t>”), TO CENTERPOINT ENERGY RESOURCES CORP. OR ITS AGENT FOR REGISTRATION OF TRANSFER, EXCHANGE, OR PAYMENT, AND ANY CERTIFICATE ISSUED IS REGISTERED IN THE NAME OF CEDE &amp; CO. OR IN SUCH OTHER NAME AS IS REQUESTED BY AN AUTHORIZED REPRESENTATIVE OF DTC (AND ANY PAYMENT IS MADE TO CEDE</w:t>
      </w:r>
    </w:p>
    <w:p>
      <w:pPr>
        <w:spacing w:after="0" w:line="5" w:lineRule="exact"/>
        <w:rPr>
          <w:sz w:val="20"/>
          <w:szCs w:val="20"/>
          <w:color w:val="auto"/>
        </w:rPr>
      </w:pPr>
    </w:p>
    <w:p>
      <w:pPr>
        <w:jc w:val="both"/>
        <w:ind w:firstLine="6"/>
        <w:spacing w:after="0" w:line="224" w:lineRule="auto"/>
        <w:tabs>
          <w:tab w:leader="none" w:pos="255" w:val="left"/>
        </w:tabs>
        <w:numPr>
          <w:ilvl w:val="0"/>
          <w:numId w:val="53"/>
        </w:numPr>
        <w:rPr>
          <w:rFonts w:ascii="Arial" w:cs="Arial" w:eastAsia="Arial" w:hAnsi="Arial"/>
          <w:sz w:val="21"/>
          <w:szCs w:val="21"/>
          <w:color w:val="auto"/>
        </w:rPr>
      </w:pPr>
      <w:r>
        <w:rPr>
          <w:rFonts w:ascii="Arial" w:cs="Arial" w:eastAsia="Arial" w:hAnsi="Arial"/>
          <w:sz w:val="21"/>
          <w:szCs w:val="21"/>
          <w:color w:val="auto"/>
        </w:rPr>
        <w:t>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1380"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0"/>
          <w:szCs w:val="20"/>
          <w:b w:val="1"/>
          <w:bCs w:val="1"/>
          <w:color w:val="auto"/>
        </w:rPr>
        <w:t>CENTERPOINT ENERGY RESOURCES CORP.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5.25% Senior Notes due 2028</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
        <w:spacing w:after="0"/>
        <w:rPr>
          <w:sz w:val="20"/>
          <w:szCs w:val="20"/>
          <w:color w:val="auto"/>
        </w:rPr>
      </w:pPr>
      <w:r>
        <w:rPr>
          <w:rFonts w:ascii="Arial" w:cs="Arial" w:eastAsia="Arial" w:hAnsi="Arial"/>
          <w:sz w:val="21"/>
          <w:szCs w:val="21"/>
          <w:color w:val="auto"/>
        </w:rPr>
        <w:t>Original Interest Accrual Date: February 23, 2023</w:t>
      </w:r>
    </w:p>
    <w:p>
      <w:pPr>
        <w:ind w:left="80"/>
        <w:spacing w:after="0" w:line="211" w:lineRule="auto"/>
        <w:rPr>
          <w:sz w:val="20"/>
          <w:szCs w:val="20"/>
          <w:color w:val="auto"/>
        </w:rPr>
      </w:pPr>
      <w:r>
        <w:rPr>
          <w:rFonts w:ascii="Arial" w:cs="Arial" w:eastAsia="Arial" w:hAnsi="Arial"/>
          <w:sz w:val="21"/>
          <w:szCs w:val="21"/>
          <w:color w:val="auto"/>
        </w:rPr>
        <w:t>Stated Maturity: March 1, 2028</w:t>
      </w:r>
    </w:p>
    <w:p>
      <w:pPr>
        <w:ind w:left="80"/>
        <w:spacing w:after="0" w:line="211" w:lineRule="auto"/>
        <w:rPr>
          <w:sz w:val="20"/>
          <w:szCs w:val="20"/>
          <w:color w:val="auto"/>
        </w:rPr>
      </w:pPr>
      <w:r>
        <w:rPr>
          <w:rFonts w:ascii="Arial" w:cs="Arial" w:eastAsia="Arial" w:hAnsi="Arial"/>
          <w:sz w:val="21"/>
          <w:szCs w:val="21"/>
          <w:color w:val="auto"/>
        </w:rPr>
        <w:t>Interest Rate: 5.25%</w:t>
      </w:r>
    </w:p>
    <w:p>
      <w:pPr>
        <w:ind w:left="80"/>
        <w:spacing w:after="0" w:line="211" w:lineRule="auto"/>
        <w:rPr>
          <w:sz w:val="20"/>
          <w:szCs w:val="20"/>
          <w:color w:val="auto"/>
        </w:rPr>
      </w:pPr>
      <w:r>
        <w:rPr>
          <w:rFonts w:ascii="Arial" w:cs="Arial" w:eastAsia="Arial" w:hAnsi="Arial"/>
          <w:sz w:val="21"/>
          <w:szCs w:val="21"/>
          <w:color w:val="auto"/>
        </w:rPr>
        <w:t>Interest Payment Dates: March 1 and September 1</w:t>
      </w:r>
    </w:p>
    <w:p>
      <w:pPr>
        <w:ind w:left="80"/>
        <w:spacing w:after="0" w:line="211" w:lineRule="auto"/>
        <w:rPr>
          <w:sz w:val="20"/>
          <w:szCs w:val="20"/>
          <w:color w:val="auto"/>
        </w:rPr>
      </w:pPr>
      <w:r>
        <w:rPr>
          <w:rFonts w:ascii="Arial" w:cs="Arial" w:eastAsia="Arial" w:hAnsi="Arial"/>
          <w:sz w:val="21"/>
          <w:szCs w:val="21"/>
          <w:color w:val="auto"/>
        </w:rPr>
        <w:t>Initial Interest Payment Date: September 1, 2023</w:t>
      </w:r>
    </w:p>
    <w:p>
      <w:pPr>
        <w:spacing w:after="0" w:line="1" w:lineRule="exact"/>
        <w:rPr>
          <w:sz w:val="20"/>
          <w:szCs w:val="20"/>
          <w:color w:val="auto"/>
        </w:rPr>
      </w:pPr>
    </w:p>
    <w:p>
      <w:pPr>
        <w:ind w:left="80"/>
        <w:spacing w:after="0" w:line="271" w:lineRule="auto"/>
        <w:rPr>
          <w:sz w:val="20"/>
          <w:szCs w:val="20"/>
          <w:color w:val="auto"/>
        </w:rPr>
      </w:pPr>
      <w:r>
        <w:rPr>
          <w:rFonts w:ascii="Arial" w:cs="Arial" w:eastAsia="Arial" w:hAnsi="Arial"/>
          <w:sz w:val="19"/>
          <w:szCs w:val="19"/>
          <w:color w:val="auto"/>
        </w:rPr>
        <w:t>Regular Record Dates: February 15 and August 15 immediately preceding the applicable Interest Payment Date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Redeemable: Yes [X] No [ ]</w:t>
      </w:r>
    </w:p>
    <w:p>
      <w:pPr>
        <w:spacing w:after="0" w:line="211" w:lineRule="auto"/>
        <w:rPr>
          <w:sz w:val="20"/>
          <w:szCs w:val="20"/>
          <w:color w:val="auto"/>
        </w:rPr>
      </w:pPr>
      <w:r>
        <w:rPr>
          <w:rFonts w:ascii="Arial" w:cs="Arial" w:eastAsia="Arial" w:hAnsi="Arial"/>
          <w:sz w:val="21"/>
          <w:szCs w:val="21"/>
          <w:color w:val="auto"/>
        </w:rPr>
        <w:t>Redemption Date: At any time.</w:t>
      </w:r>
    </w:p>
    <w:p>
      <w:pPr>
        <w:jc w:val="both"/>
        <w:ind w:right="60"/>
        <w:spacing w:after="0" w:line="224" w:lineRule="auto"/>
        <w:rPr>
          <w:sz w:val="20"/>
          <w:szCs w:val="20"/>
          <w:color w:val="auto"/>
        </w:rPr>
      </w:pPr>
      <w:r>
        <w:rPr>
          <w:rFonts w:ascii="Arial" w:cs="Arial" w:eastAsia="Arial" w:hAnsi="Arial"/>
          <w:sz w:val="20"/>
          <w:szCs w:val="20"/>
          <w:color w:val="auto"/>
        </w:rPr>
        <w:t>Redemption Price: (1) Prior to February 1, 2028 (the “</w:t>
      </w:r>
      <w:r>
        <w:rPr>
          <w:rFonts w:ascii="Arial" w:cs="Arial" w:eastAsia="Arial" w:hAnsi="Arial"/>
          <w:sz w:val="20"/>
          <w:szCs w:val="20"/>
          <w:u w:val="single" w:color="auto"/>
          <w:color w:val="auto"/>
        </w:rPr>
        <w:t>Par Call</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at a redemption price equal to the greater of: (i)(a) the sum of the present values of the remaining scheduled payments of principal and interest on this Security, or the portion thereof to be redeemed, that would be due if this Security matured on the Par Call Date but for the redemption (not including any portion of such payments of interest accrued to the Redemption Date) discounted to the Redemption Date on a semiannual basis at the applicable Treasury Rate plus 20 basis points less (b) interest accrued to the date of redemption; and (ii) 100% of the principal amount of this Security or the portion thereof to be redeemed; plus, in each case, accrued and unpaid interest on the principal amount being redeemed, if any, to, but excluding, the Redemption Date; or (2) on or after the Par Call Date, at a redemption price equal to 100% of the principal amount of this Security or the portion thereof to be redeemed plus accrued and unpaid interest on the principal amount being redeemed, if any, to, but excluding, the Redemption Date.</w:t>
      </w:r>
    </w:p>
    <w:p>
      <w:pPr>
        <w:spacing w:after="0" w:line="229" w:lineRule="exact"/>
        <w:rPr>
          <w:sz w:val="20"/>
          <w:szCs w:val="20"/>
          <w:color w:val="auto"/>
        </w:rPr>
      </w:pPr>
    </w:p>
    <w:p>
      <w:pPr>
        <w:sectPr>
          <w:pgSz w:w="11900" w:h="16838" w:orient="portrait"/>
          <w:cols w:equalWidth="0" w:num="2">
            <w:col w:w="5360" w:space="120"/>
            <w:col w:w="5760"/>
          </w:cols>
          <w:pgMar w:left="320" w:top="1414" w:right="339" w:bottom="1440" w:gutter="0" w:footer="0" w:header="0"/>
          <w:type w:val="continuous"/>
        </w:sectPr>
      </w:pPr>
    </w:p>
    <w:p>
      <w:pPr>
        <w:spacing w:after="0" w:line="61"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This Security is not an Original Issue Discount Security</w:t>
      </w:r>
    </w:p>
    <w:p>
      <w:pPr>
        <w:ind w:left="3300"/>
        <w:spacing w:after="0" w:line="211" w:lineRule="auto"/>
        <w:rPr>
          <w:sz w:val="20"/>
          <w:szCs w:val="20"/>
          <w:color w:val="auto"/>
        </w:rPr>
      </w:pPr>
      <w:r>
        <w:rPr>
          <w:rFonts w:ascii="Arial" w:cs="Arial" w:eastAsia="Arial" w:hAnsi="Arial"/>
          <w:sz w:val="21"/>
          <w:szCs w:val="21"/>
          <w:color w:val="auto"/>
        </w:rPr>
        <w:t>within the meaning of the within-mentioned Indenture.</w:t>
      </w:r>
    </w:p>
    <w:p>
      <w:pPr>
        <w:ind w:left="4080"/>
        <w:spacing w:after="0"/>
        <w:rPr>
          <w:sz w:val="20"/>
          <w:szCs w:val="20"/>
          <w:color w:val="auto"/>
        </w:rPr>
      </w:pPr>
      <w:r>
        <w:rPr>
          <w:rFonts w:ascii="Arial" w:cs="Arial" w:eastAsia="Arial" w:hAnsi="Arial"/>
          <w:sz w:val="21"/>
          <w:szCs w:val="21"/>
          <w:color w:val="auto"/>
        </w:rPr>
        <w:t>_____________________________</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9580" w:val="left"/>
        </w:tabs>
        <w:rPr>
          <w:sz w:val="20"/>
          <w:szCs w:val="20"/>
          <w:color w:val="auto"/>
        </w:rPr>
      </w:pPr>
      <w:r>
        <w:rPr>
          <w:rFonts w:ascii="Arial" w:cs="Arial" w:eastAsia="Arial" w:hAnsi="Arial"/>
          <w:sz w:val="21"/>
          <w:szCs w:val="21"/>
          <w:color w:val="auto"/>
        </w:rPr>
        <w:t>Principal Amount</w:t>
      </w:r>
      <w:r>
        <w:rPr>
          <w:sz w:val="20"/>
          <w:szCs w:val="20"/>
          <w:color w:val="auto"/>
        </w:rPr>
        <w:tab/>
      </w:r>
      <w:r>
        <w:rPr>
          <w:rFonts w:ascii="Arial" w:cs="Arial" w:eastAsia="Arial" w:hAnsi="Arial"/>
          <w:sz w:val="18"/>
          <w:szCs w:val="18"/>
          <w:color w:val="auto"/>
        </w:rPr>
        <w:t>Registered No. T-3</w:t>
      </w:r>
    </w:p>
    <w:p>
      <w:pPr>
        <w:spacing w:after="0" w:line="136" w:lineRule="exact"/>
        <w:rPr>
          <w:sz w:val="20"/>
          <w:szCs w:val="20"/>
          <w:color w:val="auto"/>
        </w:rPr>
      </w:pPr>
    </w:p>
    <w:p>
      <w:pPr>
        <w:ind w:left="20"/>
        <w:spacing w:after="0"/>
        <w:tabs>
          <w:tab w:leader="none" w:pos="9420" w:val="left"/>
        </w:tabs>
        <w:rPr>
          <w:sz w:val="20"/>
          <w:szCs w:val="20"/>
          <w:color w:val="auto"/>
        </w:rPr>
      </w:pPr>
      <w:r>
        <w:rPr>
          <w:rFonts w:ascii="Arial" w:cs="Arial" w:eastAsia="Arial" w:hAnsi="Arial"/>
          <w:sz w:val="21"/>
          <w:szCs w:val="21"/>
          <w:color w:val="auto"/>
        </w:rPr>
        <w:t>$_______________</w:t>
      </w: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9"/>
          <w:szCs w:val="19"/>
          <w:color w:val="auto"/>
        </w:rPr>
        <w:t>CUSIP 15189Y AG1</w:t>
      </w:r>
    </w:p>
    <w:p>
      <w:pPr>
        <w:spacing w:after="0" w:line="268"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 xml:space="preserve">CENTERPOINT ENERGY RESOURCES CORP., a corporation duly organized and existing under the laws of the State of Delaware, formerly known as NorAm Energy Corp. (herein called the “ </w:t>
      </w:r>
      <w:r>
        <w:rPr>
          <w:rFonts w:ascii="Arial" w:cs="Arial" w:eastAsia="Arial" w:hAnsi="Arial"/>
          <w:sz w:val="21"/>
          <w:szCs w:val="21"/>
          <w:u w:val="single" w:color="auto"/>
          <w:color w:val="auto"/>
        </w:rPr>
        <w:t>Company</w:t>
      </w:r>
      <w:r>
        <w:rPr>
          <w:rFonts w:ascii="Arial" w:cs="Arial" w:eastAsia="Arial" w:hAnsi="Arial"/>
          <w:sz w:val="21"/>
          <w:szCs w:val="21"/>
          <w:color w:val="auto"/>
        </w:rPr>
        <w:t>,” which term includes any successor Person under the Indenture referred to below), for value received, hereby promises to pay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***CEDE &amp; Co.***</w:t>
      </w:r>
    </w:p>
    <w:p>
      <w:pPr>
        <w:spacing w:after="0" w:line="210" w:lineRule="exact"/>
        <w:rPr>
          <w:sz w:val="20"/>
          <w:szCs w:val="20"/>
          <w:color w:val="auto"/>
        </w:rPr>
      </w:pPr>
    </w:p>
    <w:p>
      <w:pPr>
        <w:ind w:firstLine="6"/>
        <w:spacing w:after="0"/>
        <w:tabs>
          <w:tab w:leader="none" w:pos="112" w:val="left"/>
        </w:tabs>
        <w:numPr>
          <w:ilvl w:val="0"/>
          <w:numId w:val="54"/>
        </w:numPr>
        <w:rPr>
          <w:rFonts w:ascii="Arial" w:cs="Arial" w:eastAsia="Arial" w:hAnsi="Arial"/>
          <w:sz w:val="21"/>
          <w:szCs w:val="21"/>
          <w:color w:val="auto"/>
        </w:rPr>
      </w:pPr>
      <w:r>
        <w:rPr>
          <w:rFonts w:ascii="Arial" w:cs="Arial" w:eastAsia="Arial" w:hAnsi="Arial"/>
          <w:sz w:val="21"/>
          <w:szCs w:val="21"/>
          <w:color w:val="auto"/>
        </w:rPr>
        <w:t>or its registered assigns, the principal sum of DOLLARS on the Stated Maturity specified above, and to pay interest thereon from the Original Interest Accrual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16865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169" w:lineRule="exact"/>
        <w:rPr>
          <w:sz w:val="20"/>
          <w:szCs w:val="20"/>
          <w:color w:val="auto"/>
        </w:rPr>
      </w:pPr>
    </w:p>
    <w:p>
      <w:pPr>
        <w:ind w:left="120" w:hanging="114"/>
        <w:spacing w:after="0"/>
        <w:tabs>
          <w:tab w:leader="none" w:pos="120" w:val="left"/>
        </w:tabs>
        <w:numPr>
          <w:ilvl w:val="0"/>
          <w:numId w:val="55"/>
        </w:numPr>
        <w:rPr>
          <w:rFonts w:ascii="Arial" w:cs="Arial" w:eastAsia="Arial" w:hAnsi="Arial"/>
          <w:sz w:val="23"/>
          <w:szCs w:val="23"/>
          <w:color w:val="auto"/>
          <w:vertAlign w:val="superscript"/>
        </w:rPr>
      </w:pPr>
      <w:r>
        <w:rPr>
          <w:rFonts w:ascii="Arial" w:cs="Arial" w:eastAsia="Arial" w:hAnsi="Arial"/>
          <w:sz w:val="15"/>
          <w:szCs w:val="15"/>
          <w:color w:val="auto"/>
        </w:rPr>
        <w:t>Reference is made to Schedule A attached hereto with respect to decreases and increases in the aggregate principal amount of Securities evidenced hereby.</w:t>
      </w:r>
    </w:p>
    <w:p>
      <w:pPr>
        <w:sectPr>
          <w:pgSz w:w="11900" w:h="16838" w:orient="portrait"/>
          <w:cols w:equalWidth="0" w:num="1">
            <w:col w:w="11240"/>
          </w:cols>
          <w:pgMar w:left="320" w:top="1414" w:right="339" w:bottom="1440" w:gutter="0" w:footer="0" w:header="0"/>
          <w:type w:val="continuous"/>
        </w:sectPr>
      </w:pPr>
    </w:p>
    <w:bookmarkStart w:id="101" w:name="page102"/>
    <w:bookmarkEnd w:id="101"/>
    <w:p>
      <w:pPr>
        <w:jc w:val="both"/>
        <w:spacing w:after="0" w:line="236" w:lineRule="auto"/>
        <w:rPr>
          <w:sz w:val="20"/>
          <w:szCs w:val="20"/>
          <w:color w:val="auto"/>
        </w:rPr>
      </w:pPr>
      <w:r>
        <w:rPr>
          <w:rFonts w:ascii="Arial" w:cs="Arial" w:eastAsia="Arial" w:hAnsi="Arial"/>
          <w:sz w:val="19"/>
          <w:szCs w:val="19"/>
          <w:color w:val="auto"/>
        </w:rPr>
        <w:t xml:space="preserve">specified above or from the most recent Interest Payment Date to which interest has been paid or duly provided for, semi-annually in arrears on the Interest Payment Dates specified above in each year, commencing on September 1, 2023, and at Stated Maturity, at the Interest Rate per annum specified above, until the principal hereof is paid or made available for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principal and premium, and any such installment of interest, which is overdue shall bear interest at the rate of 5.25% per annum (to the extent permitted by applicable law), from the dates such amounts are due until they are paid or made available for payment, and such interest shall be payable on demand.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w:t>
      </w:r>
      <w:r>
        <w:rPr>
          <w:rFonts w:ascii="Arial" w:cs="Arial" w:eastAsia="Arial" w:hAnsi="Arial"/>
          <w:sz w:val="19"/>
          <w:szCs w:val="19"/>
          <w:u w:val="single" w:color="auto"/>
          <w:color w:val="auto"/>
        </w:rPr>
        <w:t>Business Day</w:t>
      </w:r>
      <w:r>
        <w:rPr>
          <w:rFonts w:ascii="Arial" w:cs="Arial" w:eastAsia="Arial" w:hAnsi="Arial"/>
          <w:sz w:val="19"/>
          <w:szCs w:val="19"/>
          <w:color w:val="auto"/>
        </w:rPr>
        <w:t>” 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March 1 or September 1 (whether or not a Business Day), as the case may be, next preceding such Interest Payment Date. Any such interest not so punctually paid or duly provided for shall forthwith cease to be payable to the Holder on such Regular Record Date and shall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spacing w:after="0" w:line="161" w:lineRule="exact"/>
        <w:rPr>
          <w:sz w:val="20"/>
          <w:szCs w:val="20"/>
          <w:color w:val="auto"/>
        </w:rPr>
      </w:pPr>
    </w:p>
    <w:p>
      <w:pPr>
        <w:jc w:val="both"/>
        <w:ind w:firstLine="638"/>
        <w:spacing w:after="0" w:line="220" w:lineRule="auto"/>
        <w:rPr>
          <w:sz w:val="20"/>
          <w:szCs w:val="20"/>
          <w:color w:val="auto"/>
        </w:rPr>
      </w:pPr>
      <w:r>
        <w:rPr>
          <w:rFonts w:ascii="Arial" w:cs="Arial" w:eastAsia="Arial" w:hAnsi="Arial"/>
          <w:sz w:val="21"/>
          <w:szCs w:val="21"/>
          <w:color w:val="auto"/>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159" w:lineRule="exact"/>
        <w:rPr>
          <w:sz w:val="20"/>
          <w:szCs w:val="20"/>
          <w:color w:val="auto"/>
        </w:rPr>
      </w:pPr>
    </w:p>
    <w:p>
      <w:pPr>
        <w:jc w:val="both"/>
        <w:ind w:firstLine="638"/>
        <w:spacing w:after="0"/>
        <w:rPr>
          <w:sz w:val="20"/>
          <w:szCs w:val="20"/>
          <w:color w:val="auto"/>
        </w:rPr>
      </w:pPr>
      <w:r>
        <w:rPr>
          <w:rFonts w:ascii="Arial" w:cs="Arial" w:eastAsia="Arial" w:hAnsi="Arial"/>
          <w:sz w:val="21"/>
          <w:szCs w:val="21"/>
          <w:color w:val="auto"/>
        </w:rPr>
        <w:t>Reference is hereby made to the further provisions of this Security set forth on the reverse hereof, which further provisions shall for all purposes have the same effect as if set forth at this place.</w:t>
      </w:r>
    </w:p>
    <w:p>
      <w:pPr>
        <w:spacing w:after="0" w:line="155"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20"/>
          <w:szCs w:val="20"/>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ectPr>
          <w:pgSz w:w="11900" w:h="16838" w:orient="portrait"/>
          <w:cols w:equalWidth="0" w:num="1">
            <w:col w:w="11240"/>
          </w:cols>
          <w:pgMar w:left="320" w:top="1380" w:right="339" w:bottom="1440" w:gutter="0" w:footer="0" w:header="0"/>
        </w:sectPr>
      </w:pPr>
    </w:p>
    <w:bookmarkStart w:id="102" w:name="page103"/>
    <w:bookmarkEnd w:id="102"/>
    <w:p>
      <w:pPr>
        <w:ind w:left="1280"/>
        <w:spacing w:after="0"/>
        <w:rPr>
          <w:sz w:val="20"/>
          <w:szCs w:val="20"/>
          <w:color w:val="auto"/>
        </w:rPr>
      </w:pPr>
      <w:r>
        <w:rPr>
          <w:rFonts w:ascii="Arial" w:cs="Arial" w:eastAsia="Arial" w:hAnsi="Arial"/>
          <w:sz w:val="21"/>
          <w:szCs w:val="21"/>
          <w:color w:val="auto"/>
        </w:rPr>
        <w:t>IN WITNESS WHEREOF, the Company has caused this instrument to be duly executed.</w:t>
      </w:r>
    </w:p>
    <w:p>
      <w:pPr>
        <w:spacing w:after="0" w:line="200" w:lineRule="exact"/>
        <w:rPr>
          <w:sz w:val="20"/>
          <w:szCs w:val="20"/>
          <w:color w:val="auto"/>
        </w:rPr>
      </w:pPr>
    </w:p>
    <w:p>
      <w:pPr>
        <w:spacing w:after="0" w:line="249" w:lineRule="exact"/>
        <w:rPr>
          <w:sz w:val="20"/>
          <w:szCs w:val="20"/>
          <w:color w:val="auto"/>
        </w:rPr>
      </w:pPr>
    </w:p>
    <w:p>
      <w:pPr>
        <w:spacing w:after="0"/>
        <w:tabs>
          <w:tab w:leader="none" w:pos="1900" w:val="left"/>
        </w:tabs>
        <w:rPr>
          <w:sz w:val="20"/>
          <w:szCs w:val="20"/>
          <w:color w:val="auto"/>
        </w:rPr>
      </w:pPr>
      <w:r>
        <w:rPr>
          <w:rFonts w:ascii="Arial" w:cs="Arial" w:eastAsia="Arial" w:hAnsi="Arial"/>
          <w:sz w:val="21"/>
          <w:szCs w:val="21"/>
          <w:color w:val="auto"/>
        </w:rPr>
        <w:t>Dated: May 3, 2023</w:t>
      </w:r>
      <w:r>
        <w:rPr>
          <w:sz w:val="20"/>
          <w:szCs w:val="20"/>
          <w:color w:val="auto"/>
        </w:rPr>
        <w:tab/>
      </w:r>
      <w:r>
        <w:rPr>
          <w:rFonts w:ascii="Arial" w:cs="Arial" w:eastAsia="Arial" w:hAnsi="Arial"/>
          <w:sz w:val="19"/>
          <w:szCs w:val="19"/>
          <w:color w:val="auto"/>
        </w:rPr>
        <w:t>CENTERPOINT ENERGY RESOURCES CORP.</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-5715</wp:posOffset>
            </wp:positionV>
            <wp:extent cx="6743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ind w:left="4460"/>
        <w:spacing w:after="0" w:line="211" w:lineRule="auto"/>
        <w:rPr>
          <w:sz w:val="20"/>
          <w:szCs w:val="20"/>
          <w:color w:val="auto"/>
        </w:rPr>
      </w:pPr>
      <w:r>
        <w:rPr>
          <w:rFonts w:ascii="Arial" w:cs="Arial" w:eastAsia="Arial" w:hAnsi="Arial"/>
          <w:sz w:val="21"/>
          <w:szCs w:val="21"/>
          <w:color w:val="auto"/>
        </w:rPr>
        <w:t>Name: Jason P. Wells</w:t>
      </w:r>
    </w:p>
    <w:p>
      <w:pPr>
        <w:ind w:left="4460"/>
        <w:spacing w:after="0"/>
        <w:rPr>
          <w:sz w:val="20"/>
          <w:szCs w:val="20"/>
          <w:color w:val="auto"/>
        </w:rPr>
      </w:pPr>
      <w:r>
        <w:rPr>
          <w:rFonts w:ascii="Arial" w:cs="Arial" w:eastAsia="Arial" w:hAnsi="Arial"/>
          <w:sz w:val="19"/>
          <w:szCs w:val="19"/>
          <w:color w:val="auto"/>
        </w:rPr>
        <w:t>Title: President, Chief Executive Officer and Chief Financial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Name: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5734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57340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 Secretary</w:t>
      </w:r>
    </w:p>
    <w:p>
      <w:pPr>
        <w:spacing w:after="0" w:line="200" w:lineRule="exact"/>
        <w:rPr>
          <w:sz w:val="20"/>
          <w:szCs w:val="20"/>
          <w:color w:val="auto"/>
        </w:rPr>
      </w:pPr>
    </w:p>
    <w:p>
      <w:pPr>
        <w:spacing w:after="0" w:line="231"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CERTIFICATE OF AUTHENTICATION</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This is one of the Securities of the series designated therein referred to in the within-mentioned Indenture.</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THE BANK OF NEW YORK MELLON TRUST COMPANY, N.A.,</w:t>
      </w:r>
    </w:p>
    <w:p>
      <w:pPr>
        <w:jc w:val="center"/>
        <w:ind w:right="500"/>
        <w:spacing w:after="0"/>
        <w:rPr>
          <w:sz w:val="20"/>
          <w:szCs w:val="20"/>
          <w:color w:val="auto"/>
        </w:rPr>
      </w:pPr>
      <w:r>
        <w:rPr>
          <w:rFonts w:ascii="Arial" w:cs="Arial" w:eastAsia="Arial" w:hAnsi="Arial"/>
          <w:sz w:val="21"/>
          <w:szCs w:val="21"/>
          <w:color w:val="auto"/>
        </w:rPr>
        <w:t>As Trustee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Dated: May 3, 2023</w:t>
      </w:r>
    </w:p>
    <w:p>
      <w:pPr>
        <w:ind w:left="4460"/>
        <w:spacing w:after="0" w:line="211" w:lineRule="auto"/>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-5715</wp:posOffset>
            </wp:positionV>
            <wp:extent cx="6743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21"/>
          <w:szCs w:val="21"/>
          <w:color w:val="auto"/>
        </w:rPr>
        <w:t>Authorized Signatory</w:t>
      </w:r>
    </w:p>
    <w:p>
      <w:pPr>
        <w:sectPr>
          <w:pgSz w:w="11900" w:h="16838" w:orient="portrait"/>
          <w:cols w:equalWidth="0" w:num="1">
            <w:col w:w="10340"/>
          </w:cols>
          <w:pgMar w:left="320" w:top="1380" w:right="1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1"/>
          <w:szCs w:val="21"/>
          <w:color w:val="auto"/>
        </w:rPr>
        <w:t>SCHEDULE A</w:t>
      </w:r>
    </w:p>
    <w:p>
      <w:pPr>
        <w:spacing w:after="0" w:line="210" w:lineRule="exact"/>
        <w:rPr>
          <w:sz w:val="20"/>
          <w:szCs w:val="20"/>
          <w:color w:val="auto"/>
        </w:rPr>
      </w:pPr>
    </w:p>
    <w:p>
      <w:pPr>
        <w:jc w:val="both"/>
        <w:ind w:firstLine="527"/>
        <w:spacing w:after="0" w:line="230" w:lineRule="auto"/>
        <w:rPr>
          <w:sz w:val="20"/>
          <w:szCs w:val="20"/>
          <w:color w:val="auto"/>
        </w:rPr>
      </w:pPr>
      <w:r>
        <w:rPr>
          <w:rFonts w:ascii="Arial" w:cs="Arial" w:eastAsia="Arial" w:hAnsi="Arial"/>
          <w:sz w:val="21"/>
          <w:szCs w:val="21"/>
          <w:color w:val="auto"/>
        </w:rPr>
        <w:t>The initial aggregate principal amount of Securities evidenced by the Certificate to which this Schedule is attached is $ . The notations on the following table evidence decreases and increases in the aggregate principal amount of Securities evidenced by such Certificate.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21"/>
                <w:szCs w:val="21"/>
                <w:color w:val="auto"/>
                <w:w w:val="93"/>
              </w:rPr>
              <w:t>Aggregate Principal</w:t>
            </w: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345"/>
        </w:trPr>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21"/>
                <w:szCs w:val="21"/>
                <w:color w:val="auto"/>
                <w:w w:val="93"/>
              </w:rPr>
              <w:t>Amount of Securities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2"/>
        </w:trPr>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1"/>
                <w:szCs w:val="21"/>
                <w:color w:val="auto"/>
                <w:w w:val="89"/>
              </w:rPr>
              <w:t>Decrease in Aggregate</w:t>
            </w:r>
          </w:p>
        </w:tc>
        <w:tc>
          <w:tcPr>
            <w:tcW w:w="2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1"/>
                <w:szCs w:val="21"/>
                <w:color w:val="auto"/>
                <w:w w:val="90"/>
              </w:rPr>
              <w:t>Increase in Aggregate</w:t>
            </w:r>
          </w:p>
        </w:tc>
        <w:tc>
          <w:tcPr>
            <w:tcW w:w="2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21"/>
                <w:szCs w:val="21"/>
                <w:color w:val="auto"/>
                <w:w w:val="94"/>
              </w:rPr>
              <w:t>Remaining After</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1"/>
                <w:szCs w:val="21"/>
                <w:color w:val="auto"/>
                <w:w w:val="95"/>
              </w:rPr>
              <w:t>Notation by</w:t>
            </w:r>
          </w:p>
        </w:tc>
      </w:tr>
      <w:tr>
        <w:trPr>
          <w:trHeight w:val="332"/>
        </w:trPr>
        <w:tc>
          <w:tcPr>
            <w:tcW w:w="1440" w:type="dxa"/>
            <w:vAlign w:val="bottom"/>
          </w:tcPr>
          <w:p>
            <w:pPr>
              <w:jc w:val="center"/>
              <w:spacing w:after="0"/>
              <w:rPr>
                <w:sz w:val="20"/>
                <w:szCs w:val="20"/>
                <w:color w:val="auto"/>
              </w:rPr>
            </w:pPr>
            <w:r>
              <w:rPr>
                <w:rFonts w:ascii="Arial" w:cs="Arial" w:eastAsia="Arial" w:hAnsi="Arial"/>
                <w:sz w:val="21"/>
                <w:szCs w:val="21"/>
                <w:color w:val="auto"/>
                <w:w w:val="91"/>
              </w:rPr>
              <w:t>Date of</w:t>
            </w:r>
          </w:p>
        </w:tc>
        <w:tc>
          <w:tcPr>
            <w:tcW w:w="2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1"/>
                <w:szCs w:val="21"/>
                <w:color w:val="auto"/>
                <w:w w:val="95"/>
              </w:rPr>
              <w:t>Principal Amount of</w:t>
            </w:r>
          </w:p>
        </w:tc>
        <w:tc>
          <w:tcPr>
            <w:tcW w:w="2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1"/>
                <w:szCs w:val="21"/>
                <w:color w:val="auto"/>
                <w:w w:val="95"/>
              </w:rPr>
              <w:t>Principal Amount of</w:t>
            </w:r>
          </w:p>
        </w:tc>
        <w:tc>
          <w:tcPr>
            <w:tcW w:w="2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21"/>
                <w:szCs w:val="21"/>
                <w:color w:val="auto"/>
                <w:w w:val="88"/>
              </w:rPr>
              <w:t>Such Decrease or</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1"/>
                <w:szCs w:val="21"/>
                <w:color w:val="auto"/>
                <w:w w:val="92"/>
              </w:rPr>
              <w:t>Security</w:t>
            </w:r>
          </w:p>
        </w:tc>
      </w:tr>
      <w:tr>
        <w:trPr>
          <w:trHeight w:val="332"/>
        </w:trPr>
        <w:tc>
          <w:tcPr>
            <w:tcW w:w="1440" w:type="dxa"/>
            <w:vAlign w:val="bottom"/>
          </w:tcPr>
          <w:p>
            <w:pPr>
              <w:jc w:val="center"/>
              <w:spacing w:after="0"/>
              <w:rPr>
                <w:sz w:val="20"/>
                <w:szCs w:val="20"/>
                <w:color w:val="auto"/>
              </w:rPr>
            </w:pPr>
            <w:r>
              <w:rPr>
                <w:rFonts w:ascii="Arial" w:cs="Arial" w:eastAsia="Arial" w:hAnsi="Arial"/>
                <w:sz w:val="21"/>
                <w:szCs w:val="21"/>
                <w:color w:val="auto"/>
                <w:w w:val="95"/>
              </w:rPr>
              <w:t>Adjustment</w:t>
            </w:r>
          </w:p>
        </w:tc>
        <w:tc>
          <w:tcPr>
            <w:tcW w:w="2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1"/>
                <w:szCs w:val="21"/>
                <w:color w:val="auto"/>
                <w:w w:val="91"/>
              </w:rPr>
              <w:t>Securities</w:t>
            </w:r>
          </w:p>
        </w:tc>
        <w:tc>
          <w:tcPr>
            <w:tcW w:w="2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1"/>
                <w:szCs w:val="21"/>
                <w:color w:val="auto"/>
                <w:w w:val="91"/>
              </w:rPr>
              <w:t>Securities</w:t>
            </w:r>
          </w:p>
        </w:tc>
        <w:tc>
          <w:tcPr>
            <w:tcW w:w="2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21"/>
                <w:szCs w:val="21"/>
                <w:color w:val="auto"/>
                <w:w w:val="89"/>
              </w:rPr>
              <w:t>Increase</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1"/>
                <w:szCs w:val="21"/>
                <w:color w:val="auto"/>
                <w:w w:val="91"/>
              </w:rPr>
              <w:t>Registrar</w:t>
            </w:r>
          </w:p>
        </w:tc>
      </w:tr>
      <w:tr>
        <w:trPr>
          <w:trHeight w:val="42"/>
        </w:trPr>
        <w:tc>
          <w:tcPr>
            <w:tcW w:w="1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80"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1"/>
          <w:szCs w:val="21"/>
          <w:color w:val="auto"/>
        </w:rPr>
        <w:t>[FORM OF REVERSE SIDE OF SECURITY]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CENTERPOINT ENERGY RESOURCES CORP.</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5.25% SENIOR NOTES DUE 2028</w:t>
      </w:r>
    </w:p>
    <w:p>
      <w:pPr>
        <w:spacing w:after="0" w:line="210"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9"/>
          <w:szCs w:val="19"/>
          <w:color w:val="auto"/>
        </w:rPr>
        <w:t>This Security is one of a duly authorized issue of securities of the Company (herein called the “</w:t>
      </w:r>
      <w:r>
        <w:rPr>
          <w:rFonts w:ascii="Arial" w:cs="Arial" w:eastAsia="Arial" w:hAnsi="Arial"/>
          <w:sz w:val="19"/>
          <w:szCs w:val="19"/>
          <w:u w:val="single" w:color="auto"/>
          <w:color w:val="auto"/>
        </w:rPr>
        <w:t>Securities</w:t>
      </w:r>
      <w:r>
        <w:rPr>
          <w:rFonts w:ascii="Arial" w:cs="Arial" w:eastAsia="Arial" w:hAnsi="Arial"/>
          <w:sz w:val="19"/>
          <w:szCs w:val="19"/>
          <w:color w:val="auto"/>
        </w:rPr>
        <w:t>”), issued and to be issued in one or more series under an Indenture, dated as of February 1, 1998</w:t>
      </w:r>
      <w:r>
        <w:rPr>
          <w:rFonts w:ascii="Arial" w:cs="Arial" w:eastAsia="Arial" w:hAnsi="Arial"/>
          <w:sz w:val="17"/>
          <w:szCs w:val="17"/>
          <w:color w:val="auto"/>
        </w:rPr>
        <w:t>,</w:t>
      </w:r>
      <w:r>
        <w:rPr>
          <w:rFonts w:ascii="Arial" w:cs="Arial" w:eastAsia="Arial" w:hAnsi="Arial"/>
          <w:sz w:val="19"/>
          <w:szCs w:val="19"/>
          <w:color w:val="auto"/>
        </w:rPr>
        <w:t xml:space="preserve"> as previously supplemented and amended including</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by the Supplemental Indenture No. 23, dated as of February 23, 2023 and by the Supplemental Indenture No. 24, dated as of May 3, 2023 (collectively herein called the “</w:t>
      </w:r>
      <w:r>
        <w:rPr>
          <w:rFonts w:ascii="Arial" w:cs="Arial" w:eastAsia="Arial" w:hAnsi="Arial"/>
          <w:sz w:val="19"/>
          <w:szCs w:val="19"/>
          <w:u w:val="single" w:color="auto"/>
          <w:color w:val="auto"/>
        </w:rPr>
        <w:t>Indenture</w:t>
      </w:r>
      <w:r>
        <w:rPr>
          <w:rFonts w:ascii="Arial" w:cs="Arial" w:eastAsia="Arial" w:hAnsi="Arial"/>
          <w:sz w:val="19"/>
          <w:szCs w:val="19"/>
          <w:color w:val="auto"/>
        </w:rPr>
        <w:t>,” which term shall have the meaning assigned to it in such instrument), between the Company and The Bank of New York Mellon Trust Company, N.A. (successor to JPMorgan Chase Bank, National Association (formerly Chase Bank of Texas, National Association)), as Trustee (herein called the “</w:t>
      </w:r>
      <w:r>
        <w:rPr>
          <w:rFonts w:ascii="Arial" w:cs="Arial" w:eastAsia="Arial" w:hAnsi="Arial"/>
          <w:sz w:val="19"/>
          <w:szCs w:val="19"/>
          <w:u w:val="single" w:color="auto"/>
          <w:color w:val="auto"/>
        </w:rPr>
        <w:t>Trustee</w:t>
      </w:r>
      <w:r>
        <w:rPr>
          <w:rFonts w:ascii="Arial" w:cs="Arial" w:eastAsia="Arial" w:hAnsi="Arial"/>
          <w:sz w:val="19"/>
          <w:szCs w:val="19"/>
          <w:color w:val="auto"/>
        </w:rPr>
        <w:t xml:space="preserv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$600,000,000, which limit was subsequently increased to $900,000,000 by a Board Resolution to such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authorized aggregate principal amount of the Securities may be further increased above such amount by a Board Resolution to such effect.</w:t>
      </w:r>
    </w:p>
    <w:p>
      <w:pPr>
        <w:spacing w:after="0" w:line="188" w:lineRule="exact"/>
        <w:rPr>
          <w:sz w:val="20"/>
          <w:szCs w:val="20"/>
          <w:color w:val="auto"/>
        </w:rPr>
      </w:pPr>
    </w:p>
    <w:p>
      <w:pPr>
        <w:jc w:val="both"/>
        <w:ind w:firstLine="638"/>
        <w:spacing w:after="0" w:line="237" w:lineRule="auto"/>
        <w:rPr>
          <w:sz w:val="20"/>
          <w:szCs w:val="20"/>
          <w:color w:val="auto"/>
        </w:rPr>
      </w:pPr>
      <w:r>
        <w:rPr>
          <w:rFonts w:ascii="Arial" w:cs="Arial" w:eastAsia="Arial" w:hAnsi="Arial"/>
          <w:sz w:val="19"/>
          <w:szCs w:val="19"/>
          <w:color w:val="auto"/>
        </w:rPr>
        <w:t>Prior to February 1, 2028 (the “</w:t>
      </w:r>
      <w:r>
        <w:rPr>
          <w:rFonts w:ascii="Arial" w:cs="Arial" w:eastAsia="Arial" w:hAnsi="Arial"/>
          <w:sz w:val="19"/>
          <w:szCs w:val="19"/>
          <w:u w:val="single" w:color="auto"/>
          <w:color w:val="auto"/>
        </w:rPr>
        <w:t>Par Call Date</w:t>
      </w:r>
      <w:r>
        <w:rPr>
          <w:rFonts w:ascii="Arial" w:cs="Arial" w:eastAsia="Arial" w:hAnsi="Arial"/>
          <w:sz w:val="19"/>
          <w:szCs w:val="19"/>
          <w:color w:val="auto"/>
        </w:rPr>
        <w:t>”), the Company may redeem this Security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this Security, or such portion to be redeemed, matured on the Par Call Date) on a semi-annual basis (assuming a 360-day year consisting of twelve 30-day months) at the Treasury Rate plus 20 basis points less</w:t>
      </w:r>
    </w:p>
    <w:p>
      <w:pPr>
        <w:spacing w:after="0" w:line="2" w:lineRule="exact"/>
        <w:rPr>
          <w:sz w:val="20"/>
          <w:szCs w:val="20"/>
          <w:color w:val="auto"/>
        </w:rPr>
      </w:pPr>
    </w:p>
    <w:p>
      <w:pPr>
        <w:ind w:firstLine="6"/>
        <w:spacing w:after="0" w:line="231" w:lineRule="auto"/>
        <w:tabs>
          <w:tab w:leader="none" w:pos="310" w:val="left"/>
        </w:tabs>
        <w:numPr>
          <w:ilvl w:val="0"/>
          <w:numId w:val="56"/>
        </w:numPr>
        <w:rPr>
          <w:rFonts w:ascii="Arial" w:cs="Arial" w:eastAsia="Arial" w:hAnsi="Arial"/>
          <w:sz w:val="21"/>
          <w:szCs w:val="21"/>
          <w:color w:val="auto"/>
        </w:rPr>
      </w:pPr>
      <w:r>
        <w:rPr>
          <w:rFonts w:ascii="Arial" w:cs="Arial" w:eastAsia="Arial" w:hAnsi="Arial"/>
          <w:sz w:val="21"/>
          <w:szCs w:val="21"/>
          <w:color w:val="auto"/>
        </w:rPr>
        <w:t>interest accrued to the date of redemption, and (2) 100% of the principal amount of this Security to be redeemed; plus, in each case, accrued and unpaid interest thereon to, but excluding, the Redemption Date.</w:t>
      </w:r>
    </w:p>
    <w:p>
      <w:pPr>
        <w:spacing w:after="0" w:line="181" w:lineRule="exact"/>
        <w:rPr>
          <w:sz w:val="20"/>
          <w:szCs w:val="20"/>
          <w:color w:val="auto"/>
        </w:rPr>
      </w:pPr>
    </w:p>
    <w:p>
      <w:pPr>
        <w:jc w:val="both"/>
        <w:ind w:firstLine="638"/>
        <w:spacing w:after="0" w:line="225" w:lineRule="auto"/>
        <w:rPr>
          <w:sz w:val="20"/>
          <w:szCs w:val="20"/>
          <w:color w:val="auto"/>
        </w:rPr>
      </w:pPr>
      <w:r>
        <w:rPr>
          <w:rFonts w:ascii="Arial" w:cs="Arial" w:eastAsia="Arial" w:hAnsi="Arial"/>
          <w:sz w:val="21"/>
          <w:szCs w:val="21"/>
          <w:color w:val="auto"/>
        </w:rPr>
        <w:t>On or after the Par Call Date, the Company may redeem this Security, in whole or in part, at any time and from time to time, at a redemption price equal to 100% of the principal amount of this Security (or such portion to be redeemed) plus accrued and unpaid interest on the principal amount being redeemed, if any, to, but excluding, the Redemption Date. The Trustee shall have no responsibility for the calculation of such amount.</w:t>
      </w:r>
    </w:p>
    <w:p>
      <w:pPr>
        <w:spacing w:after="0" w:line="183" w:lineRule="exact"/>
        <w:rPr>
          <w:sz w:val="20"/>
          <w:szCs w:val="20"/>
          <w:color w:val="auto"/>
        </w:rPr>
      </w:pPr>
    </w:p>
    <w:p>
      <w:pPr>
        <w:jc w:val="both"/>
        <w:ind w:firstLine="63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Treasury Rate</w:t>
      </w:r>
      <w:r>
        <w:rPr>
          <w:rFonts w:ascii="Arial" w:cs="Arial" w:eastAsia="Arial" w:hAnsi="Arial"/>
          <w:sz w:val="21"/>
          <w:szCs w:val="21"/>
          <w:color w:val="auto"/>
        </w:rPr>
        <w:t>” means, with respect to any Redemption Date, the yield determined by the Company in accordance with the following two paragraphs.</w:t>
      </w:r>
    </w:p>
    <w:p>
      <w:pPr>
        <w:spacing w:after="0" w:line="181" w:lineRule="exact"/>
        <w:rPr>
          <w:sz w:val="20"/>
          <w:szCs w:val="20"/>
          <w:color w:val="auto"/>
        </w:rPr>
      </w:pPr>
    </w:p>
    <w:p>
      <w:pPr>
        <w:jc w:val="both"/>
        <w:ind w:firstLine="638"/>
        <w:spacing w:after="0" w:line="218" w:lineRule="auto"/>
        <w:rPr>
          <w:sz w:val="20"/>
          <w:szCs w:val="20"/>
          <w:color w:val="auto"/>
        </w:rPr>
      </w:pPr>
      <w:r>
        <w:rPr>
          <w:rFonts w:ascii="Arial" w:cs="Arial" w:eastAsia="Arial" w:hAnsi="Arial"/>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Arial" w:cs="Arial" w:eastAsia="Arial" w:hAnsi="Arial"/>
          <w:sz w:val="21"/>
          <w:szCs w:val="21"/>
          <w:u w:val="single" w:color="auto"/>
          <w:color w:val="auto"/>
        </w:rPr>
        <w:t>H.15</w:t>
      </w:r>
      <w:r>
        <w:rPr>
          <w:rFonts w:ascii="Arial" w:cs="Arial" w:eastAsia="Arial" w:hAnsi="Arial"/>
          <w:sz w:val="21"/>
          <w:szCs w:val="21"/>
          <w:color w:val="auto"/>
        </w:rPr>
        <w:t>”) under the caption “U.S. government securities– Treasury constant maturities–Nominal” (or any successor caption or heading) (“</w:t>
      </w:r>
      <w:r>
        <w:rPr>
          <w:rFonts w:ascii="Arial" w:cs="Arial" w:eastAsia="Arial" w:hAnsi="Arial"/>
          <w:sz w:val="21"/>
          <w:szCs w:val="21"/>
          <w:u w:val="single" w:color="auto"/>
          <w:color w:val="auto"/>
        </w:rPr>
        <w:t>H.15 TCM</w:t>
      </w:r>
      <w:r>
        <w:rPr>
          <w:rFonts w:ascii="Arial" w:cs="Arial" w:eastAsia="Arial" w:hAnsi="Arial"/>
          <w:sz w:val="21"/>
          <w:szCs w:val="21"/>
          <w:color w:val="auto"/>
        </w:rPr>
        <w:t>”). In determining the Treasury Rate, the Company shall select, as applicable: (1) the yield for the Treasury constant maturity on H.15 exactly equal to the period from the Redemption Date to the</w:t>
      </w:r>
    </w:p>
    <w:p>
      <w:pPr>
        <w:sectPr>
          <w:pgSz w:w="11900" w:h="16838" w:orient="portrait"/>
          <w:cols w:equalWidth="0" w:num="1">
            <w:col w:w="11240"/>
          </w:cols>
          <w:pgMar w:left="320" w:top="1380" w:right="339" w:bottom="1440" w:gutter="0" w:footer="0" w:header="0"/>
        </w:sectPr>
      </w:pPr>
    </w:p>
    <w:bookmarkStart w:id="105" w:name="page106"/>
    <w:bookmarkEnd w:id="105"/>
    <w:p>
      <w:pPr>
        <w:jc w:val="both"/>
        <w:spacing w:after="0" w:line="229" w:lineRule="auto"/>
        <w:rPr>
          <w:sz w:val="20"/>
          <w:szCs w:val="20"/>
          <w:color w:val="auto"/>
        </w:rPr>
      </w:pPr>
      <w:r>
        <w:rPr>
          <w:rFonts w:ascii="Arial" w:cs="Arial" w:eastAsia="Arial" w:hAnsi="Arial"/>
          <w:sz w:val="20"/>
          <w:szCs w:val="20"/>
          <w:color w:val="auto"/>
        </w:rPr>
        <w:t>Par Call Date (the “</w:t>
      </w:r>
      <w:r>
        <w:rPr>
          <w:rFonts w:ascii="Arial" w:cs="Arial" w:eastAsia="Arial" w:hAnsi="Arial"/>
          <w:sz w:val="20"/>
          <w:szCs w:val="20"/>
          <w:u w:val="single" w:color="auto"/>
          <w:color w:val="auto"/>
        </w:rPr>
        <w:t>Remaining Life</w:t>
      </w:r>
      <w:r>
        <w:rPr>
          <w:rFonts w:ascii="Arial" w:cs="Arial" w:eastAsia="Arial" w:hAnsi="Arial"/>
          <w:sz w:val="20"/>
          <w:szCs w:val="20"/>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3" w:lineRule="exact"/>
        <w:rPr>
          <w:sz w:val="20"/>
          <w:szCs w:val="20"/>
          <w:color w:val="auto"/>
        </w:rPr>
      </w:pPr>
    </w:p>
    <w:p>
      <w:pPr>
        <w:jc w:val="both"/>
        <w:ind w:firstLine="638"/>
        <w:spacing w:after="0" w:line="238" w:lineRule="auto"/>
        <w:rPr>
          <w:sz w:val="20"/>
          <w:szCs w:val="20"/>
          <w:color w:val="auto"/>
        </w:rPr>
      </w:pPr>
      <w:r>
        <w:rPr>
          <w:rFonts w:ascii="Arial" w:cs="Arial" w:eastAsia="Arial" w:hAnsi="Arial"/>
          <w:sz w:val="19"/>
          <w:szCs w:val="19"/>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1" w:lineRule="exact"/>
        <w:rPr>
          <w:sz w:val="20"/>
          <w:szCs w:val="20"/>
          <w:color w:val="auto"/>
        </w:rPr>
      </w:pPr>
    </w:p>
    <w:p>
      <w:pPr>
        <w:jc w:val="both"/>
        <w:ind w:firstLine="638"/>
        <w:spacing w:after="0"/>
        <w:rPr>
          <w:sz w:val="20"/>
          <w:szCs w:val="20"/>
          <w:color w:val="auto"/>
        </w:rPr>
      </w:pPr>
      <w:r>
        <w:rPr>
          <w:rFonts w:ascii="Arial" w:cs="Arial" w:eastAsia="Arial" w:hAnsi="Arial"/>
          <w:sz w:val="21"/>
          <w:szCs w:val="21"/>
          <w:color w:val="auto"/>
        </w:rPr>
        <w:t>The Company’s actions and determinations in determining the redemption price shall be conclusive and binding for all purposes, absent manifest error. The Trustee shall have no responsibility for the calculation of such amount.</w:t>
      </w:r>
    </w:p>
    <w:p>
      <w:pPr>
        <w:spacing w:after="0" w:line="155" w:lineRule="exact"/>
        <w:rPr>
          <w:sz w:val="20"/>
          <w:szCs w:val="20"/>
          <w:color w:val="auto"/>
        </w:rPr>
      </w:pPr>
    </w:p>
    <w:p>
      <w:pPr>
        <w:jc w:val="both"/>
        <w:ind w:firstLine="638"/>
        <w:spacing w:after="0"/>
        <w:rPr>
          <w:sz w:val="20"/>
          <w:szCs w:val="20"/>
          <w:color w:val="auto"/>
        </w:rPr>
      </w:pPr>
      <w:r>
        <w:rPr>
          <w:rFonts w:ascii="Arial" w:cs="Arial" w:eastAsia="Arial" w:hAnsi="Arial"/>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Securities of this series are not entitled to the benefit of any sinking fund.</w:t>
      </w:r>
    </w:p>
    <w:p>
      <w:pPr>
        <w:spacing w:after="0" w:line="184" w:lineRule="exact"/>
        <w:rPr>
          <w:sz w:val="20"/>
          <w:szCs w:val="20"/>
          <w:color w:val="auto"/>
        </w:rPr>
      </w:pPr>
    </w:p>
    <w:p>
      <w:pPr>
        <w:jc w:val="both"/>
        <w:ind w:firstLine="638"/>
        <w:spacing w:after="0"/>
        <w:rPr>
          <w:sz w:val="20"/>
          <w:szCs w:val="20"/>
          <w:color w:val="auto"/>
        </w:rPr>
      </w:pPr>
      <w:r>
        <w:rPr>
          <w:rFonts w:ascii="Arial" w:cs="Arial" w:eastAsia="Arial" w:hAnsi="Arial"/>
          <w:sz w:val="21"/>
          <w:szCs w:val="21"/>
          <w:color w:val="auto"/>
        </w:rPr>
        <w:t>The Indenture contains provisions for satisfaction and discharge of the entire indebtedness of this Security upon compliance by the Company with certain conditions set forth in the Indenture.</w:t>
      </w:r>
    </w:p>
    <w:p>
      <w:pPr>
        <w:spacing w:after="0" w:line="155"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56" w:lineRule="exact"/>
        <w:rPr>
          <w:sz w:val="20"/>
          <w:szCs w:val="20"/>
          <w:color w:val="auto"/>
        </w:rPr>
      </w:pPr>
    </w:p>
    <w:p>
      <w:pPr>
        <w:jc w:val="both"/>
        <w:ind w:firstLine="638"/>
        <w:spacing w:after="0"/>
        <w:rPr>
          <w:sz w:val="20"/>
          <w:szCs w:val="20"/>
          <w:color w:val="auto"/>
        </w:rPr>
      </w:pPr>
      <w:r>
        <w:rPr>
          <w:rFonts w:ascii="Arial" w:cs="Arial" w:eastAsia="Arial" w:hAnsi="Arial"/>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ectPr>
          <w:pgSz w:w="11900" w:h="16838" w:orient="portrait"/>
          <w:cols w:equalWidth="0" w:num="1">
            <w:col w:w="11240"/>
          </w:cols>
          <w:pgMar w:left="320" w:top="1380" w:right="339" w:bottom="1440" w:gutter="0" w:footer="0" w:header="0"/>
        </w:sectPr>
      </w:pPr>
    </w:p>
    <w:bookmarkStart w:id="106" w:name="page107"/>
    <w:bookmarkEnd w:id="106"/>
    <w:p>
      <w:pPr>
        <w:jc w:val="both"/>
        <w:ind w:firstLine="638"/>
        <w:spacing w:after="0"/>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5" w:lineRule="exact"/>
        <w:rPr>
          <w:sz w:val="20"/>
          <w:szCs w:val="20"/>
          <w:color w:val="auto"/>
        </w:rPr>
      </w:pPr>
    </w:p>
    <w:p>
      <w:pPr>
        <w:jc w:val="both"/>
        <w:ind w:firstLine="290"/>
        <w:spacing w:after="0" w:line="227" w:lineRule="auto"/>
        <w:rPr>
          <w:sz w:val="20"/>
          <w:szCs w:val="20"/>
          <w:color w:val="auto"/>
        </w:rPr>
      </w:pPr>
      <w:r>
        <w:rPr>
          <w:rFonts w:ascii="Arial" w:cs="Arial" w:eastAsia="Arial" w:hAnsi="Arial"/>
          <w:sz w:val="20"/>
          <w:szCs w:val="20"/>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2"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56" w:lineRule="exact"/>
        <w:rPr>
          <w:sz w:val="20"/>
          <w:szCs w:val="20"/>
          <w:color w:val="auto"/>
        </w:rPr>
      </w:pPr>
    </w:p>
    <w:p>
      <w:pPr>
        <w:jc w:val="both"/>
        <w:ind w:firstLine="638"/>
        <w:spacing w:after="0" w:line="229" w:lineRule="auto"/>
        <w:rPr>
          <w:sz w:val="20"/>
          <w:szCs w:val="20"/>
          <w:color w:val="auto"/>
        </w:rPr>
      </w:pPr>
      <w:r>
        <w:rPr>
          <w:rFonts w:ascii="Arial" w:cs="Arial" w:eastAsia="Arial" w:hAnsi="Arial"/>
          <w:sz w:val="20"/>
          <w:szCs w:val="20"/>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spacing w:after="0" w:line="157" w:lineRule="exact"/>
        <w:rPr>
          <w:sz w:val="20"/>
          <w:szCs w:val="20"/>
          <w:color w:val="auto"/>
        </w:rPr>
      </w:pPr>
    </w:p>
    <w:p>
      <w:pPr>
        <w:jc w:val="both"/>
        <w:ind w:firstLine="638"/>
        <w:spacing w:after="0" w:line="225" w:lineRule="auto"/>
        <w:rPr>
          <w:sz w:val="20"/>
          <w:szCs w:val="20"/>
          <w:color w:val="auto"/>
        </w:rPr>
      </w:pPr>
      <w:r>
        <w:rPr>
          <w:rFonts w:ascii="Arial" w:cs="Arial" w:eastAsia="Arial" w:hAnsi="Arial"/>
          <w:sz w:val="21"/>
          <w:szCs w:val="21"/>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57"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The Securities of this series are issuable only in registered form without coupons in minimum denominations of $2,000 principal amount and integral multiples of $1,000 principal amount in excess thereof. As provided in the Indenture and subject to certain limitations therein</w:t>
      </w:r>
    </w:p>
    <w:p>
      <w:pPr>
        <w:sectPr>
          <w:pgSz w:w="11900" w:h="16838" w:orient="portrait"/>
          <w:cols w:equalWidth="0" w:num="1">
            <w:col w:w="11240"/>
          </w:cols>
          <w:pgMar w:left="320" w:top="1380" w:right="339" w:bottom="1440" w:gutter="0" w:footer="0" w:header="0"/>
        </w:sectPr>
      </w:pPr>
    </w:p>
    <w:bookmarkStart w:id="107" w:name="page108"/>
    <w:bookmarkEnd w:id="107"/>
    <w:p>
      <w:pPr>
        <w:spacing w:after="0"/>
        <w:rPr>
          <w:sz w:val="20"/>
          <w:szCs w:val="20"/>
          <w:color w:val="auto"/>
        </w:rPr>
      </w:pPr>
      <w:r>
        <w:rPr>
          <w:rFonts w:ascii="Arial" w:cs="Arial" w:eastAsia="Arial" w:hAnsi="Arial"/>
          <w:sz w:val="21"/>
          <w:szCs w:val="21"/>
          <w:color w:val="auto"/>
        </w:rPr>
        <w:t>set forth, Securities of this series are exchangeable for a like aggregate principal amount of Securities of this series and of like tenor of a different authorized denomination, as requested by the Holder surrendering the same.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All terms used in this Security which are defined in the Indenture shall have the meanings assigned to them in the Indenture.</w:t>
      </w:r>
    </w:p>
    <w:p>
      <w:pPr>
        <w:spacing w:after="0" w:line="206" w:lineRule="exact"/>
        <w:rPr>
          <w:sz w:val="20"/>
          <w:szCs w:val="20"/>
          <w:color w:val="auto"/>
        </w:rPr>
      </w:pPr>
    </w:p>
    <w:p>
      <w:pPr>
        <w:ind w:firstLine="638"/>
        <w:spacing w:after="0"/>
        <w:rPr>
          <w:sz w:val="20"/>
          <w:szCs w:val="20"/>
          <w:color w:val="auto"/>
        </w:rPr>
      </w:pPr>
      <w:r>
        <w:rPr>
          <w:rFonts w:ascii="Arial" w:cs="Arial" w:eastAsia="Arial" w:hAnsi="Arial"/>
          <w:sz w:val="21"/>
          <w:szCs w:val="21"/>
          <w:color w:val="auto"/>
        </w:rPr>
        <w:t>THE INDENTURE AND THIS SECURITY SHALL BE GOVERNED BY AND CONSTRUED IN ACCORDANCE WITH THE LAWS OF THE STATE OF NEW YORK.</w:t>
      </w:r>
    </w:p>
    <w:p>
      <w:pPr>
        <w:sectPr>
          <w:pgSz w:w="11900" w:h="16838" w:orient="portrait"/>
          <w:cols w:equalWidth="0" w:num="1">
            <w:col w:w="11240"/>
          </w:cols>
          <w:pgMar w:left="320" w:top="1380" w:right="339" w:bottom="1440" w:gutter="0" w:footer="0" w:header="0"/>
        </w:sectPr>
      </w:pPr>
    </w:p>
    <w:bookmarkStart w:id="108" w:name="page109"/>
    <w:bookmarkEnd w:id="108"/>
    <w:p>
      <w:pPr>
        <w:ind w:left="360"/>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w:t>
      </w:r>
    </w:p>
    <w:p>
      <w:pPr>
        <w:jc w:val="center"/>
        <w:spacing w:after="0"/>
        <w:rPr>
          <w:sz w:val="20"/>
          <w:szCs w:val="20"/>
          <w:color w:val="auto"/>
        </w:rPr>
      </w:pPr>
      <w:r>
        <w:rPr>
          <w:rFonts w:ascii="Arial" w:cs="Arial" w:eastAsia="Arial" w:hAnsi="Arial"/>
          <w:sz w:val="21"/>
          <w:szCs w:val="21"/>
          <w:b w:val="1"/>
          <w:bCs w:val="1"/>
          <w:color w:val="auto"/>
        </w:rPr>
        <w:t>SECOND AMENDED AND RESTATED CREDIT AGREEMENT</w:t>
      </w:r>
    </w:p>
    <w:p>
      <w:pPr>
        <w:spacing w:after="0" w:line="166" w:lineRule="exact"/>
        <w:rPr>
          <w:sz w:val="20"/>
          <w:szCs w:val="20"/>
          <w:color w:val="auto"/>
        </w:rPr>
      </w:pPr>
    </w:p>
    <w:p>
      <w:pPr>
        <w:jc w:val="both"/>
        <w:ind w:firstLine="434"/>
        <w:spacing w:after="0" w:line="230" w:lineRule="auto"/>
        <w:rPr>
          <w:sz w:val="20"/>
          <w:szCs w:val="20"/>
          <w:color w:val="auto"/>
        </w:rPr>
      </w:pPr>
      <w:r>
        <w:rPr>
          <w:rFonts w:ascii="Arial" w:cs="Arial" w:eastAsia="Arial" w:hAnsi="Arial"/>
          <w:sz w:val="21"/>
          <w:szCs w:val="21"/>
          <w:color w:val="auto"/>
        </w:rPr>
        <w:t>This FIRST AMENDMENT TO SECOND AMENDED AND RESTATED CREDIT AGREEMENT dated as of July 26, 2023 (this “</w:t>
      </w:r>
      <w:r>
        <w:rPr>
          <w:rFonts w:ascii="Arial" w:cs="Arial" w:eastAsia="Arial" w:hAnsi="Arial"/>
          <w:sz w:val="21"/>
          <w:szCs w:val="21"/>
          <w:u w:val="single" w:color="auto"/>
          <w:color w:val="auto"/>
        </w:rPr>
        <w:t>Amendment</w:t>
      </w:r>
      <w:r>
        <w:rPr>
          <w:rFonts w:ascii="Arial" w:cs="Arial" w:eastAsia="Arial" w:hAnsi="Arial"/>
          <w:sz w:val="21"/>
          <w:szCs w:val="21"/>
          <w:color w:val="auto"/>
        </w:rPr>
        <w:t>”), is by and among CENTERPOINT ENERGY, INC., a Texas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and each Bank party hereto.</w:t>
      </w:r>
    </w:p>
    <w:p>
      <w:pPr>
        <w:spacing w:after="0" w:line="156"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9"/>
          <w:szCs w:val="19"/>
          <w:color w:val="auto"/>
        </w:rPr>
        <w:t>WHEREAS, the Borrower, the Banks, the Issuing Banks and JPMorgan Chase Bank, N.A., as the Administrative Agent, are parties to the Second Amended and Restated Credit Agreement dated as of December 6, 2022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w:t>
      </w:r>
    </w:p>
    <w:p>
      <w:pPr>
        <w:spacing w:after="0" w:line="108" w:lineRule="exact"/>
        <w:rPr>
          <w:sz w:val="20"/>
          <w:szCs w:val="20"/>
          <w:color w:val="auto"/>
        </w:rPr>
      </w:pPr>
    </w:p>
    <w:p>
      <w:pPr>
        <w:jc w:val="both"/>
        <w:ind w:firstLine="434"/>
        <w:spacing w:after="0" w:line="230" w:lineRule="auto"/>
        <w:rPr>
          <w:sz w:val="20"/>
          <w:szCs w:val="20"/>
          <w:color w:val="auto"/>
        </w:rPr>
      </w:pPr>
      <w:r>
        <w:rPr>
          <w:rFonts w:ascii="Arial" w:cs="Arial" w:eastAsia="Arial" w:hAnsi="Arial"/>
          <w:sz w:val="21"/>
          <w:szCs w:val="21"/>
          <w:color w:val="auto"/>
        </w:rPr>
        <w:t>WHEREAS, the Borrower has requested an amendment to the Credit Agreement, and the Borrower and the Banks party hereto desire to amend the Credit Agreement to effect such amendment as and upon the terms and subject to the conditions set forth herein (the Credit Agreement, as amended hereby, the “</w:t>
      </w:r>
      <w:r>
        <w:rPr>
          <w:rFonts w:ascii="Arial" w:cs="Arial" w:eastAsia="Arial" w:hAnsi="Arial"/>
          <w:sz w:val="21"/>
          <w:szCs w:val="21"/>
          <w:u w:val="single" w:color="auto"/>
          <w:color w:val="auto"/>
        </w:rPr>
        <w:t>Amended Credit Agreement</w:t>
      </w:r>
      <w:r>
        <w:rPr>
          <w:rFonts w:ascii="Arial" w:cs="Arial" w:eastAsia="Arial" w:hAnsi="Arial"/>
          <w:sz w:val="21"/>
          <w:szCs w:val="21"/>
          <w:color w:val="auto"/>
        </w:rPr>
        <w:t>”).</w:t>
      </w:r>
    </w:p>
    <w:p>
      <w:pPr>
        <w:spacing w:after="0" w:line="156" w:lineRule="exact"/>
        <w:rPr>
          <w:sz w:val="20"/>
          <w:szCs w:val="20"/>
          <w:color w:val="auto"/>
        </w:rPr>
      </w:pPr>
    </w:p>
    <w:p>
      <w:pPr>
        <w:jc w:val="both"/>
        <w:ind w:firstLine="434"/>
        <w:spacing w:after="0"/>
        <w:rPr>
          <w:sz w:val="20"/>
          <w:szCs w:val="20"/>
          <w:color w:val="auto"/>
        </w:rPr>
      </w:pPr>
      <w:r>
        <w:rPr>
          <w:rFonts w:ascii="Arial" w:cs="Arial" w:eastAsia="Arial" w:hAnsi="Arial"/>
          <w:sz w:val="21"/>
          <w:szCs w:val="21"/>
          <w:color w:val="auto"/>
        </w:rPr>
        <w:t>NOW, THEREFORE, for good and valuable consideration, the receipt and sufficiency of which are hereby acknowledged, the parties hereto hereby agree as follows:</w:t>
      </w:r>
    </w:p>
    <w:p>
      <w:pPr>
        <w:spacing w:after="0" w:line="155" w:lineRule="exact"/>
        <w:rPr>
          <w:sz w:val="20"/>
          <w:szCs w:val="20"/>
          <w:color w:val="auto"/>
        </w:rPr>
      </w:pPr>
    </w:p>
    <w:p>
      <w:pPr>
        <w:jc w:val="both"/>
        <w:ind w:firstLine="434"/>
        <w:spacing w:after="0" w:line="230"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Definitions</w:t>
      </w:r>
      <w:r>
        <w:rPr>
          <w:rFonts w:ascii="Arial" w:cs="Arial" w:eastAsia="Arial" w:hAnsi="Arial"/>
          <w:sz w:val="21"/>
          <w:szCs w:val="21"/>
          <w:color w:val="auto"/>
        </w:rPr>
        <w:t>. Unless otherwise defined in this Amendment, capitalized terms used in this Amendment that are defined in the Credit Agreement, shall have the meanings assigned to such terms in the Credit Agreement. The interpretive provisions set forth in Section 1.3 of the Credit Agreement shall apply to this Amendment.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Amendment to the Credit Agreement</w:t>
      </w:r>
      <w:r>
        <w:rPr>
          <w:rFonts w:ascii="Arial" w:cs="Arial" w:eastAsia="Arial" w:hAnsi="Arial"/>
          <w:sz w:val="21"/>
          <w:szCs w:val="21"/>
          <w:color w:val="auto"/>
        </w:rPr>
        <w:t>. Effective as of the Amendment Effective Date:</w:t>
      </w:r>
    </w:p>
    <w:p>
      <w:pPr>
        <w:spacing w:after="0" w:line="184" w:lineRule="exact"/>
        <w:rPr>
          <w:sz w:val="20"/>
          <w:szCs w:val="20"/>
          <w:color w:val="auto"/>
        </w:rPr>
      </w:pPr>
    </w:p>
    <w:p>
      <w:pPr>
        <w:ind w:left="720" w:right="640" w:hanging="315"/>
        <w:spacing w:after="0"/>
        <w:tabs>
          <w:tab w:leader="none" w:pos="720" w:val="left"/>
        </w:tabs>
        <w:numPr>
          <w:ilvl w:val="0"/>
          <w:numId w:val="57"/>
        </w:numPr>
        <w:rPr>
          <w:rFonts w:ascii="Arial" w:cs="Arial" w:eastAsia="Arial" w:hAnsi="Arial"/>
          <w:sz w:val="21"/>
          <w:szCs w:val="21"/>
          <w:color w:val="auto"/>
        </w:rPr>
      </w:pPr>
      <w:r>
        <w:rPr>
          <w:rFonts w:ascii="Arial" w:cs="Arial" w:eastAsia="Arial" w:hAnsi="Arial"/>
          <w:sz w:val="21"/>
          <w:szCs w:val="21"/>
          <w:color w:val="auto"/>
        </w:rPr>
        <w:t>Section 8.1(f) of the Credit Agreement is hereby amended by replacing the following text contained in clause (ii) thereof:</w:t>
      </w:r>
    </w:p>
    <w:p>
      <w:pPr>
        <w:spacing w:after="0" w:line="155" w:lineRule="exact"/>
        <w:rPr>
          <w:sz w:val="20"/>
          <w:szCs w:val="20"/>
          <w:color w:val="auto"/>
        </w:rPr>
      </w:pPr>
    </w:p>
    <w:p>
      <w:pPr>
        <w:jc w:val="both"/>
        <w:ind w:left="1280" w:right="640" w:firstLine="434"/>
        <w:spacing w:after="0" w:line="237" w:lineRule="auto"/>
        <w:rPr>
          <w:sz w:val="20"/>
          <w:szCs w:val="20"/>
          <w:color w:val="auto"/>
        </w:rPr>
      </w:pPr>
      <w:r>
        <w:rPr>
          <w:rFonts w:ascii="Arial" w:cs="Arial" w:eastAsia="Arial" w:hAnsi="Arial"/>
          <w:sz w:val="20"/>
          <w:szCs w:val="20"/>
          <w:color w:val="auto"/>
        </w:rPr>
        <w:t>“any default, event or condition shall have occurred and be continuing with respect to any Indebtedness for Borrowed Money, Secured Indebtedness or Junior Subordinated Debt of the Borrower or any Significant Subsidiary (other than Indebtedness of the Borrower under this Agreement), the effect of which default, event or condition is to cause, or to permit the holder thereof to cause”</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21"/>
          <w:szCs w:val="21"/>
          <w:color w:val="auto"/>
        </w:rPr>
        <w:t>with the following text:</w:t>
      </w:r>
    </w:p>
    <w:p>
      <w:pPr>
        <w:spacing w:after="0" w:line="184" w:lineRule="exact"/>
        <w:rPr>
          <w:sz w:val="20"/>
          <w:szCs w:val="20"/>
          <w:color w:val="auto"/>
        </w:rPr>
      </w:pPr>
    </w:p>
    <w:p>
      <w:pPr>
        <w:jc w:val="both"/>
        <w:ind w:left="1280" w:right="640" w:firstLine="434"/>
        <w:spacing w:after="0" w:line="217" w:lineRule="auto"/>
        <w:rPr>
          <w:sz w:val="20"/>
          <w:szCs w:val="20"/>
          <w:color w:val="auto"/>
        </w:rPr>
      </w:pPr>
      <w:r>
        <w:rPr>
          <w:rFonts w:ascii="Arial" w:cs="Arial" w:eastAsia="Arial" w:hAnsi="Arial"/>
          <w:sz w:val="21"/>
          <w:szCs w:val="21"/>
          <w:color w:val="auto"/>
        </w:rPr>
        <w:t>“any default, event or condition (other than solely as a result of (x) any event or condition that permits holders of any Indebtedness constituting convertible indebtedness of Borrower to convert such Indebtedness or (y) any event or condition resulting from the conversion of any Indebtedness constituting convertible indebtedness of Borrower, in either case, into common stock of Borrower (or other securities or property following a merger event, reclassification or other change of the common stock of Borrower), cash, including in lieu of fractional shares of common stock of Borrower, or a combination thereof) shall have occurred and be continuing with respect to any Indebtedness for Borrowed Money, Secured Indebtedness or Junior Subordinated Debt of the Borrower or any Significant Subsidiary (other than Indebtedness of the Borrower under this Agreement), the effect of which default, event or condition is to cause, or to permit the holder thereof to cause”.</w:t>
      </w:r>
    </w:p>
    <w:p>
      <w:pPr>
        <w:sectPr>
          <w:pgSz w:w="11900" w:h="16838" w:orient="portrait"/>
          <w:cols w:equalWidth="0" w:num="1">
            <w:col w:w="11240"/>
          </w:cols>
          <w:pgMar w:left="320" w:top="100" w:right="339" w:bottom="1440" w:gutter="0" w:footer="0" w:header="0"/>
        </w:sectPr>
      </w:pPr>
    </w:p>
    <w:bookmarkStart w:id="109" w:name="page110"/>
    <w:bookmarkEnd w:id="109"/>
    <w:p>
      <w:pPr>
        <w:spacing w:after="0" w:line="153" w:lineRule="exact"/>
        <w:rPr>
          <w:sz w:val="20"/>
          <w:szCs w:val="20"/>
          <w:color w:val="auto"/>
        </w:rPr>
      </w:pPr>
    </w:p>
    <w:p>
      <w:pPr>
        <w:ind w:firstLine="434"/>
        <w:spacing w:after="0"/>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To induce the other parties hereto to enter into this Amendment, the Borrower represents and warrants to such parties that, as of the date hereof:</w:t>
      </w:r>
    </w:p>
    <w:p>
      <w:pPr>
        <w:spacing w:after="0" w:line="155" w:lineRule="exact"/>
        <w:rPr>
          <w:sz w:val="20"/>
          <w:szCs w:val="20"/>
          <w:color w:val="auto"/>
        </w:rPr>
      </w:pPr>
    </w:p>
    <w:p>
      <w:pPr>
        <w:jc w:val="both"/>
        <w:ind w:left="720" w:hanging="315"/>
        <w:spacing w:after="0" w:line="231"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both immediately before and immediately after giving effect to this Amendment, all representations and warranties of the Borrower contained in Section 6.1 of the Amended Credit Agreement and in the other Loan Documents are true and correct in all material respects (except to the extent that any representation or warranty is qualified by materiality in the text thereof, in which case such representation or warranty is true and correct in all respects), except for those representations or warranties or parts thereof that, by their terms, expressly relate solely to a specific date, in which case such representations and warranties are true and correct in all material respects as of such specific date;</w:t>
      </w:r>
    </w:p>
    <w:p>
      <w:pPr>
        <w:spacing w:after="0" w:line="159" w:lineRule="exact"/>
        <w:rPr>
          <w:rFonts w:ascii="Arial" w:cs="Arial" w:eastAsia="Arial" w:hAnsi="Arial"/>
          <w:sz w:val="20"/>
          <w:szCs w:val="20"/>
          <w:color w:val="auto"/>
        </w:rPr>
      </w:pPr>
    </w:p>
    <w:p>
      <w:pPr>
        <w:ind w:left="720" w:hanging="315"/>
        <w:spacing w:after="0"/>
        <w:tabs>
          <w:tab w:leader="none" w:pos="72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this Amendment, no Event of Default exists;</w:t>
      </w:r>
    </w:p>
    <w:p>
      <w:pPr>
        <w:spacing w:after="0" w:line="183" w:lineRule="exact"/>
        <w:rPr>
          <w:rFonts w:ascii="Arial" w:cs="Arial" w:eastAsia="Arial" w:hAnsi="Arial"/>
          <w:sz w:val="21"/>
          <w:szCs w:val="21"/>
          <w:color w:val="auto"/>
        </w:rPr>
      </w:pPr>
    </w:p>
    <w:p>
      <w:pPr>
        <w:ind w:left="720" w:hanging="315"/>
        <w:spacing w:after="0"/>
        <w:tabs>
          <w:tab w:leader="none" w:pos="720"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execution, delivery and performance by the Borrower of this Amendment are within the Borrower’s corporate powers and have been duly authorized by all necessary corporate action; and</w:t>
      </w:r>
    </w:p>
    <w:p>
      <w:pPr>
        <w:spacing w:after="0" w:line="154" w:lineRule="exact"/>
        <w:rPr>
          <w:rFonts w:ascii="Arial" w:cs="Arial" w:eastAsia="Arial" w:hAnsi="Arial"/>
          <w:sz w:val="21"/>
          <w:szCs w:val="21"/>
          <w:color w:val="auto"/>
        </w:rPr>
      </w:pPr>
    </w:p>
    <w:p>
      <w:pPr>
        <w:jc w:val="both"/>
        <w:ind w:left="720" w:hanging="315"/>
        <w:spacing w:after="0" w:line="225" w:lineRule="auto"/>
        <w:tabs>
          <w:tab w:leader="none" w:pos="720"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this Amendment has been duly executed and delivered by the Borrower and constitutes a legal, valid and binding obligation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7" w:lineRule="exact"/>
        <w:rPr>
          <w:sz w:val="20"/>
          <w:szCs w:val="20"/>
          <w:color w:val="auto"/>
        </w:rPr>
      </w:pPr>
    </w:p>
    <w:p>
      <w:pPr>
        <w:jc w:val="both"/>
        <w:ind w:firstLine="434"/>
        <w:spacing w:after="0" w:line="230"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Conditions to Effectiveness</w:t>
      </w:r>
      <w:r>
        <w:rPr>
          <w:rFonts w:ascii="Arial" w:cs="Arial" w:eastAsia="Arial" w:hAnsi="Arial"/>
          <w:sz w:val="21"/>
          <w:szCs w:val="21"/>
          <w:color w:val="auto"/>
        </w:rPr>
        <w:t>. This Amendment shall become effective as of the date first written above (the “</w:t>
      </w:r>
      <w:r>
        <w:rPr>
          <w:rFonts w:ascii="Arial" w:cs="Arial" w:eastAsia="Arial" w:hAnsi="Arial"/>
          <w:sz w:val="21"/>
          <w:szCs w:val="21"/>
          <w:u w:val="single" w:color="auto"/>
          <w:color w:val="auto"/>
        </w:rPr>
        <w:t>Amendment Effective Date</w:t>
      </w:r>
      <w:r>
        <w:rPr>
          <w:rFonts w:ascii="Arial" w:cs="Arial" w:eastAsia="Arial" w:hAnsi="Arial"/>
          <w:sz w:val="21"/>
          <w:szCs w:val="21"/>
          <w:color w:val="auto"/>
        </w:rPr>
        <w:t>”) when each of the following conditions is satisfied (or waived in accordance with Section 10.1 of the Credit Agreement):</w:t>
      </w:r>
    </w:p>
    <w:p>
      <w:pPr>
        <w:spacing w:after="0" w:line="156" w:lineRule="exact"/>
        <w:rPr>
          <w:sz w:val="20"/>
          <w:szCs w:val="20"/>
          <w:color w:val="auto"/>
        </w:rPr>
      </w:pPr>
    </w:p>
    <w:p>
      <w:pPr>
        <w:ind w:left="760" w:hanging="320"/>
        <w:spacing w:after="0"/>
        <w:tabs>
          <w:tab w:leader="none" w:pos="7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Administrative Agent shall have received counterparts of this Amendment duly executed and delivered by the Borrower and the Majority Banks; and</w:t>
      </w:r>
    </w:p>
    <w:p>
      <w:pPr>
        <w:spacing w:after="0" w:line="154" w:lineRule="exact"/>
        <w:rPr>
          <w:rFonts w:ascii="Arial" w:cs="Arial" w:eastAsia="Arial" w:hAnsi="Arial"/>
          <w:sz w:val="21"/>
          <w:szCs w:val="21"/>
          <w:color w:val="auto"/>
        </w:rPr>
      </w:pPr>
    </w:p>
    <w:p>
      <w:pPr>
        <w:jc w:val="both"/>
        <w:ind w:left="760" w:hanging="320"/>
        <w:spacing w:after="0" w:line="243" w:lineRule="auto"/>
        <w:tabs>
          <w:tab w:leader="none" w:pos="7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Administrative Agent shall have received all reasonable out-of-pocket expenses required to be paid by the Borrower to the Administrative Agent pursuant to Section 10.5 of the Credit Agreement for which reasonably detailed invoices have been presented to the Borrower on or before the date that is one Business Day prior to the date hereof.</w:t>
      </w:r>
    </w:p>
    <w:p>
      <w:pPr>
        <w:spacing w:after="0" w:line="151" w:lineRule="exact"/>
        <w:rPr>
          <w:sz w:val="20"/>
          <w:szCs w:val="20"/>
          <w:color w:val="auto"/>
        </w:rPr>
      </w:pPr>
    </w:p>
    <w:p>
      <w:pPr>
        <w:jc w:val="both"/>
        <w:ind w:firstLine="434"/>
        <w:spacing w:after="0" w:line="225"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sz w:val="20"/>
          <w:szCs w:val="20"/>
          <w:color w:val="auto"/>
        </w:rPr>
      </w:pPr>
    </w:p>
    <w:p>
      <w:pPr>
        <w:jc w:val="both"/>
        <w:ind w:firstLine="434"/>
        <w:spacing w:after="0"/>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AMENDMENT SHALL BE GOVERNED BY, AND CONSTRUED AND INTERPRETED IN ACCORDANCE WITH, THE LAWS OF THE STATE OF NEW YORK.</w:t>
      </w:r>
    </w:p>
    <w:p>
      <w:pPr>
        <w:spacing w:after="0" w:line="35" w:lineRule="exact"/>
        <w:rPr>
          <w:sz w:val="20"/>
          <w:szCs w:val="20"/>
          <w:color w:val="auto"/>
        </w:rPr>
      </w:pPr>
    </w:p>
    <w:p>
      <w:pPr>
        <w:jc w:val="both"/>
        <w:ind w:firstLine="434"/>
        <w:spacing w:after="0" w:line="230"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by one or more of the parties to this Amendment on any number of separate counterparts, and all of said counterparts taken together shall be deemed to constitute one and the same instrument. Delivery of an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3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counterpart of a signature page of this Amendment that is an Electronic Signature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w:t>
      </w:r>
    </w:p>
    <w:p>
      <w:pPr>
        <w:spacing w:after="0" w:line="157" w:lineRule="exact"/>
        <w:rPr>
          <w:sz w:val="20"/>
          <w:szCs w:val="20"/>
          <w:color w:val="auto"/>
        </w:rPr>
      </w:pPr>
    </w:p>
    <w:p>
      <w:pPr>
        <w:jc w:val="both"/>
        <w:ind w:firstLine="434"/>
        <w:spacing w:after="0" w:line="217"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From and after the effectiveness of this Amendment, each reference to “hereof”, “hereunder”, “herein”, “hereby” and “this Agreement” contained in the Credit Agreement, each reference to “thereof”, “thereunder”, “therein”, “thereby” and “the Credit Agreement” contained in the other Loan Documents, and each other similar reference contained in the Credit Agreement and the other Loan Documents, shall refer to the Amended Credit Agreement. Except as expressly set forth herein, this Amendment shall not by implication or otherwise limit, impair, constitute a waiver of or otherwise affect the rights and remedies of the Administrative Agent or the Banks under the Credit Agreement or under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This Amendment shall constitute a Loan Document for all purposes of the Amended Credit Agreement and the other Loan Documents.</w:t>
      </w:r>
    </w:p>
    <w:p>
      <w:pPr>
        <w:spacing w:after="0" w:line="154" w:lineRule="exact"/>
        <w:rPr>
          <w:sz w:val="20"/>
          <w:szCs w:val="20"/>
          <w:color w:val="auto"/>
        </w:rPr>
      </w:pPr>
    </w:p>
    <w:p>
      <w:pPr>
        <w:jc w:val="both"/>
        <w:ind w:firstLine="434"/>
        <w:spacing w:after="0" w:line="225"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Amendment and the other Loan Documents represent the agreement of the Borrower, the Administrative Agent and the Banks with respect to the subject matter hereof, and there are no promises, undertakings, representations or warranties by the Administrative Agent or any Bank relative to the subject matter hereof not expressly set forth or referred to herein or in the other Loan Documents.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Left Blank; Signature Pages Follow</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11" w:name="page112"/>
    <w:bookmarkEnd w:id="111"/>
    <w:p>
      <w:pPr>
        <w:ind w:firstLine="638"/>
        <w:spacing w:after="0" w:line="306" w:lineRule="auto"/>
        <w:rPr>
          <w:sz w:val="20"/>
          <w:szCs w:val="20"/>
          <w:color w:val="auto"/>
        </w:rPr>
      </w:pPr>
      <w:r>
        <w:rPr>
          <w:rFonts w:ascii="Arial" w:cs="Arial" w:eastAsia="Arial" w:hAnsi="Arial"/>
          <w:sz w:val="21"/>
          <w:szCs w:val="21"/>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247" w:lineRule="exact"/>
        <w:rPr>
          <w:sz w:val="20"/>
          <w:szCs w:val="20"/>
          <w:color w:val="auto"/>
        </w:rPr>
      </w:pPr>
    </w:p>
    <w:p>
      <w:pPr>
        <w:jc w:val="right"/>
        <w:ind w:right="3080"/>
        <w:spacing w:after="0"/>
        <w:rPr>
          <w:sz w:val="20"/>
          <w:szCs w:val="20"/>
          <w:color w:val="auto"/>
        </w:rPr>
      </w:pPr>
      <w:r>
        <w:rPr>
          <w:rFonts w:ascii="Arial" w:cs="Arial" w:eastAsia="Arial" w:hAnsi="Arial"/>
          <w:sz w:val="21"/>
          <w:szCs w:val="21"/>
          <w:color w:val="auto"/>
        </w:rPr>
        <w:t>CENTERPOINT ENERGY, INC., as the</w:t>
      </w:r>
    </w:p>
    <w:p>
      <w:pPr>
        <w:spacing w:after="0" w:line="37" w:lineRule="exact"/>
        <w:rPr>
          <w:sz w:val="20"/>
          <w:szCs w:val="20"/>
          <w:color w:val="auto"/>
        </w:rPr>
      </w:pPr>
    </w:p>
    <w:p>
      <w:pPr>
        <w:jc w:val="right"/>
        <w:ind w:right="3080"/>
        <w:spacing w:after="0"/>
        <w:rPr>
          <w:sz w:val="20"/>
          <w:szCs w:val="20"/>
          <w:color w:val="auto"/>
        </w:rPr>
      </w:pPr>
      <w:r>
        <w:rPr>
          <w:rFonts w:ascii="Arial" w:cs="Arial" w:eastAsia="Arial" w:hAnsi="Arial"/>
          <w:sz w:val="21"/>
          <w:szCs w:val="21"/>
          <w:color w:val="auto"/>
        </w:rPr>
        <w:t>Borrower</w:t>
      </w:r>
    </w:p>
    <w:p>
      <w:pPr>
        <w:spacing w:after="0" w:line="200" w:lineRule="exact"/>
        <w:rPr>
          <w:sz w:val="20"/>
          <w:szCs w:val="20"/>
          <w:color w:val="auto"/>
        </w:rPr>
      </w:pPr>
    </w:p>
    <w:p>
      <w:pPr>
        <w:spacing w:after="0" w:line="277" w:lineRule="exact"/>
        <w:rPr>
          <w:sz w:val="20"/>
          <w:szCs w:val="20"/>
          <w:color w:val="auto"/>
        </w:rPr>
      </w:pPr>
    </w:p>
    <w:p>
      <w:pPr>
        <w:ind w:left="4320"/>
        <w:spacing w:after="0"/>
        <w:tabs>
          <w:tab w:leader="none" w:pos="492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Jacqueline M. Richert</w:t>
      </w:r>
    </w:p>
    <w:p>
      <w:pPr>
        <w:spacing w:after="0" w:line="92" w:lineRule="exact"/>
        <w:rPr>
          <w:sz w:val="20"/>
          <w:szCs w:val="20"/>
          <w:color w:val="auto"/>
        </w:rPr>
      </w:pPr>
    </w:p>
    <w:p>
      <w:pPr>
        <w:ind w:left="4060"/>
        <w:spacing w:after="0"/>
        <w:tabs>
          <w:tab w:leader="none" w:pos="49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color w:val="auto"/>
        </w:rPr>
        <w:t>Jacqueline M. Richert</w:t>
      </w:r>
    </w:p>
    <w:p>
      <w:pPr>
        <w:ind w:left="4160"/>
        <w:spacing w:after="0" w:line="235" w:lineRule="auto"/>
        <w:tabs>
          <w:tab w:leader="none" w:pos="49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Vice President, Investor Relations</w:t>
      </w:r>
    </w:p>
    <w:p>
      <w:pPr>
        <w:ind w:left="4940"/>
        <w:spacing w:after="0"/>
        <w:rPr>
          <w:sz w:val="20"/>
          <w:szCs w:val="20"/>
          <w:color w:val="auto"/>
        </w:rPr>
      </w:pPr>
      <w:r>
        <w:rPr>
          <w:rFonts w:ascii="Arial" w:cs="Arial" w:eastAsia="Arial" w:hAnsi="Arial"/>
          <w:sz w:val="21"/>
          <w:szCs w:val="2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First Amendment to Second Amended and Restated CNP Credit Agreement]</w:t>
      </w:r>
    </w:p>
    <w:p>
      <w:pPr>
        <w:sectPr>
          <w:pgSz w:w="11900" w:h="16838" w:orient="portrait"/>
          <w:cols w:equalWidth="0" w:num="1">
            <w:col w:w="10860"/>
          </w:cols>
          <w:pgMar w:left="320" w:top="1420" w:right="719" w:bottom="1440" w:gutter="0" w:footer="0" w:header="0"/>
        </w:sectPr>
      </w:pPr>
    </w:p>
    <w:bookmarkStart w:id="112" w:name="page113"/>
    <w:bookmarkEnd w:id="112"/>
    <w:p>
      <w:pPr>
        <w:spacing w:after="0" w:line="200" w:lineRule="exact"/>
        <w:rPr>
          <w:sz w:val="20"/>
          <w:szCs w:val="20"/>
          <w:color w:val="auto"/>
        </w:rPr>
      </w:pPr>
    </w:p>
    <w:p>
      <w:pPr>
        <w:spacing w:after="0" w:line="247"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JPMORGAN CHASE BANK, N.A., as a</w:t>
      </w:r>
    </w:p>
    <w:p>
      <w:pPr>
        <w:ind w:left="2720"/>
        <w:spacing w:after="0"/>
        <w:rPr>
          <w:sz w:val="20"/>
          <w:szCs w:val="20"/>
          <w:color w:val="auto"/>
        </w:rPr>
      </w:pPr>
      <w:r>
        <w:rPr>
          <w:rFonts w:ascii="Arial" w:cs="Arial" w:eastAsia="Arial" w:hAnsi="Arial"/>
          <w:sz w:val="21"/>
          <w:szCs w:val="21"/>
          <w:color w:val="auto"/>
        </w:rPr>
        <w:t>Bank</w:t>
      </w:r>
    </w:p>
    <w:p>
      <w:pPr>
        <w:spacing w:after="0" w:line="246" w:lineRule="exact"/>
        <w:rPr>
          <w:sz w:val="20"/>
          <w:szCs w:val="20"/>
          <w:color w:val="auto"/>
        </w:rPr>
      </w:pPr>
    </w:p>
    <w:p>
      <w:pPr>
        <w:ind w:left="3060"/>
        <w:spacing w:after="0"/>
        <w:tabs>
          <w:tab w:leader="none" w:pos="362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Nancy R. Barwig</w:t>
      </w:r>
    </w:p>
    <w:p>
      <w:pPr>
        <w:spacing w:after="0" w:line="92" w:lineRule="exact"/>
        <w:rPr>
          <w:sz w:val="20"/>
          <w:szCs w:val="20"/>
          <w:color w:val="auto"/>
        </w:rPr>
      </w:pPr>
    </w:p>
    <w:p>
      <w:pPr>
        <w:ind w:left="2800"/>
        <w:spacing w:after="0"/>
        <w:tabs>
          <w:tab w:leader="none" w:pos="3620" w:val="left"/>
        </w:tabs>
        <w:rPr>
          <w:sz w:val="20"/>
          <w:szCs w:val="20"/>
          <w:color w:val="auto"/>
        </w:rPr>
      </w:pPr>
      <w:r>
        <w:rPr>
          <w:rFonts w:ascii="Arial" w:cs="Arial" w:eastAsia="Arial" w:hAnsi="Arial"/>
          <w:sz w:val="21"/>
          <w:szCs w:val="21"/>
          <w:color w:val="auto"/>
        </w:rPr>
        <w:t>Name:</w:t>
        <w:tab/>
        <w:t>Nancy R. Barwig</w:t>
      </w:r>
    </w:p>
    <w:p>
      <w:pPr>
        <w:spacing w:after="0" w:line="12" w:lineRule="exact"/>
        <w:rPr>
          <w:sz w:val="20"/>
          <w:szCs w:val="20"/>
          <w:color w:val="auto"/>
        </w:rPr>
      </w:pPr>
    </w:p>
    <w:p>
      <w:pPr>
        <w:ind w:left="2920"/>
        <w:spacing w:after="0"/>
        <w:tabs>
          <w:tab w:leader="none" w:pos="3620" w:val="left"/>
        </w:tabs>
        <w:rPr>
          <w:sz w:val="20"/>
          <w:szCs w:val="20"/>
          <w:color w:val="auto"/>
        </w:rPr>
      </w:pPr>
      <w:r>
        <w:rPr>
          <w:rFonts w:ascii="Arial" w:cs="Arial" w:eastAsia="Arial" w:hAnsi="Arial"/>
          <w:sz w:val="21"/>
          <w:szCs w:val="21"/>
          <w:color w:val="auto"/>
        </w:rPr>
        <w:t>Title:</w:t>
        <w:tab/>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259"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MIZUHO BANK, LTD., as a Bank</w:t>
      </w:r>
    </w:p>
    <w:p>
      <w:pPr>
        <w:spacing w:after="0" w:line="277" w:lineRule="exact"/>
        <w:rPr>
          <w:sz w:val="20"/>
          <w:szCs w:val="20"/>
          <w:color w:val="auto"/>
        </w:rPr>
      </w:pPr>
    </w:p>
    <w:p>
      <w:pPr>
        <w:ind w:left="3060"/>
        <w:spacing w:after="0"/>
        <w:tabs>
          <w:tab w:leader="none" w:pos="362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Edward Sacks</w:t>
      </w:r>
    </w:p>
    <w:p>
      <w:pPr>
        <w:spacing w:after="0" w:line="79" w:lineRule="exact"/>
        <w:rPr>
          <w:sz w:val="20"/>
          <w:szCs w:val="20"/>
          <w:color w:val="auto"/>
        </w:rPr>
      </w:pPr>
    </w:p>
    <w:p>
      <w:pPr>
        <w:ind w:left="2800"/>
        <w:spacing w:after="0"/>
        <w:tabs>
          <w:tab w:leader="none" w:pos="3620" w:val="left"/>
        </w:tabs>
        <w:rPr>
          <w:sz w:val="20"/>
          <w:szCs w:val="20"/>
          <w:color w:val="auto"/>
        </w:rPr>
      </w:pPr>
      <w:r>
        <w:rPr>
          <w:rFonts w:ascii="Arial" w:cs="Arial" w:eastAsia="Arial" w:hAnsi="Arial"/>
          <w:sz w:val="21"/>
          <w:szCs w:val="21"/>
          <w:color w:val="auto"/>
        </w:rPr>
        <w:t>Name:</w:t>
        <w:tab/>
        <w:t>Edward Sacks</w:t>
      </w:r>
    </w:p>
    <w:p>
      <w:pPr>
        <w:spacing w:after="0" w:line="12" w:lineRule="exact"/>
        <w:rPr>
          <w:sz w:val="20"/>
          <w:szCs w:val="20"/>
          <w:color w:val="auto"/>
        </w:rPr>
      </w:pPr>
    </w:p>
    <w:p>
      <w:pPr>
        <w:ind w:left="2920"/>
        <w:spacing w:after="0"/>
        <w:tabs>
          <w:tab w:leader="none" w:pos="3620" w:val="left"/>
        </w:tabs>
        <w:rPr>
          <w:sz w:val="20"/>
          <w:szCs w:val="20"/>
          <w:color w:val="auto"/>
        </w:rPr>
      </w:pPr>
      <w:r>
        <w:rPr>
          <w:rFonts w:ascii="Arial" w:cs="Arial" w:eastAsia="Arial" w:hAnsi="Arial"/>
          <w:sz w:val="21"/>
          <w:szCs w:val="21"/>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14" w:name="page115"/>
    <w:bookmarkEnd w:id="114"/>
    <w:p>
      <w:pPr>
        <w:spacing w:after="0" w:line="200" w:lineRule="exact"/>
        <w:rPr>
          <w:sz w:val="20"/>
          <w:szCs w:val="20"/>
          <w:color w:val="auto"/>
        </w:rPr>
      </w:pPr>
    </w:p>
    <w:p>
      <w:pPr>
        <w:spacing w:after="0" w:line="247"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WELLS FARGO BANK, NATIONAL</w:t>
      </w:r>
    </w:p>
    <w:p>
      <w:pPr>
        <w:ind w:left="2720"/>
        <w:spacing w:after="0"/>
        <w:rPr>
          <w:sz w:val="20"/>
          <w:szCs w:val="20"/>
          <w:color w:val="auto"/>
        </w:rPr>
      </w:pPr>
      <w:r>
        <w:rPr>
          <w:rFonts w:ascii="Arial" w:cs="Arial" w:eastAsia="Arial" w:hAnsi="Arial"/>
          <w:sz w:val="21"/>
          <w:szCs w:val="21"/>
          <w:color w:val="auto"/>
        </w:rPr>
        <w:t>ASSOCIATION, as a Bank</w:t>
      </w:r>
    </w:p>
    <w:p>
      <w:pPr>
        <w:spacing w:after="0" w:line="246" w:lineRule="exact"/>
        <w:rPr>
          <w:sz w:val="20"/>
          <w:szCs w:val="20"/>
          <w:color w:val="auto"/>
        </w:rPr>
      </w:pPr>
    </w:p>
    <w:p>
      <w:pPr>
        <w:ind w:left="3060"/>
        <w:spacing w:after="0"/>
        <w:tabs>
          <w:tab w:leader="none" w:pos="362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Patrick Engel</w:t>
      </w:r>
    </w:p>
    <w:p>
      <w:pPr>
        <w:spacing w:after="0" w:line="92" w:lineRule="exact"/>
        <w:rPr>
          <w:sz w:val="20"/>
          <w:szCs w:val="20"/>
          <w:color w:val="auto"/>
        </w:rPr>
      </w:pPr>
    </w:p>
    <w:p>
      <w:pPr>
        <w:ind w:left="2800"/>
        <w:spacing w:after="0"/>
        <w:tabs>
          <w:tab w:leader="none" w:pos="3620" w:val="left"/>
        </w:tabs>
        <w:rPr>
          <w:sz w:val="20"/>
          <w:szCs w:val="20"/>
          <w:color w:val="auto"/>
        </w:rPr>
      </w:pPr>
      <w:r>
        <w:rPr>
          <w:rFonts w:ascii="Arial" w:cs="Arial" w:eastAsia="Arial" w:hAnsi="Arial"/>
          <w:sz w:val="21"/>
          <w:szCs w:val="21"/>
          <w:color w:val="auto"/>
        </w:rPr>
        <w:t>Name:</w:t>
        <w:tab/>
        <w:t>Patrick Engel</w:t>
      </w:r>
    </w:p>
    <w:p>
      <w:pPr>
        <w:spacing w:after="0" w:line="12" w:lineRule="exact"/>
        <w:rPr>
          <w:sz w:val="20"/>
          <w:szCs w:val="20"/>
          <w:color w:val="auto"/>
        </w:rPr>
      </w:pPr>
    </w:p>
    <w:p>
      <w:pPr>
        <w:ind w:left="2920"/>
        <w:spacing w:after="0"/>
        <w:tabs>
          <w:tab w:leader="none" w:pos="3620" w:val="left"/>
        </w:tabs>
        <w:rPr>
          <w:sz w:val="20"/>
          <w:szCs w:val="20"/>
          <w:color w:val="auto"/>
        </w:rPr>
      </w:pPr>
      <w:r>
        <w:rPr>
          <w:rFonts w:ascii="Arial" w:cs="Arial" w:eastAsia="Arial" w:hAnsi="Arial"/>
          <w:sz w:val="21"/>
          <w:szCs w:val="21"/>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200" w:lineRule="exact"/>
        <w:rPr>
          <w:sz w:val="20"/>
          <w:szCs w:val="20"/>
          <w:color w:val="auto"/>
        </w:rPr>
      </w:pPr>
    </w:p>
    <w:p>
      <w:pPr>
        <w:spacing w:after="0" w:line="258"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BANK OF AMERICA, N.A., as a Bank</w:t>
      </w:r>
    </w:p>
    <w:p>
      <w:pPr>
        <w:spacing w:after="0" w:line="264" w:lineRule="exact"/>
        <w:rPr>
          <w:sz w:val="20"/>
          <w:szCs w:val="20"/>
          <w:color w:val="auto"/>
        </w:rPr>
      </w:pPr>
    </w:p>
    <w:p>
      <w:pPr>
        <w:ind w:left="3360"/>
        <w:spacing w:after="0"/>
        <w:tabs>
          <w:tab w:leader="none" w:pos="390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Dee Dee Farkas</w:t>
      </w:r>
    </w:p>
    <w:p>
      <w:pPr>
        <w:spacing w:after="0" w:line="92" w:lineRule="exact"/>
        <w:rPr>
          <w:sz w:val="20"/>
          <w:szCs w:val="20"/>
          <w:color w:val="auto"/>
        </w:rPr>
      </w:pPr>
    </w:p>
    <w:p>
      <w:pPr>
        <w:ind w:left="3100"/>
        <w:spacing w:after="0"/>
        <w:tabs>
          <w:tab w:leader="none" w:pos="3900" w:val="left"/>
        </w:tabs>
        <w:rPr>
          <w:sz w:val="20"/>
          <w:szCs w:val="20"/>
          <w:color w:val="auto"/>
        </w:rPr>
      </w:pPr>
      <w:r>
        <w:rPr>
          <w:rFonts w:ascii="Arial" w:cs="Arial" w:eastAsia="Arial" w:hAnsi="Arial"/>
          <w:sz w:val="21"/>
          <w:szCs w:val="21"/>
          <w:color w:val="auto"/>
        </w:rPr>
        <w:t>Name:</w:t>
        <w:tab/>
        <w:t>Dee Dee Farkas</w:t>
      </w:r>
    </w:p>
    <w:p>
      <w:pPr>
        <w:spacing w:after="0" w:line="12" w:lineRule="exact"/>
        <w:rPr>
          <w:sz w:val="20"/>
          <w:szCs w:val="20"/>
          <w:color w:val="auto"/>
        </w:rPr>
      </w:pPr>
    </w:p>
    <w:p>
      <w:pPr>
        <w:jc w:val="center"/>
        <w:ind w:left="1800"/>
        <w:spacing w:after="0"/>
        <w:tabs>
          <w:tab w:leader="none" w:pos="240" w:val="left"/>
        </w:tabs>
        <w:rPr>
          <w:sz w:val="20"/>
          <w:szCs w:val="20"/>
          <w:color w:val="auto"/>
        </w:rPr>
      </w:pPr>
      <w:r>
        <w:rPr>
          <w:rFonts w:ascii="Arial" w:cs="Arial" w:eastAsia="Arial" w:hAnsi="Arial"/>
          <w:sz w:val="21"/>
          <w:szCs w:val="21"/>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21"/>
          <w:szCs w:val="21"/>
          <w:color w:val="auto"/>
        </w:rPr>
        <w:t>BARCLAYS BANK PLC, as a Bank</w:t>
      </w:r>
    </w:p>
    <w:p>
      <w:pPr>
        <w:spacing w:after="0" w:line="264" w:lineRule="exact"/>
        <w:rPr>
          <w:sz w:val="20"/>
          <w:szCs w:val="20"/>
          <w:color w:val="auto"/>
        </w:rPr>
      </w:pPr>
    </w:p>
    <w:p>
      <w:pPr>
        <w:ind w:left="3140"/>
        <w:spacing w:after="0"/>
        <w:tabs>
          <w:tab w:leader="none" w:pos="370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Warren Veech III</w:t>
      </w:r>
    </w:p>
    <w:p>
      <w:pPr>
        <w:spacing w:after="0" w:line="92" w:lineRule="exact"/>
        <w:rPr>
          <w:sz w:val="20"/>
          <w:szCs w:val="20"/>
          <w:color w:val="auto"/>
        </w:rPr>
      </w:pPr>
    </w:p>
    <w:p>
      <w:pPr>
        <w:ind w:left="2880"/>
        <w:spacing w:after="0"/>
        <w:tabs>
          <w:tab w:leader="none" w:pos="3700" w:val="left"/>
        </w:tabs>
        <w:rPr>
          <w:sz w:val="20"/>
          <w:szCs w:val="20"/>
          <w:color w:val="auto"/>
        </w:rPr>
      </w:pPr>
      <w:r>
        <w:rPr>
          <w:rFonts w:ascii="Arial" w:cs="Arial" w:eastAsia="Arial" w:hAnsi="Arial"/>
          <w:sz w:val="21"/>
          <w:szCs w:val="21"/>
          <w:color w:val="auto"/>
        </w:rPr>
        <w:t>Name:</w:t>
        <w:tab/>
        <w:t>Warren Veech III</w:t>
      </w:r>
    </w:p>
    <w:p>
      <w:pPr>
        <w:spacing w:after="0" w:line="12" w:lineRule="exact"/>
        <w:rPr>
          <w:sz w:val="20"/>
          <w:szCs w:val="20"/>
          <w:color w:val="auto"/>
        </w:rPr>
      </w:pPr>
    </w:p>
    <w:p>
      <w:pPr>
        <w:ind w:left="3000"/>
        <w:spacing w:after="0"/>
        <w:tabs>
          <w:tab w:leader="none" w:pos="3700" w:val="left"/>
        </w:tabs>
        <w:rPr>
          <w:sz w:val="20"/>
          <w:szCs w:val="20"/>
          <w:color w:val="auto"/>
        </w:rPr>
      </w:pPr>
      <w:r>
        <w:rPr>
          <w:rFonts w:ascii="Arial" w:cs="Arial" w:eastAsia="Arial" w:hAnsi="Arial"/>
          <w:sz w:val="21"/>
          <w:szCs w:val="21"/>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200" w:lineRule="exact"/>
        <w:rPr>
          <w:sz w:val="20"/>
          <w:szCs w:val="20"/>
          <w:color w:val="auto"/>
        </w:rPr>
      </w:pPr>
    </w:p>
    <w:p>
      <w:pPr>
        <w:spacing w:after="0" w:line="258"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CITIBANK, N.A., as a Bank</w:t>
      </w:r>
    </w:p>
    <w:p>
      <w:pPr>
        <w:spacing w:after="0" w:line="264" w:lineRule="exact"/>
        <w:rPr>
          <w:sz w:val="20"/>
          <w:szCs w:val="20"/>
          <w:color w:val="auto"/>
        </w:rPr>
      </w:pPr>
    </w:p>
    <w:p>
      <w:pPr>
        <w:ind w:left="3140"/>
        <w:spacing w:after="0"/>
        <w:tabs>
          <w:tab w:leader="none" w:pos="370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Richard Rivera</w:t>
      </w:r>
    </w:p>
    <w:p>
      <w:pPr>
        <w:spacing w:after="0" w:line="92" w:lineRule="exact"/>
        <w:rPr>
          <w:sz w:val="20"/>
          <w:szCs w:val="20"/>
          <w:color w:val="auto"/>
        </w:rPr>
      </w:pPr>
    </w:p>
    <w:p>
      <w:pPr>
        <w:ind w:left="2880"/>
        <w:spacing w:after="0"/>
        <w:tabs>
          <w:tab w:leader="none" w:pos="3700" w:val="left"/>
        </w:tabs>
        <w:rPr>
          <w:sz w:val="20"/>
          <w:szCs w:val="20"/>
          <w:color w:val="auto"/>
        </w:rPr>
      </w:pPr>
      <w:r>
        <w:rPr>
          <w:rFonts w:ascii="Arial" w:cs="Arial" w:eastAsia="Arial" w:hAnsi="Arial"/>
          <w:sz w:val="21"/>
          <w:szCs w:val="21"/>
          <w:color w:val="auto"/>
        </w:rPr>
        <w:t>Name:</w:t>
        <w:tab/>
        <w:t>Richard Rivera</w:t>
      </w:r>
    </w:p>
    <w:p>
      <w:pPr>
        <w:spacing w:after="0" w:line="12" w:lineRule="exact"/>
        <w:rPr>
          <w:sz w:val="20"/>
          <w:szCs w:val="20"/>
          <w:color w:val="auto"/>
        </w:rPr>
      </w:pPr>
    </w:p>
    <w:p>
      <w:pPr>
        <w:ind w:left="3000"/>
        <w:spacing w:after="0"/>
        <w:tabs>
          <w:tab w:leader="none" w:pos="3700" w:val="left"/>
        </w:tabs>
        <w:rPr>
          <w:sz w:val="20"/>
          <w:szCs w:val="20"/>
          <w:color w:val="auto"/>
        </w:rPr>
      </w:pPr>
      <w:r>
        <w:rPr>
          <w:rFonts w:ascii="Arial" w:cs="Arial" w:eastAsia="Arial" w:hAnsi="Arial"/>
          <w:sz w:val="21"/>
          <w:szCs w:val="21"/>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200" w:lineRule="exact"/>
        <w:rPr>
          <w:sz w:val="20"/>
          <w:szCs w:val="20"/>
          <w:color w:val="auto"/>
        </w:rPr>
      </w:pPr>
    </w:p>
    <w:p>
      <w:pPr>
        <w:spacing w:after="0" w:line="258"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MUFG BANK, LTD., as a Bank</w:t>
      </w:r>
    </w:p>
    <w:p>
      <w:pPr>
        <w:spacing w:after="0" w:line="264" w:lineRule="exact"/>
        <w:rPr>
          <w:sz w:val="20"/>
          <w:szCs w:val="20"/>
          <w:color w:val="auto"/>
        </w:rPr>
      </w:pPr>
    </w:p>
    <w:p>
      <w:pPr>
        <w:ind w:left="3060"/>
        <w:spacing w:after="0"/>
        <w:tabs>
          <w:tab w:leader="none" w:pos="362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Ricky Vargas</w:t>
      </w:r>
    </w:p>
    <w:p>
      <w:pPr>
        <w:spacing w:after="0" w:line="92" w:lineRule="exact"/>
        <w:rPr>
          <w:sz w:val="20"/>
          <w:szCs w:val="20"/>
          <w:color w:val="auto"/>
        </w:rPr>
      </w:pPr>
    </w:p>
    <w:p>
      <w:pPr>
        <w:ind w:left="2800"/>
        <w:spacing w:after="0"/>
        <w:tabs>
          <w:tab w:leader="none" w:pos="3620" w:val="left"/>
        </w:tabs>
        <w:rPr>
          <w:sz w:val="20"/>
          <w:szCs w:val="20"/>
          <w:color w:val="auto"/>
        </w:rPr>
      </w:pPr>
      <w:r>
        <w:rPr>
          <w:rFonts w:ascii="Arial" w:cs="Arial" w:eastAsia="Arial" w:hAnsi="Arial"/>
          <w:sz w:val="21"/>
          <w:szCs w:val="21"/>
          <w:color w:val="auto"/>
        </w:rPr>
        <w:t>Name:</w:t>
        <w:tab/>
        <w:t>Ricky Vargas</w:t>
      </w:r>
    </w:p>
    <w:p>
      <w:pPr>
        <w:spacing w:after="0" w:line="12" w:lineRule="exact"/>
        <w:rPr>
          <w:sz w:val="20"/>
          <w:szCs w:val="20"/>
          <w:color w:val="auto"/>
        </w:rPr>
      </w:pPr>
    </w:p>
    <w:p>
      <w:pPr>
        <w:ind w:left="2920"/>
        <w:spacing w:after="0"/>
        <w:tabs>
          <w:tab w:leader="none" w:pos="3620" w:val="left"/>
        </w:tabs>
        <w:rPr>
          <w:sz w:val="20"/>
          <w:szCs w:val="20"/>
          <w:color w:val="auto"/>
        </w:rPr>
      </w:pPr>
      <w:r>
        <w:rPr>
          <w:rFonts w:ascii="Arial" w:cs="Arial" w:eastAsia="Arial" w:hAnsi="Arial"/>
          <w:sz w:val="21"/>
          <w:szCs w:val="21"/>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200" w:lineRule="exact"/>
        <w:rPr>
          <w:sz w:val="20"/>
          <w:szCs w:val="20"/>
          <w:color w:val="auto"/>
        </w:rPr>
      </w:pPr>
    </w:p>
    <w:p>
      <w:pPr>
        <w:spacing w:after="0" w:line="258"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ROYAL BANK OF CANADA, as a Bank</w:t>
      </w:r>
    </w:p>
    <w:p>
      <w:pPr>
        <w:spacing w:after="0" w:line="264" w:lineRule="exact"/>
        <w:rPr>
          <w:sz w:val="20"/>
          <w:szCs w:val="20"/>
          <w:color w:val="auto"/>
        </w:rPr>
      </w:pPr>
    </w:p>
    <w:p>
      <w:pPr>
        <w:ind w:left="3340"/>
        <w:spacing w:after="0"/>
        <w:tabs>
          <w:tab w:leader="none" w:pos="390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Frank Lambrinos</w:t>
      </w:r>
    </w:p>
    <w:p>
      <w:pPr>
        <w:spacing w:after="0" w:line="92" w:lineRule="exact"/>
        <w:rPr>
          <w:sz w:val="20"/>
          <w:szCs w:val="20"/>
          <w:color w:val="auto"/>
        </w:rPr>
      </w:pPr>
    </w:p>
    <w:p>
      <w:pPr>
        <w:ind w:left="3080"/>
        <w:spacing w:after="0"/>
        <w:tabs>
          <w:tab w:leader="none" w:pos="3900" w:val="left"/>
        </w:tabs>
        <w:rPr>
          <w:sz w:val="20"/>
          <w:szCs w:val="20"/>
          <w:color w:val="auto"/>
        </w:rPr>
      </w:pPr>
      <w:r>
        <w:rPr>
          <w:rFonts w:ascii="Arial" w:cs="Arial" w:eastAsia="Arial" w:hAnsi="Arial"/>
          <w:sz w:val="21"/>
          <w:szCs w:val="21"/>
          <w:color w:val="auto"/>
        </w:rPr>
        <w:t>Name:</w:t>
        <w:tab/>
        <w:t>Frank Lambrinos</w:t>
      </w:r>
    </w:p>
    <w:p>
      <w:pPr>
        <w:spacing w:after="0" w:line="12" w:lineRule="exact"/>
        <w:rPr>
          <w:sz w:val="20"/>
          <w:szCs w:val="20"/>
          <w:color w:val="auto"/>
        </w:rPr>
      </w:pPr>
    </w:p>
    <w:p>
      <w:pPr>
        <w:jc w:val="center"/>
        <w:ind w:left="2000"/>
        <w:spacing w:after="0"/>
        <w:tabs>
          <w:tab w:leader="none" w:pos="260" w:val="left"/>
        </w:tabs>
        <w:rPr>
          <w:sz w:val="20"/>
          <w:szCs w:val="20"/>
          <w:color w:val="auto"/>
        </w:rPr>
      </w:pPr>
      <w:r>
        <w:rPr>
          <w:rFonts w:ascii="Arial" w:cs="Arial" w:eastAsia="Arial" w:hAnsi="Arial"/>
          <w:sz w:val="21"/>
          <w:szCs w:val="21"/>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200" w:lineRule="exact"/>
        <w:rPr>
          <w:sz w:val="20"/>
          <w:szCs w:val="20"/>
          <w:color w:val="auto"/>
        </w:rPr>
      </w:pPr>
    </w:p>
    <w:p>
      <w:pPr>
        <w:spacing w:after="0" w:line="258"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BNP PARIBAS, as a Bank</w:t>
      </w:r>
    </w:p>
    <w:p>
      <w:pPr>
        <w:ind w:left="3280"/>
        <w:spacing w:after="0" w:line="184" w:lineRule="auto"/>
        <w:tabs>
          <w:tab w:leader="none" w:pos="3820" w:val="left"/>
        </w:tabs>
        <w:rPr>
          <w:sz w:val="20"/>
          <w:szCs w:val="20"/>
          <w:color w:val="auto"/>
        </w:rPr>
      </w:pPr>
      <w:r>
        <w:rPr>
          <w:rFonts w:ascii="Arial" w:cs="Arial" w:eastAsia="Arial" w:hAnsi="Arial"/>
          <w:sz w:val="34"/>
          <w:szCs w:val="34"/>
          <w:color w:val="auto"/>
          <w:vertAlign w:val="superscript"/>
        </w:rPr>
        <w:t>By:</w:t>
      </w:r>
      <w:r>
        <w:rPr>
          <w:sz w:val="20"/>
          <w:szCs w:val="20"/>
          <w:color w:val="auto"/>
        </w:rPr>
        <w:tab/>
      </w:r>
      <w:r>
        <w:rPr>
          <w:rFonts w:ascii="Arial" w:cs="Arial" w:eastAsia="Arial" w:hAnsi="Arial"/>
          <w:sz w:val="18"/>
          <w:szCs w:val="18"/>
          <w:u w:val="single" w:color="auto"/>
          <w:color w:val="auto"/>
        </w:rPr>
        <w:t>/s/ Denis O’Meara</w:t>
      </w:r>
    </w:p>
    <w:p>
      <w:pPr>
        <w:spacing w:after="0" w:line="74" w:lineRule="exact"/>
        <w:rPr>
          <w:sz w:val="20"/>
          <w:szCs w:val="20"/>
          <w:color w:val="auto"/>
        </w:rPr>
      </w:pPr>
    </w:p>
    <w:p>
      <w:pPr>
        <w:ind w:left="3020"/>
        <w:spacing w:after="0"/>
        <w:tabs>
          <w:tab w:leader="none" w:pos="3820" w:val="left"/>
        </w:tabs>
        <w:rPr>
          <w:sz w:val="20"/>
          <w:szCs w:val="20"/>
          <w:color w:val="auto"/>
        </w:rPr>
      </w:pPr>
      <w:r>
        <w:rPr>
          <w:rFonts w:ascii="Arial" w:cs="Arial" w:eastAsia="Arial" w:hAnsi="Arial"/>
          <w:sz w:val="21"/>
          <w:szCs w:val="21"/>
          <w:color w:val="auto"/>
        </w:rPr>
        <w:t>Name:</w:t>
        <w:tab/>
        <w:t>Denis O’Meara</w:t>
      </w:r>
    </w:p>
    <w:p>
      <w:pPr>
        <w:spacing w:after="0" w:line="12" w:lineRule="exact"/>
        <w:rPr>
          <w:sz w:val="20"/>
          <w:szCs w:val="20"/>
          <w:color w:val="auto"/>
        </w:rPr>
      </w:pPr>
    </w:p>
    <w:p>
      <w:pPr>
        <w:ind w:left="3140"/>
        <w:spacing w:after="0"/>
        <w:tabs>
          <w:tab w:leader="none" w:pos="3820" w:val="left"/>
        </w:tabs>
        <w:rPr>
          <w:sz w:val="20"/>
          <w:szCs w:val="20"/>
          <w:color w:val="auto"/>
        </w:rPr>
      </w:pPr>
      <w:r>
        <w:rPr>
          <w:rFonts w:ascii="Arial" w:cs="Arial" w:eastAsia="Arial" w:hAnsi="Arial"/>
          <w:sz w:val="21"/>
          <w:szCs w:val="21"/>
          <w:color w:val="auto"/>
        </w:rPr>
        <w:t>Title:</w:t>
        <w:tab/>
        <w:t>Managing Director</w:t>
      </w:r>
    </w:p>
    <w:p>
      <w:pPr>
        <w:spacing w:after="0" w:line="272" w:lineRule="exact"/>
        <w:rPr>
          <w:sz w:val="20"/>
          <w:szCs w:val="20"/>
          <w:color w:val="auto"/>
        </w:rPr>
      </w:pPr>
    </w:p>
    <w:p>
      <w:pPr>
        <w:ind w:left="3280"/>
        <w:spacing w:after="0"/>
        <w:tabs>
          <w:tab w:leader="none" w:pos="382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Victor Padilla</w:t>
      </w:r>
    </w:p>
    <w:p>
      <w:pPr>
        <w:spacing w:after="0" w:line="79" w:lineRule="exact"/>
        <w:rPr>
          <w:sz w:val="20"/>
          <w:szCs w:val="20"/>
          <w:color w:val="auto"/>
        </w:rPr>
      </w:pPr>
    </w:p>
    <w:p>
      <w:pPr>
        <w:ind w:left="3020"/>
        <w:spacing w:after="0"/>
        <w:tabs>
          <w:tab w:leader="none" w:pos="3820" w:val="left"/>
        </w:tabs>
        <w:rPr>
          <w:sz w:val="20"/>
          <w:szCs w:val="20"/>
          <w:color w:val="auto"/>
        </w:rPr>
      </w:pPr>
      <w:r>
        <w:rPr>
          <w:rFonts w:ascii="Arial" w:cs="Arial" w:eastAsia="Arial" w:hAnsi="Arial"/>
          <w:sz w:val="21"/>
          <w:szCs w:val="21"/>
          <w:color w:val="auto"/>
        </w:rPr>
        <w:t>Name:</w:t>
        <w:tab/>
        <w:t>Victor Padilla</w:t>
      </w:r>
    </w:p>
    <w:p>
      <w:pPr>
        <w:spacing w:after="0" w:line="12" w:lineRule="exact"/>
        <w:rPr>
          <w:sz w:val="20"/>
          <w:szCs w:val="20"/>
          <w:color w:val="auto"/>
        </w:rPr>
      </w:pPr>
    </w:p>
    <w:p>
      <w:pPr>
        <w:ind w:left="3140"/>
        <w:spacing w:after="0"/>
        <w:tabs>
          <w:tab w:leader="none" w:pos="3820" w:val="left"/>
        </w:tabs>
        <w:rPr>
          <w:sz w:val="20"/>
          <w:szCs w:val="20"/>
          <w:color w:val="auto"/>
        </w:rPr>
      </w:pPr>
      <w:r>
        <w:rPr>
          <w:rFonts w:ascii="Arial" w:cs="Arial" w:eastAsia="Arial" w:hAnsi="Arial"/>
          <w:sz w:val="21"/>
          <w:szCs w:val="21"/>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21" w:name="page122"/>
    <w:bookmarkEnd w:id="121"/>
    <w:p>
      <w:pPr>
        <w:spacing w:after="0" w:line="200" w:lineRule="exact"/>
        <w:rPr>
          <w:sz w:val="20"/>
          <w:szCs w:val="20"/>
          <w:color w:val="auto"/>
        </w:rPr>
      </w:pPr>
    </w:p>
    <w:p>
      <w:pPr>
        <w:spacing w:after="0" w:line="247"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CREDIT SUISSE AG, NEW YORK</w:t>
      </w:r>
    </w:p>
    <w:p>
      <w:pPr>
        <w:ind w:left="2880"/>
        <w:spacing w:after="0"/>
        <w:rPr>
          <w:sz w:val="20"/>
          <w:szCs w:val="20"/>
          <w:color w:val="auto"/>
        </w:rPr>
      </w:pPr>
      <w:r>
        <w:rPr>
          <w:rFonts w:ascii="Arial" w:cs="Arial" w:eastAsia="Arial" w:hAnsi="Arial"/>
          <w:sz w:val="21"/>
          <w:szCs w:val="21"/>
          <w:color w:val="auto"/>
        </w:rPr>
        <w:t>BRANCH, as a Bank</w:t>
      </w:r>
    </w:p>
    <w:p>
      <w:pPr>
        <w:spacing w:after="0" w:line="246" w:lineRule="exact"/>
        <w:rPr>
          <w:sz w:val="20"/>
          <w:szCs w:val="20"/>
          <w:color w:val="auto"/>
        </w:rPr>
      </w:pPr>
    </w:p>
    <w:p>
      <w:pPr>
        <w:ind w:left="3280"/>
        <w:spacing w:after="0"/>
        <w:tabs>
          <w:tab w:leader="none" w:pos="382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Doreen Barr</w:t>
      </w:r>
    </w:p>
    <w:p>
      <w:pPr>
        <w:spacing w:after="0" w:line="92" w:lineRule="exact"/>
        <w:rPr>
          <w:sz w:val="20"/>
          <w:szCs w:val="20"/>
          <w:color w:val="auto"/>
        </w:rPr>
      </w:pPr>
    </w:p>
    <w:p>
      <w:pPr>
        <w:ind w:left="3020"/>
        <w:spacing w:after="0"/>
        <w:tabs>
          <w:tab w:leader="none" w:pos="3820" w:val="left"/>
        </w:tabs>
        <w:rPr>
          <w:sz w:val="20"/>
          <w:szCs w:val="20"/>
          <w:color w:val="auto"/>
        </w:rPr>
      </w:pPr>
      <w:r>
        <w:rPr>
          <w:rFonts w:ascii="Arial" w:cs="Arial" w:eastAsia="Arial" w:hAnsi="Arial"/>
          <w:sz w:val="21"/>
          <w:szCs w:val="21"/>
          <w:color w:val="auto"/>
        </w:rPr>
        <w:t>Name:</w:t>
        <w:tab/>
        <w:t>Doreen Barr</w:t>
      </w:r>
    </w:p>
    <w:p>
      <w:pPr>
        <w:spacing w:after="0" w:line="12" w:lineRule="exact"/>
        <w:rPr>
          <w:sz w:val="20"/>
          <w:szCs w:val="20"/>
          <w:color w:val="auto"/>
        </w:rPr>
      </w:pPr>
    </w:p>
    <w:p>
      <w:pPr>
        <w:jc w:val="center"/>
        <w:ind w:left="1800"/>
        <w:spacing w:after="0"/>
        <w:tabs>
          <w:tab w:leader="none" w:pos="240" w:val="left"/>
        </w:tabs>
        <w:rPr>
          <w:sz w:val="20"/>
          <w:szCs w:val="20"/>
          <w:color w:val="auto"/>
        </w:rPr>
      </w:pPr>
      <w:r>
        <w:rPr>
          <w:rFonts w:ascii="Arial" w:cs="Arial" w:eastAsia="Arial" w:hAnsi="Arial"/>
          <w:sz w:val="21"/>
          <w:szCs w:val="21"/>
          <w:color w:val="auto"/>
        </w:rPr>
        <w:t>Title:</w:t>
        <w:tab/>
        <w:t>Authorized Signatory</w:t>
      </w:r>
    </w:p>
    <w:p>
      <w:pPr>
        <w:spacing w:after="0" w:line="258" w:lineRule="exact"/>
        <w:rPr>
          <w:sz w:val="20"/>
          <w:szCs w:val="20"/>
          <w:color w:val="auto"/>
        </w:rPr>
      </w:pPr>
    </w:p>
    <w:p>
      <w:pPr>
        <w:ind w:left="3280"/>
        <w:spacing w:after="0"/>
        <w:tabs>
          <w:tab w:leader="none" w:pos="382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Michael Dieffenbacher</w:t>
      </w:r>
    </w:p>
    <w:p>
      <w:pPr>
        <w:spacing w:after="0" w:line="92" w:lineRule="exact"/>
        <w:rPr>
          <w:sz w:val="20"/>
          <w:szCs w:val="20"/>
          <w:color w:val="auto"/>
        </w:rPr>
      </w:pPr>
    </w:p>
    <w:p>
      <w:pPr>
        <w:ind w:left="3020"/>
        <w:spacing w:after="0"/>
        <w:tabs>
          <w:tab w:leader="none" w:pos="3820" w:val="left"/>
        </w:tabs>
        <w:rPr>
          <w:sz w:val="20"/>
          <w:szCs w:val="20"/>
          <w:color w:val="auto"/>
        </w:rPr>
      </w:pPr>
      <w:r>
        <w:rPr>
          <w:rFonts w:ascii="Arial" w:cs="Arial" w:eastAsia="Arial" w:hAnsi="Arial"/>
          <w:sz w:val="21"/>
          <w:szCs w:val="21"/>
          <w:color w:val="auto"/>
        </w:rPr>
        <w:t>Name:</w:t>
        <w:tab/>
        <w:t>Michael Dieffenbacher</w:t>
      </w:r>
    </w:p>
    <w:p>
      <w:pPr>
        <w:spacing w:after="0" w:line="12" w:lineRule="exact"/>
        <w:rPr>
          <w:sz w:val="20"/>
          <w:szCs w:val="20"/>
          <w:color w:val="auto"/>
        </w:rPr>
      </w:pPr>
    </w:p>
    <w:p>
      <w:pPr>
        <w:jc w:val="center"/>
        <w:ind w:left="1800"/>
        <w:spacing w:after="0"/>
        <w:tabs>
          <w:tab w:leader="none" w:pos="240" w:val="left"/>
        </w:tabs>
        <w:rPr>
          <w:sz w:val="20"/>
          <w:szCs w:val="20"/>
          <w:color w:val="auto"/>
        </w:rPr>
      </w:pPr>
      <w:r>
        <w:rPr>
          <w:rFonts w:ascii="Arial" w:cs="Arial" w:eastAsia="Arial" w:hAnsi="Arial"/>
          <w:sz w:val="21"/>
          <w:szCs w:val="21"/>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200" w:lineRule="exact"/>
        <w:rPr>
          <w:sz w:val="20"/>
          <w:szCs w:val="20"/>
          <w:color w:val="auto"/>
        </w:rPr>
      </w:pPr>
    </w:p>
    <w:p>
      <w:pPr>
        <w:spacing w:after="0" w:line="205"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GOLDMAN SACHS BANK USA, as a Bank</w:t>
      </w:r>
    </w:p>
    <w:p>
      <w:pPr>
        <w:spacing w:after="0" w:line="200" w:lineRule="exact"/>
        <w:rPr>
          <w:sz w:val="20"/>
          <w:szCs w:val="20"/>
          <w:color w:val="auto"/>
        </w:rPr>
      </w:pPr>
    </w:p>
    <w:p>
      <w:pPr>
        <w:spacing w:after="0" w:line="289" w:lineRule="exact"/>
        <w:rPr>
          <w:sz w:val="20"/>
          <w:szCs w:val="20"/>
          <w:color w:val="auto"/>
        </w:rPr>
      </w:pPr>
    </w:p>
    <w:tbl>
      <w:tblPr>
        <w:tblLayout w:type="fixed"/>
        <w:tblInd w:w="2940" w:type="dxa"/>
        <w:tblCellMar>
          <w:top w:w="0" w:type="dxa"/>
          <w:left w:w="0" w:type="dxa"/>
          <w:bottom w:w="0" w:type="dxa"/>
          <w:right w:w="0" w:type="dxa"/>
        </w:tblCellMar>
      </w:tblPr>
      <w:tr>
        <w:trPr>
          <w:trHeight w:val="260"/>
        </w:trPr>
        <w:tc>
          <w:tcPr>
            <w:tcW w:w="840" w:type="dxa"/>
            <w:vAlign w:val="bottom"/>
          </w:tcPr>
          <w:p>
            <w:pPr>
              <w:jc w:val="right"/>
              <w:ind w:right="154"/>
              <w:spacing w:after="0"/>
              <w:rPr>
                <w:sz w:val="20"/>
                <w:szCs w:val="20"/>
                <w:color w:val="auto"/>
              </w:rPr>
            </w:pPr>
            <w:r>
              <w:rPr>
                <w:rFonts w:ascii="Arial" w:cs="Arial" w:eastAsia="Arial" w:hAnsi="Arial"/>
                <w:sz w:val="21"/>
                <w:szCs w:val="21"/>
                <w:color w:val="auto"/>
              </w:rPr>
              <w:t>By:</w:t>
            </w:r>
          </w:p>
        </w:tc>
        <w:tc>
          <w:tcPr>
            <w:tcW w:w="1840" w:type="dxa"/>
            <w:vAlign w:val="bottom"/>
            <w:gridSpan w:val="2"/>
          </w:tcPr>
          <w:p>
            <w:pPr>
              <w:spacing w:after="0"/>
              <w:rPr>
                <w:sz w:val="20"/>
                <w:szCs w:val="20"/>
                <w:color w:val="auto"/>
              </w:rPr>
            </w:pPr>
            <w:r>
              <w:rPr>
                <w:rFonts w:ascii="Arial" w:cs="Arial" w:eastAsia="Arial" w:hAnsi="Arial"/>
                <w:sz w:val="21"/>
                <w:szCs w:val="21"/>
                <w:color w:val="auto"/>
              </w:rPr>
              <w:t>/s/ Keshia Leday</w:t>
            </w:r>
          </w:p>
        </w:tc>
      </w:tr>
      <w:tr>
        <w:trPr>
          <w:trHeight w:val="317"/>
        </w:trPr>
        <w:tc>
          <w:tcPr>
            <w:tcW w:w="840" w:type="dxa"/>
            <w:vAlign w:val="bottom"/>
          </w:tcPr>
          <w:p>
            <w:pPr>
              <w:jc w:val="right"/>
              <w:ind w:right="154"/>
              <w:spacing w:after="0"/>
              <w:rPr>
                <w:sz w:val="20"/>
                <w:szCs w:val="20"/>
                <w:color w:val="auto"/>
              </w:rPr>
            </w:pPr>
            <w:r>
              <w:rPr>
                <w:rFonts w:ascii="Arial" w:cs="Arial" w:eastAsia="Arial" w:hAnsi="Arial"/>
                <w:sz w:val="21"/>
                <w:szCs w:val="21"/>
                <w:color w:val="auto"/>
                <w:w w:val="90"/>
              </w:rPr>
              <w:t>Name:</w:t>
            </w:r>
          </w:p>
        </w:tc>
        <w:tc>
          <w:tcPr>
            <w:tcW w:w="142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Keshia Leday</w:t>
            </w:r>
          </w:p>
        </w:tc>
        <w:tc>
          <w:tcPr>
            <w:tcW w:w="420" w:type="dxa"/>
            <w:vAlign w:val="bottom"/>
          </w:tcPr>
          <w:p>
            <w:pPr>
              <w:spacing w:after="0"/>
              <w:rPr>
                <w:sz w:val="24"/>
                <w:szCs w:val="24"/>
                <w:color w:val="auto"/>
              </w:rPr>
            </w:pPr>
          </w:p>
        </w:tc>
      </w:tr>
      <w:tr>
        <w:trPr>
          <w:trHeight w:val="271"/>
        </w:trPr>
        <w:tc>
          <w:tcPr>
            <w:tcW w:w="840" w:type="dxa"/>
            <w:vAlign w:val="bottom"/>
          </w:tcPr>
          <w:p>
            <w:pPr>
              <w:jc w:val="right"/>
              <w:ind w:right="154"/>
              <w:spacing w:after="0"/>
              <w:rPr>
                <w:sz w:val="20"/>
                <w:szCs w:val="20"/>
                <w:color w:val="auto"/>
              </w:rPr>
            </w:pPr>
            <w:r>
              <w:rPr>
                <w:rFonts w:ascii="Arial" w:cs="Arial" w:eastAsia="Arial" w:hAnsi="Arial"/>
                <w:sz w:val="21"/>
                <w:szCs w:val="21"/>
                <w:color w:val="auto"/>
              </w:rPr>
              <w:t>Title:</w:t>
            </w:r>
          </w:p>
        </w:tc>
        <w:tc>
          <w:tcPr>
            <w:tcW w:w="1840" w:type="dxa"/>
            <w:vAlign w:val="bottom"/>
            <w:gridSpan w:val="2"/>
          </w:tcPr>
          <w:p>
            <w:pPr>
              <w:spacing w:after="0"/>
              <w:rPr>
                <w:sz w:val="20"/>
                <w:szCs w:val="20"/>
                <w:color w:val="auto"/>
              </w:rPr>
            </w:pPr>
            <w:r>
              <w:rPr>
                <w:rFonts w:ascii="Arial" w:cs="Arial" w:eastAsia="Arial" w:hAnsi="Arial"/>
                <w:sz w:val="21"/>
                <w:szCs w:val="21"/>
                <w:color w:val="auto"/>
                <w:w w:val="93"/>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200" w:lineRule="exact"/>
        <w:rPr>
          <w:sz w:val="20"/>
          <w:szCs w:val="20"/>
          <w:color w:val="auto"/>
        </w:rPr>
      </w:pPr>
    </w:p>
    <w:p>
      <w:pPr>
        <w:spacing w:after="0" w:line="247"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MORGAN STANLEY BANK, N.A., as a</w:t>
      </w:r>
    </w:p>
    <w:p>
      <w:pPr>
        <w:ind w:left="2720"/>
        <w:spacing w:after="0"/>
        <w:rPr>
          <w:sz w:val="20"/>
          <w:szCs w:val="20"/>
          <w:color w:val="auto"/>
        </w:rPr>
      </w:pPr>
      <w:r>
        <w:rPr>
          <w:rFonts w:ascii="Arial" w:cs="Arial" w:eastAsia="Arial" w:hAnsi="Arial"/>
          <w:sz w:val="21"/>
          <w:szCs w:val="21"/>
          <w:color w:val="auto"/>
        </w:rPr>
        <w:t>Bank</w:t>
      </w:r>
    </w:p>
    <w:p>
      <w:pPr>
        <w:spacing w:after="0" w:line="246" w:lineRule="exact"/>
        <w:rPr>
          <w:sz w:val="20"/>
          <w:szCs w:val="20"/>
          <w:color w:val="auto"/>
        </w:rPr>
      </w:pPr>
    </w:p>
    <w:p>
      <w:pPr>
        <w:ind w:left="3060"/>
        <w:spacing w:after="0"/>
        <w:tabs>
          <w:tab w:leader="none" w:pos="362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Taylor Tripucka</w:t>
      </w:r>
    </w:p>
    <w:p>
      <w:pPr>
        <w:spacing w:after="0" w:line="92" w:lineRule="exact"/>
        <w:rPr>
          <w:sz w:val="20"/>
          <w:szCs w:val="20"/>
          <w:color w:val="auto"/>
        </w:rPr>
      </w:pPr>
    </w:p>
    <w:p>
      <w:pPr>
        <w:ind w:left="2800"/>
        <w:spacing w:after="0"/>
        <w:tabs>
          <w:tab w:leader="none" w:pos="3620" w:val="left"/>
        </w:tabs>
        <w:rPr>
          <w:sz w:val="20"/>
          <w:szCs w:val="20"/>
          <w:color w:val="auto"/>
        </w:rPr>
      </w:pPr>
      <w:r>
        <w:rPr>
          <w:rFonts w:ascii="Arial" w:cs="Arial" w:eastAsia="Arial" w:hAnsi="Arial"/>
          <w:sz w:val="21"/>
          <w:szCs w:val="21"/>
          <w:color w:val="auto"/>
        </w:rPr>
        <w:t>Name:</w:t>
        <w:tab/>
        <w:t>Taylor Tripucka</w:t>
      </w:r>
    </w:p>
    <w:p>
      <w:pPr>
        <w:spacing w:after="0" w:line="12" w:lineRule="exact"/>
        <w:rPr>
          <w:sz w:val="20"/>
          <w:szCs w:val="20"/>
          <w:color w:val="auto"/>
        </w:rPr>
      </w:pPr>
    </w:p>
    <w:p>
      <w:pPr>
        <w:ind w:left="2920"/>
        <w:spacing w:after="0"/>
        <w:tabs>
          <w:tab w:leader="none" w:pos="3620" w:val="left"/>
        </w:tabs>
        <w:rPr>
          <w:sz w:val="20"/>
          <w:szCs w:val="20"/>
          <w:color w:val="auto"/>
        </w:rPr>
      </w:pPr>
      <w:r>
        <w:rPr>
          <w:rFonts w:ascii="Arial" w:cs="Arial" w:eastAsia="Arial" w:hAnsi="Arial"/>
          <w:sz w:val="21"/>
          <w:szCs w:val="21"/>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200" w:lineRule="exact"/>
        <w:rPr>
          <w:sz w:val="20"/>
          <w:szCs w:val="20"/>
          <w:color w:val="auto"/>
        </w:rPr>
      </w:pPr>
    </w:p>
    <w:p>
      <w:pPr>
        <w:spacing w:after="0" w:line="247"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PNC BANK, NATIONAL ASSOCIATION, as</w:t>
      </w:r>
    </w:p>
    <w:p>
      <w:pPr>
        <w:ind w:left="2720"/>
        <w:spacing w:after="0"/>
        <w:rPr>
          <w:sz w:val="20"/>
          <w:szCs w:val="20"/>
          <w:color w:val="auto"/>
        </w:rPr>
      </w:pPr>
      <w:r>
        <w:rPr>
          <w:rFonts w:ascii="Arial" w:cs="Arial" w:eastAsia="Arial" w:hAnsi="Arial"/>
          <w:sz w:val="21"/>
          <w:szCs w:val="21"/>
          <w:color w:val="auto"/>
        </w:rPr>
        <w:t>a Bank</w:t>
      </w:r>
    </w:p>
    <w:p>
      <w:pPr>
        <w:spacing w:after="0" w:line="246" w:lineRule="exact"/>
        <w:rPr>
          <w:sz w:val="20"/>
          <w:szCs w:val="20"/>
          <w:color w:val="auto"/>
        </w:rPr>
      </w:pPr>
    </w:p>
    <w:p>
      <w:pPr>
        <w:ind w:left="3140"/>
        <w:spacing w:after="0"/>
        <w:tabs>
          <w:tab w:leader="none" w:pos="368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Joseph Rein</w:t>
      </w:r>
    </w:p>
    <w:p>
      <w:pPr>
        <w:spacing w:after="0" w:line="92" w:lineRule="exact"/>
        <w:rPr>
          <w:sz w:val="20"/>
          <w:szCs w:val="20"/>
          <w:color w:val="auto"/>
        </w:rPr>
      </w:pPr>
    </w:p>
    <w:p>
      <w:pPr>
        <w:ind w:left="2880"/>
        <w:spacing w:after="0"/>
        <w:tabs>
          <w:tab w:leader="none" w:pos="3680" w:val="left"/>
        </w:tabs>
        <w:rPr>
          <w:sz w:val="20"/>
          <w:szCs w:val="20"/>
          <w:color w:val="auto"/>
        </w:rPr>
      </w:pPr>
      <w:r>
        <w:rPr>
          <w:rFonts w:ascii="Arial" w:cs="Arial" w:eastAsia="Arial" w:hAnsi="Arial"/>
          <w:sz w:val="21"/>
          <w:szCs w:val="21"/>
          <w:color w:val="auto"/>
        </w:rPr>
        <w:t>Name:</w:t>
        <w:tab/>
        <w:t>Joseph Rein</w:t>
      </w:r>
    </w:p>
    <w:p>
      <w:pPr>
        <w:spacing w:after="0" w:line="12" w:lineRule="exact"/>
        <w:rPr>
          <w:sz w:val="20"/>
          <w:szCs w:val="20"/>
          <w:color w:val="auto"/>
        </w:rPr>
      </w:pPr>
    </w:p>
    <w:p>
      <w:pPr>
        <w:jc w:val="center"/>
        <w:ind w:left="1600"/>
        <w:spacing w:after="0"/>
        <w:tabs>
          <w:tab w:leader="none" w:pos="240" w:val="left"/>
        </w:tabs>
        <w:rPr>
          <w:sz w:val="20"/>
          <w:szCs w:val="20"/>
          <w:color w:val="auto"/>
        </w:rPr>
      </w:pPr>
      <w:r>
        <w:rPr>
          <w:rFonts w:ascii="Arial" w:cs="Arial" w:eastAsia="Arial" w:hAnsi="Arial"/>
          <w:sz w:val="21"/>
          <w:szCs w:val="21"/>
          <w:color w:val="auto"/>
        </w:rPr>
        <w:t>Title:</w:t>
        <w:tab/>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200" w:lineRule="exact"/>
        <w:rPr>
          <w:sz w:val="20"/>
          <w:szCs w:val="20"/>
          <w:color w:val="auto"/>
        </w:rPr>
      </w:pPr>
    </w:p>
    <w:p>
      <w:pPr>
        <w:spacing w:after="0" w:line="258"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TD BANK, N.A., as a Bank</w:t>
      </w:r>
    </w:p>
    <w:p>
      <w:pPr>
        <w:spacing w:after="0" w:line="200" w:lineRule="exact"/>
        <w:rPr>
          <w:sz w:val="20"/>
          <w:szCs w:val="20"/>
          <w:color w:val="auto"/>
        </w:rPr>
      </w:pPr>
    </w:p>
    <w:p>
      <w:pPr>
        <w:spacing w:after="0" w:line="276" w:lineRule="exact"/>
        <w:rPr>
          <w:sz w:val="20"/>
          <w:szCs w:val="20"/>
          <w:color w:val="auto"/>
        </w:rPr>
      </w:pPr>
    </w:p>
    <w:tbl>
      <w:tblPr>
        <w:tblLayout w:type="fixed"/>
        <w:tblInd w:w="2800" w:type="dxa"/>
        <w:tblCellMar>
          <w:top w:w="0" w:type="dxa"/>
          <w:left w:w="0" w:type="dxa"/>
          <w:bottom w:w="0" w:type="dxa"/>
          <w:right w:w="0" w:type="dxa"/>
        </w:tblCellMar>
      </w:tblPr>
      <w:tr>
        <w:trPr>
          <w:trHeight w:val="260"/>
        </w:trPr>
        <w:tc>
          <w:tcPr>
            <w:tcW w:w="840" w:type="dxa"/>
            <w:vAlign w:val="bottom"/>
          </w:tcPr>
          <w:p>
            <w:pPr>
              <w:jc w:val="right"/>
              <w:ind w:right="174"/>
              <w:spacing w:after="0"/>
              <w:rPr>
                <w:sz w:val="20"/>
                <w:szCs w:val="20"/>
                <w:color w:val="auto"/>
              </w:rPr>
            </w:pPr>
            <w:r>
              <w:rPr>
                <w:rFonts w:ascii="Arial" w:cs="Arial" w:eastAsia="Arial" w:hAnsi="Arial"/>
                <w:sz w:val="21"/>
                <w:szCs w:val="21"/>
                <w:color w:val="auto"/>
              </w:rPr>
              <w:t>By:</w:t>
            </w:r>
          </w:p>
        </w:tc>
        <w:tc>
          <w:tcPr>
            <w:tcW w:w="1840" w:type="dxa"/>
            <w:vAlign w:val="bottom"/>
            <w:gridSpan w:val="2"/>
          </w:tcPr>
          <w:p>
            <w:pPr>
              <w:spacing w:after="0"/>
              <w:rPr>
                <w:sz w:val="20"/>
                <w:szCs w:val="20"/>
                <w:color w:val="auto"/>
              </w:rPr>
            </w:pPr>
            <w:r>
              <w:rPr>
                <w:rFonts w:ascii="Arial" w:cs="Arial" w:eastAsia="Arial" w:hAnsi="Arial"/>
                <w:sz w:val="21"/>
                <w:szCs w:val="21"/>
                <w:color w:val="auto"/>
              </w:rPr>
              <w:t>/s/ Steve Levi</w:t>
            </w:r>
          </w:p>
        </w:tc>
      </w:tr>
      <w:tr>
        <w:trPr>
          <w:trHeight w:val="330"/>
        </w:trPr>
        <w:tc>
          <w:tcPr>
            <w:tcW w:w="840" w:type="dxa"/>
            <w:vAlign w:val="bottom"/>
          </w:tcPr>
          <w:p>
            <w:pPr>
              <w:jc w:val="right"/>
              <w:ind w:right="174"/>
              <w:spacing w:after="0"/>
              <w:rPr>
                <w:sz w:val="20"/>
                <w:szCs w:val="20"/>
                <w:color w:val="auto"/>
              </w:rPr>
            </w:pPr>
            <w:r>
              <w:rPr>
                <w:rFonts w:ascii="Arial" w:cs="Arial" w:eastAsia="Arial" w:hAnsi="Arial"/>
                <w:sz w:val="21"/>
                <w:szCs w:val="21"/>
                <w:color w:val="auto"/>
                <w:w w:val="87"/>
              </w:rPr>
              <w:t>Name:</w:t>
            </w:r>
          </w:p>
        </w:tc>
        <w:tc>
          <w:tcPr>
            <w:tcW w:w="116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Steve Levi</w:t>
            </w:r>
          </w:p>
        </w:tc>
        <w:tc>
          <w:tcPr>
            <w:tcW w:w="680" w:type="dxa"/>
            <w:vAlign w:val="bottom"/>
          </w:tcPr>
          <w:p>
            <w:pPr>
              <w:spacing w:after="0"/>
              <w:rPr>
                <w:sz w:val="24"/>
                <w:szCs w:val="24"/>
                <w:color w:val="auto"/>
              </w:rPr>
            </w:pPr>
          </w:p>
        </w:tc>
      </w:tr>
      <w:tr>
        <w:trPr>
          <w:trHeight w:val="271"/>
        </w:trPr>
        <w:tc>
          <w:tcPr>
            <w:tcW w:w="840" w:type="dxa"/>
            <w:vAlign w:val="bottom"/>
          </w:tcPr>
          <w:p>
            <w:pPr>
              <w:jc w:val="right"/>
              <w:ind w:right="174"/>
              <w:spacing w:after="0"/>
              <w:rPr>
                <w:sz w:val="20"/>
                <w:szCs w:val="20"/>
                <w:color w:val="auto"/>
              </w:rPr>
            </w:pPr>
            <w:r>
              <w:rPr>
                <w:rFonts w:ascii="Arial" w:cs="Arial" w:eastAsia="Arial" w:hAnsi="Arial"/>
                <w:sz w:val="21"/>
                <w:szCs w:val="21"/>
                <w:color w:val="auto"/>
              </w:rPr>
              <w:t>Title:</w:t>
            </w:r>
          </w:p>
        </w:tc>
        <w:tc>
          <w:tcPr>
            <w:tcW w:w="1840" w:type="dxa"/>
            <w:vAlign w:val="bottom"/>
            <w:gridSpan w:val="2"/>
          </w:tcPr>
          <w:p>
            <w:pPr>
              <w:spacing w:after="0"/>
              <w:rPr>
                <w:sz w:val="20"/>
                <w:szCs w:val="20"/>
                <w:color w:val="auto"/>
              </w:rPr>
            </w:pPr>
            <w:r>
              <w:rPr>
                <w:rFonts w:ascii="Arial" w:cs="Arial" w:eastAsia="Arial" w:hAnsi="Arial"/>
                <w:sz w:val="21"/>
                <w:szCs w:val="21"/>
                <w:color w:val="auto"/>
                <w:w w:val="90"/>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200" w:lineRule="exact"/>
        <w:rPr>
          <w:sz w:val="20"/>
          <w:szCs w:val="20"/>
          <w:color w:val="auto"/>
        </w:rPr>
      </w:pPr>
    </w:p>
    <w:p>
      <w:pPr>
        <w:spacing w:after="0" w:line="258" w:lineRule="exact"/>
        <w:rPr>
          <w:sz w:val="20"/>
          <w:szCs w:val="20"/>
          <w:color w:val="auto"/>
        </w:rPr>
      </w:pPr>
    </w:p>
    <w:p>
      <w:pPr>
        <w:jc w:val="center"/>
        <w:ind w:right="-200"/>
        <w:spacing w:after="0"/>
        <w:rPr>
          <w:sz w:val="20"/>
          <w:szCs w:val="20"/>
          <w:color w:val="auto"/>
        </w:rPr>
      </w:pPr>
      <w:r>
        <w:rPr>
          <w:rFonts w:ascii="Arial" w:cs="Arial" w:eastAsia="Arial" w:hAnsi="Arial"/>
          <w:sz w:val="21"/>
          <w:szCs w:val="21"/>
          <w:color w:val="auto"/>
        </w:rPr>
        <w:t>THE BANK OF NOVA SCOTIA, as a Bank</w:t>
      </w:r>
    </w:p>
    <w:p>
      <w:pPr>
        <w:spacing w:after="0" w:line="264" w:lineRule="exact"/>
        <w:rPr>
          <w:sz w:val="20"/>
          <w:szCs w:val="20"/>
          <w:color w:val="auto"/>
        </w:rPr>
      </w:pPr>
    </w:p>
    <w:p>
      <w:pPr>
        <w:ind w:left="3140"/>
        <w:spacing w:after="0"/>
        <w:tabs>
          <w:tab w:leader="none" w:pos="368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David Dewar</w:t>
      </w:r>
    </w:p>
    <w:p>
      <w:pPr>
        <w:spacing w:after="0" w:line="92" w:lineRule="exact"/>
        <w:rPr>
          <w:sz w:val="20"/>
          <w:szCs w:val="20"/>
          <w:color w:val="auto"/>
        </w:rPr>
      </w:pPr>
    </w:p>
    <w:p>
      <w:pPr>
        <w:ind w:left="2880"/>
        <w:spacing w:after="0"/>
        <w:tabs>
          <w:tab w:leader="none" w:pos="3680" w:val="left"/>
        </w:tabs>
        <w:rPr>
          <w:sz w:val="20"/>
          <w:szCs w:val="20"/>
          <w:color w:val="auto"/>
        </w:rPr>
      </w:pPr>
      <w:r>
        <w:rPr>
          <w:rFonts w:ascii="Arial" w:cs="Arial" w:eastAsia="Arial" w:hAnsi="Arial"/>
          <w:sz w:val="21"/>
          <w:szCs w:val="21"/>
          <w:color w:val="auto"/>
        </w:rPr>
        <w:t>Name:</w:t>
        <w:tab/>
        <w:t>David Dewar</w:t>
      </w:r>
    </w:p>
    <w:p>
      <w:pPr>
        <w:spacing w:after="0" w:line="12" w:lineRule="exact"/>
        <w:rPr>
          <w:sz w:val="20"/>
          <w:szCs w:val="20"/>
          <w:color w:val="auto"/>
        </w:rPr>
      </w:pPr>
    </w:p>
    <w:p>
      <w:pPr>
        <w:ind w:left="2980"/>
        <w:spacing w:after="0"/>
        <w:tabs>
          <w:tab w:leader="none" w:pos="3680" w:val="left"/>
        </w:tabs>
        <w:rPr>
          <w:sz w:val="20"/>
          <w:szCs w:val="20"/>
          <w:color w:val="auto"/>
        </w:rPr>
      </w:pPr>
      <w:r>
        <w:rPr>
          <w:rFonts w:ascii="Arial" w:cs="Arial" w:eastAsia="Arial" w:hAnsi="Arial"/>
          <w:sz w:val="21"/>
          <w:szCs w:val="21"/>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200" w:lineRule="exact"/>
        <w:rPr>
          <w:sz w:val="20"/>
          <w:szCs w:val="20"/>
          <w:color w:val="auto"/>
        </w:rPr>
      </w:pPr>
    </w:p>
    <w:p>
      <w:pPr>
        <w:spacing w:after="0" w:line="258"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TRUIST BANK, as a Bank</w:t>
      </w:r>
    </w:p>
    <w:p>
      <w:pPr>
        <w:spacing w:after="0" w:line="264" w:lineRule="exact"/>
        <w:rPr>
          <w:sz w:val="20"/>
          <w:szCs w:val="20"/>
          <w:color w:val="auto"/>
        </w:rPr>
      </w:pPr>
    </w:p>
    <w:p>
      <w:pPr>
        <w:ind w:left="3200"/>
        <w:spacing w:after="0"/>
        <w:tabs>
          <w:tab w:leader="none" w:pos="376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Catherine Strickland</w:t>
      </w:r>
    </w:p>
    <w:p>
      <w:pPr>
        <w:spacing w:after="0" w:line="92" w:lineRule="exact"/>
        <w:rPr>
          <w:sz w:val="20"/>
          <w:szCs w:val="20"/>
          <w:color w:val="auto"/>
        </w:rPr>
      </w:pPr>
    </w:p>
    <w:p>
      <w:pPr>
        <w:ind w:left="2940"/>
        <w:spacing w:after="0"/>
        <w:tabs>
          <w:tab w:leader="none" w:pos="3760" w:val="left"/>
        </w:tabs>
        <w:rPr>
          <w:sz w:val="20"/>
          <w:szCs w:val="20"/>
          <w:color w:val="auto"/>
        </w:rPr>
      </w:pPr>
      <w:r>
        <w:rPr>
          <w:rFonts w:ascii="Arial" w:cs="Arial" w:eastAsia="Arial" w:hAnsi="Arial"/>
          <w:sz w:val="21"/>
          <w:szCs w:val="21"/>
          <w:color w:val="auto"/>
        </w:rPr>
        <w:t>Name:</w:t>
        <w:tab/>
        <w:t>Catherine Strickland</w:t>
      </w:r>
    </w:p>
    <w:p>
      <w:pPr>
        <w:spacing w:after="0" w:line="12" w:lineRule="exact"/>
        <w:rPr>
          <w:sz w:val="20"/>
          <w:szCs w:val="20"/>
          <w:color w:val="auto"/>
        </w:rPr>
      </w:pPr>
    </w:p>
    <w:p>
      <w:pPr>
        <w:ind w:left="3060"/>
        <w:spacing w:after="0"/>
        <w:tabs>
          <w:tab w:leader="none" w:pos="3760" w:val="left"/>
        </w:tabs>
        <w:rPr>
          <w:sz w:val="20"/>
          <w:szCs w:val="20"/>
          <w:color w:val="auto"/>
        </w:rPr>
      </w:pPr>
      <w:r>
        <w:rPr>
          <w:rFonts w:ascii="Arial" w:cs="Arial" w:eastAsia="Arial" w:hAnsi="Arial"/>
          <w:sz w:val="21"/>
          <w:szCs w:val="21"/>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200" w:lineRule="exact"/>
        <w:rPr>
          <w:sz w:val="20"/>
          <w:szCs w:val="20"/>
          <w:color w:val="auto"/>
        </w:rPr>
      </w:pPr>
    </w:p>
    <w:p>
      <w:pPr>
        <w:spacing w:after="0" w:line="247"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U.S. BANK NATIONAL ASSOCIATION,</w:t>
      </w:r>
    </w:p>
    <w:p>
      <w:pPr>
        <w:ind w:left="2800"/>
        <w:spacing w:after="0"/>
        <w:rPr>
          <w:sz w:val="20"/>
          <w:szCs w:val="20"/>
          <w:color w:val="auto"/>
        </w:rPr>
      </w:pPr>
      <w:r>
        <w:rPr>
          <w:rFonts w:ascii="Arial" w:cs="Arial" w:eastAsia="Arial" w:hAnsi="Arial"/>
          <w:sz w:val="21"/>
          <w:szCs w:val="21"/>
          <w:color w:val="auto"/>
        </w:rPr>
        <w:t>as a Bank</w:t>
      </w:r>
    </w:p>
    <w:p>
      <w:pPr>
        <w:spacing w:after="0" w:line="246" w:lineRule="exact"/>
        <w:rPr>
          <w:sz w:val="20"/>
          <w:szCs w:val="20"/>
          <w:color w:val="auto"/>
        </w:rPr>
      </w:pPr>
    </w:p>
    <w:p>
      <w:pPr>
        <w:ind w:left="3200"/>
        <w:spacing w:after="0"/>
        <w:tabs>
          <w:tab w:leader="none" w:pos="376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James O’Shaughnessy</w:t>
      </w:r>
    </w:p>
    <w:p>
      <w:pPr>
        <w:spacing w:after="0" w:line="92" w:lineRule="exact"/>
        <w:rPr>
          <w:sz w:val="20"/>
          <w:szCs w:val="20"/>
          <w:color w:val="auto"/>
        </w:rPr>
      </w:pPr>
    </w:p>
    <w:p>
      <w:pPr>
        <w:ind w:left="2940"/>
        <w:spacing w:after="0"/>
        <w:tabs>
          <w:tab w:leader="none" w:pos="3760" w:val="left"/>
        </w:tabs>
        <w:rPr>
          <w:sz w:val="20"/>
          <w:szCs w:val="20"/>
          <w:color w:val="auto"/>
        </w:rPr>
      </w:pPr>
      <w:r>
        <w:rPr>
          <w:rFonts w:ascii="Arial" w:cs="Arial" w:eastAsia="Arial" w:hAnsi="Arial"/>
          <w:sz w:val="21"/>
          <w:szCs w:val="21"/>
          <w:color w:val="auto"/>
        </w:rPr>
        <w:t>Name:</w:t>
        <w:tab/>
        <w:t>James O’Shaughnessy</w:t>
      </w:r>
    </w:p>
    <w:p>
      <w:pPr>
        <w:spacing w:after="0" w:line="12" w:lineRule="exact"/>
        <w:rPr>
          <w:sz w:val="20"/>
          <w:szCs w:val="20"/>
          <w:color w:val="auto"/>
        </w:rPr>
      </w:pPr>
    </w:p>
    <w:p>
      <w:pPr>
        <w:ind w:left="3060"/>
        <w:spacing w:after="0"/>
        <w:tabs>
          <w:tab w:leader="none" w:pos="3760" w:val="left"/>
        </w:tabs>
        <w:rPr>
          <w:sz w:val="20"/>
          <w:szCs w:val="20"/>
          <w:color w:val="auto"/>
        </w:rPr>
      </w:pPr>
      <w:r>
        <w:rPr>
          <w:rFonts w:ascii="Arial" w:cs="Arial" w:eastAsia="Arial" w:hAnsi="Arial"/>
          <w:sz w:val="21"/>
          <w:szCs w:val="21"/>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200" w:lineRule="exact"/>
        <w:rPr>
          <w:sz w:val="20"/>
          <w:szCs w:val="20"/>
          <w:color w:val="auto"/>
        </w:rPr>
      </w:pPr>
    </w:p>
    <w:p>
      <w:pPr>
        <w:spacing w:after="0" w:line="258"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COMERICA BANK, as a Bank</w:t>
      </w:r>
    </w:p>
    <w:p>
      <w:pPr>
        <w:spacing w:after="0" w:line="264" w:lineRule="exact"/>
        <w:rPr>
          <w:sz w:val="20"/>
          <w:szCs w:val="20"/>
          <w:color w:val="auto"/>
        </w:rPr>
      </w:pPr>
    </w:p>
    <w:p>
      <w:pPr>
        <w:ind w:left="3120"/>
        <w:spacing w:after="0"/>
        <w:tabs>
          <w:tab w:leader="none" w:pos="368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John Smithson</w:t>
      </w:r>
    </w:p>
    <w:p>
      <w:pPr>
        <w:spacing w:after="0" w:line="92" w:lineRule="exact"/>
        <w:rPr>
          <w:sz w:val="20"/>
          <w:szCs w:val="20"/>
          <w:color w:val="auto"/>
        </w:rPr>
      </w:pPr>
    </w:p>
    <w:p>
      <w:pPr>
        <w:ind w:left="2860"/>
        <w:spacing w:after="0"/>
        <w:tabs>
          <w:tab w:leader="none" w:pos="3680" w:val="left"/>
        </w:tabs>
        <w:rPr>
          <w:sz w:val="20"/>
          <w:szCs w:val="20"/>
          <w:color w:val="auto"/>
        </w:rPr>
      </w:pPr>
      <w:r>
        <w:rPr>
          <w:rFonts w:ascii="Arial" w:cs="Arial" w:eastAsia="Arial" w:hAnsi="Arial"/>
          <w:sz w:val="21"/>
          <w:szCs w:val="21"/>
          <w:color w:val="auto"/>
        </w:rPr>
        <w:t>Name:</w:t>
        <w:tab/>
        <w:t>John Smithson</w:t>
      </w:r>
    </w:p>
    <w:p>
      <w:pPr>
        <w:spacing w:after="0" w:line="12" w:lineRule="exact"/>
        <w:rPr>
          <w:sz w:val="20"/>
          <w:szCs w:val="20"/>
          <w:color w:val="auto"/>
        </w:rPr>
      </w:pPr>
    </w:p>
    <w:p>
      <w:pPr>
        <w:ind w:left="2980"/>
        <w:spacing w:after="0"/>
        <w:tabs>
          <w:tab w:leader="none" w:pos="3680" w:val="left"/>
        </w:tabs>
        <w:rPr>
          <w:sz w:val="20"/>
          <w:szCs w:val="20"/>
          <w:color w:val="auto"/>
        </w:rPr>
      </w:pPr>
      <w:r>
        <w:rPr>
          <w:rFonts w:ascii="Arial" w:cs="Arial" w:eastAsia="Arial" w:hAnsi="Arial"/>
          <w:sz w:val="21"/>
          <w:szCs w:val="21"/>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200" w:lineRule="exact"/>
        <w:rPr>
          <w:sz w:val="20"/>
          <w:szCs w:val="20"/>
          <w:color w:val="auto"/>
        </w:rPr>
      </w:pPr>
    </w:p>
    <w:p>
      <w:pPr>
        <w:spacing w:after="0" w:line="247"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THE BANK OF NEW YORK MELLON, as a</w:t>
      </w:r>
    </w:p>
    <w:p>
      <w:pPr>
        <w:ind w:left="2640"/>
        <w:spacing w:after="0"/>
        <w:rPr>
          <w:sz w:val="20"/>
          <w:szCs w:val="20"/>
          <w:color w:val="auto"/>
        </w:rPr>
      </w:pPr>
      <w:r>
        <w:rPr>
          <w:rFonts w:ascii="Arial" w:cs="Arial" w:eastAsia="Arial" w:hAnsi="Arial"/>
          <w:sz w:val="21"/>
          <w:szCs w:val="21"/>
          <w:color w:val="auto"/>
        </w:rPr>
        <w:t>Bank</w:t>
      </w:r>
    </w:p>
    <w:p>
      <w:pPr>
        <w:spacing w:after="0" w:line="246" w:lineRule="exact"/>
        <w:rPr>
          <w:sz w:val="20"/>
          <w:szCs w:val="20"/>
          <w:color w:val="auto"/>
        </w:rPr>
      </w:pPr>
    </w:p>
    <w:p>
      <w:pPr>
        <w:ind w:left="3060"/>
        <w:spacing w:after="0"/>
        <w:tabs>
          <w:tab w:leader="none" w:pos="362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Tak Cheng</w:t>
      </w:r>
    </w:p>
    <w:p>
      <w:pPr>
        <w:spacing w:after="0" w:line="92" w:lineRule="exact"/>
        <w:rPr>
          <w:sz w:val="20"/>
          <w:szCs w:val="20"/>
          <w:color w:val="auto"/>
        </w:rPr>
      </w:pPr>
    </w:p>
    <w:p>
      <w:pPr>
        <w:ind w:left="2800"/>
        <w:spacing w:after="0"/>
        <w:tabs>
          <w:tab w:leader="none" w:pos="3620" w:val="left"/>
        </w:tabs>
        <w:rPr>
          <w:sz w:val="20"/>
          <w:szCs w:val="20"/>
          <w:color w:val="auto"/>
        </w:rPr>
      </w:pPr>
      <w:r>
        <w:rPr>
          <w:rFonts w:ascii="Arial" w:cs="Arial" w:eastAsia="Arial" w:hAnsi="Arial"/>
          <w:sz w:val="21"/>
          <w:szCs w:val="21"/>
          <w:color w:val="auto"/>
        </w:rPr>
        <w:t>Name:</w:t>
        <w:tab/>
        <w:t>Tak Cheng</w:t>
      </w:r>
    </w:p>
    <w:p>
      <w:pPr>
        <w:spacing w:after="0" w:line="12" w:lineRule="exact"/>
        <w:rPr>
          <w:sz w:val="20"/>
          <w:szCs w:val="20"/>
          <w:color w:val="auto"/>
        </w:rPr>
      </w:pPr>
    </w:p>
    <w:p>
      <w:pPr>
        <w:ind w:left="2920"/>
        <w:spacing w:after="0"/>
        <w:tabs>
          <w:tab w:leader="none" w:pos="3620" w:val="left"/>
        </w:tabs>
        <w:rPr>
          <w:sz w:val="20"/>
          <w:szCs w:val="20"/>
          <w:color w:val="auto"/>
        </w:rPr>
      </w:pPr>
      <w:r>
        <w:rPr>
          <w:rFonts w:ascii="Arial" w:cs="Arial" w:eastAsia="Arial" w:hAnsi="Arial"/>
          <w:sz w:val="21"/>
          <w:szCs w:val="21"/>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200" w:lineRule="exact"/>
        <w:rPr>
          <w:sz w:val="20"/>
          <w:szCs w:val="20"/>
          <w:color w:val="auto"/>
        </w:rPr>
      </w:pPr>
    </w:p>
    <w:p>
      <w:pPr>
        <w:spacing w:after="0" w:line="247"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THE NORTHERN TRUST COMPANY, as a</w:t>
      </w:r>
    </w:p>
    <w:p>
      <w:pPr>
        <w:ind w:left="2880"/>
        <w:spacing w:after="0"/>
        <w:rPr>
          <w:sz w:val="20"/>
          <w:szCs w:val="20"/>
          <w:color w:val="auto"/>
        </w:rPr>
      </w:pPr>
      <w:r>
        <w:rPr>
          <w:rFonts w:ascii="Arial" w:cs="Arial" w:eastAsia="Arial" w:hAnsi="Arial"/>
          <w:sz w:val="21"/>
          <w:szCs w:val="21"/>
          <w:color w:val="auto"/>
        </w:rPr>
        <w:t>Bank</w:t>
      </w:r>
    </w:p>
    <w:p>
      <w:pPr>
        <w:spacing w:after="0" w:line="246" w:lineRule="exact"/>
        <w:rPr>
          <w:sz w:val="20"/>
          <w:szCs w:val="20"/>
          <w:color w:val="auto"/>
        </w:rPr>
      </w:pPr>
    </w:p>
    <w:p>
      <w:pPr>
        <w:ind w:left="3220"/>
        <w:spacing w:after="0"/>
        <w:tabs>
          <w:tab w:leader="none" w:pos="3760" w:val="left"/>
        </w:tabs>
        <w:rPr>
          <w:sz w:val="20"/>
          <w:szCs w:val="20"/>
          <w:color w:val="auto"/>
        </w:rPr>
      </w:pPr>
      <w:r>
        <w:rPr>
          <w:rFonts w:ascii="Arial" w:cs="Arial" w:eastAsia="Arial" w:hAnsi="Arial"/>
          <w:sz w:val="42"/>
          <w:szCs w:val="42"/>
          <w:color w:val="auto"/>
          <w:vertAlign w:val="superscript"/>
        </w:rPr>
        <w:t>By:</w:t>
      </w:r>
      <w:r>
        <w:rPr>
          <w:sz w:val="20"/>
          <w:szCs w:val="20"/>
          <w:color w:val="auto"/>
        </w:rPr>
        <w:tab/>
      </w:r>
      <w:r>
        <w:rPr>
          <w:rFonts w:ascii="Arial" w:cs="Arial" w:eastAsia="Arial" w:hAnsi="Arial"/>
          <w:sz w:val="21"/>
          <w:szCs w:val="21"/>
          <w:u w:val="single" w:color="auto"/>
          <w:color w:val="auto"/>
        </w:rPr>
        <w:t>/s/ Keith L. Burson</w:t>
      </w:r>
    </w:p>
    <w:p>
      <w:pPr>
        <w:spacing w:after="0" w:line="92" w:lineRule="exact"/>
        <w:rPr>
          <w:sz w:val="20"/>
          <w:szCs w:val="20"/>
          <w:color w:val="auto"/>
        </w:rPr>
      </w:pPr>
    </w:p>
    <w:p>
      <w:pPr>
        <w:ind w:left="2960"/>
        <w:spacing w:after="0"/>
        <w:tabs>
          <w:tab w:leader="none" w:pos="3760" w:val="left"/>
        </w:tabs>
        <w:rPr>
          <w:sz w:val="20"/>
          <w:szCs w:val="20"/>
          <w:color w:val="auto"/>
        </w:rPr>
      </w:pPr>
      <w:r>
        <w:rPr>
          <w:rFonts w:ascii="Arial" w:cs="Arial" w:eastAsia="Arial" w:hAnsi="Arial"/>
          <w:sz w:val="21"/>
          <w:szCs w:val="21"/>
          <w:color w:val="auto"/>
        </w:rPr>
        <w:t>Name:</w:t>
        <w:tab/>
        <w:t>Keith L. Burson</w:t>
      </w:r>
    </w:p>
    <w:p>
      <w:pPr>
        <w:spacing w:after="0" w:line="12" w:lineRule="exact"/>
        <w:rPr>
          <w:sz w:val="20"/>
          <w:szCs w:val="20"/>
          <w:color w:val="auto"/>
        </w:rPr>
      </w:pPr>
    </w:p>
    <w:p>
      <w:pPr>
        <w:jc w:val="center"/>
        <w:ind w:left="1600"/>
        <w:spacing w:after="0"/>
        <w:tabs>
          <w:tab w:leader="none" w:pos="240" w:val="left"/>
        </w:tabs>
        <w:rPr>
          <w:sz w:val="20"/>
          <w:szCs w:val="20"/>
          <w:color w:val="auto"/>
        </w:rPr>
      </w:pPr>
      <w:r>
        <w:rPr>
          <w:rFonts w:ascii="Arial" w:cs="Arial" w:eastAsia="Arial" w:hAnsi="Arial"/>
          <w:sz w:val="21"/>
          <w:szCs w:val="21"/>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Second Amended and Restated CNP Credit Agreement]</w:t>
      </w:r>
    </w:p>
    <w:p>
      <w:pPr>
        <w:sectPr>
          <w:pgSz w:w="11900" w:h="16838" w:orient="portrait"/>
          <w:cols w:equalWidth="0" w:num="1">
            <w:col w:w="9019"/>
          </w:cols>
          <w:pgMar w:left="1440" w:top="1440" w:right="1440" w:bottom="1440" w:gutter="0" w:footer="0" w:header="0"/>
        </w:sectPr>
      </w:pPr>
    </w:p>
    <w:bookmarkStart w:id="132" w:name="page133"/>
    <w:bookmarkEnd w:id="132"/>
    <w:p>
      <w:pPr>
        <w:ind w:left="10240"/>
        <w:spacing w:after="0"/>
        <w:rPr>
          <w:sz w:val="20"/>
          <w:szCs w:val="20"/>
          <w:color w:val="auto"/>
        </w:rPr>
      </w:pPr>
      <w:r>
        <w:rPr>
          <w:rFonts w:ascii="Arial" w:cs="Arial" w:eastAsia="Arial" w:hAnsi="Arial"/>
          <w:sz w:val="15"/>
          <w:szCs w:val="15"/>
          <w:color w:val="auto"/>
        </w:rPr>
        <w:t>Exhibit 31.1.1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18" w:lineRule="exact"/>
        <w:rPr>
          <w:sz w:val="20"/>
          <w:szCs w:val="20"/>
          <w:color w:val="auto"/>
        </w:rPr>
      </w:pPr>
    </w:p>
    <w:p>
      <w:pPr>
        <w:ind w:left="1280" w:hanging="636"/>
        <w:spacing w:after="0"/>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4" w:lineRule="exact"/>
        <w:rPr>
          <w:rFonts w:ascii="Arial" w:cs="Arial" w:eastAsia="Arial" w:hAnsi="Arial"/>
          <w:sz w:val="18"/>
          <w:szCs w:val="18"/>
          <w:color w:val="auto"/>
        </w:rPr>
      </w:pPr>
    </w:p>
    <w:p>
      <w:pPr>
        <w:jc w:val="both"/>
        <w:ind w:firstLine="644"/>
        <w:spacing w:after="0" w:line="256" w:lineRule="auto"/>
        <w:tabs>
          <w:tab w:leader="none" w:pos="12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firstLine="644"/>
        <w:spacing w:after="0" w:line="295" w:lineRule="auto"/>
        <w:tabs>
          <w:tab w:leader="none" w:pos="12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4"/>
        <w:spacing w:after="0" w:line="256" w:lineRule="auto"/>
        <w:tabs>
          <w:tab w:leader="none" w:pos="12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sz w:val="20"/>
          <w:szCs w:val="20"/>
          <w:color w:val="auto"/>
        </w:rPr>
      </w:pPr>
    </w:p>
    <w:p>
      <w:pPr>
        <w:jc w:val="both"/>
        <w:ind w:left="1280" w:hanging="636"/>
        <w:spacing w:after="0" w:line="256"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6"/>
        <w:spacing w:after="0" w:line="256"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6"/>
        <w:spacing w:after="0" w:line="366" w:lineRule="auto"/>
        <w:tabs>
          <w:tab w:leader="none" w:pos="12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6"/>
        <w:spacing w:after="0" w:line="256"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sz w:val="20"/>
          <w:szCs w:val="20"/>
          <w:color w:val="auto"/>
        </w:rPr>
      </w:pPr>
    </w:p>
    <w:p>
      <w:pPr>
        <w:ind w:firstLine="644"/>
        <w:spacing w:after="0" w:line="295" w:lineRule="auto"/>
        <w:tabs>
          <w:tab w:leader="none" w:pos="127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6"/>
        <w:spacing w:after="0" w:line="295" w:lineRule="auto"/>
        <w:tabs>
          <w:tab w:leader="none" w:pos="1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6"/>
        <w:spacing w:after="0" w:line="265" w:lineRule="auto"/>
        <w:tabs>
          <w:tab w:leader="none" w:pos="1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11430</wp:posOffset>
            </wp:positionV>
            <wp:extent cx="35585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J. Lesar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4" w:right="339" w:bottom="1440" w:gutter="0" w:footer="0" w:header="0"/>
        </w:sectPr>
      </w:pPr>
    </w:p>
    <w:bookmarkStart w:id="133" w:name="page134"/>
    <w:bookmarkEnd w:id="133"/>
    <w:p>
      <w:pPr>
        <w:ind w:left="10240"/>
        <w:spacing w:after="0"/>
        <w:rPr>
          <w:sz w:val="20"/>
          <w:szCs w:val="20"/>
          <w:color w:val="auto"/>
        </w:rPr>
      </w:pPr>
      <w:r>
        <w:rPr>
          <w:rFonts w:ascii="Arial" w:cs="Arial" w:eastAsia="Arial" w:hAnsi="Arial"/>
          <w:sz w:val="15"/>
          <w:szCs w:val="15"/>
          <w:color w:val="auto"/>
        </w:rPr>
        <w:t>Exhibit 31.1.2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8" w:lineRule="exact"/>
        <w:rPr>
          <w:sz w:val="20"/>
          <w:szCs w:val="20"/>
          <w:color w:val="auto"/>
        </w:rPr>
      </w:pPr>
    </w:p>
    <w:p>
      <w:pPr>
        <w:ind w:left="1280" w:hanging="636"/>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4" w:lineRule="exact"/>
        <w:rPr>
          <w:rFonts w:ascii="Arial" w:cs="Arial" w:eastAsia="Arial" w:hAnsi="Arial"/>
          <w:sz w:val="18"/>
          <w:szCs w:val="18"/>
          <w:color w:val="auto"/>
        </w:rPr>
      </w:pPr>
    </w:p>
    <w:p>
      <w:pPr>
        <w:jc w:val="both"/>
        <w:ind w:firstLine="644"/>
        <w:spacing w:after="0" w:line="256" w:lineRule="auto"/>
        <w:tabs>
          <w:tab w:leader="none" w:pos="12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firstLine="644"/>
        <w:spacing w:after="0" w:line="295" w:lineRule="auto"/>
        <w:tabs>
          <w:tab w:leader="none" w:pos="1275"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4"/>
        <w:spacing w:after="0" w:line="256" w:lineRule="auto"/>
        <w:tabs>
          <w:tab w:leader="none" w:pos="12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sz w:val="20"/>
          <w:szCs w:val="20"/>
          <w:color w:val="auto"/>
        </w:rPr>
      </w:pPr>
    </w:p>
    <w:p>
      <w:pPr>
        <w:jc w:val="both"/>
        <w:ind w:left="1280" w:hanging="636"/>
        <w:spacing w:after="0" w:line="256" w:lineRule="auto"/>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6"/>
        <w:spacing w:after="0" w:line="256" w:lineRule="auto"/>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6"/>
        <w:spacing w:after="0" w:line="366" w:lineRule="auto"/>
        <w:tabs>
          <w:tab w:leader="none" w:pos="12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6"/>
        <w:spacing w:after="0" w:line="256" w:lineRule="auto"/>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sz w:val="20"/>
          <w:szCs w:val="20"/>
          <w:color w:val="auto"/>
        </w:rPr>
      </w:pPr>
    </w:p>
    <w:p>
      <w:pPr>
        <w:ind w:firstLine="644"/>
        <w:spacing w:after="0" w:line="295" w:lineRule="auto"/>
        <w:tabs>
          <w:tab w:leader="none" w:pos="127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6"/>
        <w:spacing w:after="0" w:line="295" w:lineRule="auto"/>
        <w:tabs>
          <w:tab w:leader="none" w:pos="1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6"/>
        <w:spacing w:after="0" w:line="265" w:lineRule="auto"/>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11430</wp:posOffset>
            </wp:positionV>
            <wp:extent cx="35585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31.1.3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8" w:lineRule="exact"/>
        <w:rPr>
          <w:sz w:val="20"/>
          <w:szCs w:val="20"/>
          <w:color w:val="auto"/>
        </w:rPr>
      </w:pPr>
    </w:p>
    <w:p>
      <w:pPr>
        <w:ind w:left="1260" w:hanging="616"/>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7" w:lineRule="exact"/>
        <w:rPr>
          <w:rFonts w:ascii="Arial" w:cs="Arial" w:eastAsia="Arial" w:hAnsi="Arial"/>
          <w:sz w:val="18"/>
          <w:szCs w:val="18"/>
          <w:color w:val="auto"/>
        </w:rPr>
      </w:pPr>
    </w:p>
    <w:p>
      <w:pPr>
        <w:ind w:right="280" w:firstLine="644"/>
        <w:spacing w:after="0" w:line="256" w:lineRule="auto"/>
        <w:tabs>
          <w:tab w:leader="none" w:pos="12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right="520" w:firstLine="644"/>
        <w:spacing w:after="0" w:line="366" w:lineRule="auto"/>
        <w:tabs>
          <w:tab w:leader="none" w:pos="1257"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5"/>
          <w:szCs w:val="15"/>
          <w:color w:val="auto"/>
        </w:rPr>
      </w:pPr>
    </w:p>
    <w:p>
      <w:pPr>
        <w:ind w:right="200" w:firstLine="644"/>
        <w:spacing w:after="0" w:line="256" w:lineRule="auto"/>
        <w:tabs>
          <w:tab w:leader="none" w:pos="12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sz w:val="20"/>
          <w:szCs w:val="20"/>
          <w:color w:val="auto"/>
        </w:rPr>
      </w:pPr>
    </w:p>
    <w:p>
      <w:pPr>
        <w:ind w:left="1280" w:right="100" w:hanging="636"/>
        <w:spacing w:after="0" w:line="256"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1280" w:right="220" w:hanging="636"/>
        <w:spacing w:after="0" w:line="256"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jc w:val="both"/>
        <w:ind w:left="1280" w:right="400" w:hanging="636"/>
        <w:spacing w:after="0" w:line="366" w:lineRule="auto"/>
        <w:tabs>
          <w:tab w:leader="none" w:pos="12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636"/>
        <w:spacing w:after="0" w:line="256"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right="580" w:firstLine="644"/>
        <w:spacing w:after="0" w:line="366" w:lineRule="auto"/>
        <w:tabs>
          <w:tab w:leader="none" w:pos="1257"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280" w:right="620" w:hanging="636"/>
        <w:spacing w:after="0" w:line="366" w:lineRule="auto"/>
        <w:tabs>
          <w:tab w:leader="none" w:pos="12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40" w:hanging="636"/>
        <w:spacing w:after="0" w:line="265"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35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19685</wp:posOffset>
            </wp:positionV>
            <wp:extent cx="28079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2807970" cy="8255"/>
                    </a:xfrm>
                    <a:prstGeom prst="rect">
                      <a:avLst/>
                    </a:prstGeom>
                    <a:noFill/>
                  </pic:spPr>
                </pic:pic>
              </a:graphicData>
            </a:graphic>
          </wp:anchor>
        </w:drawing>
      </w:r>
    </w:p>
    <w:p>
      <w:pPr>
        <w:spacing w:after="0" w:line="3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Jason P. Wells</w:t>
      </w:r>
    </w:p>
    <w:p>
      <w:pPr>
        <w:spacing w:after="0" w:line="3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4" w:right="339" w:bottom="1440" w:gutter="0" w:footer="0" w:header="0"/>
        </w:sectPr>
      </w:pPr>
    </w:p>
    <w:bookmarkStart w:id="135" w:name="page136"/>
    <w:bookmarkEnd w:id="135"/>
    <w:p>
      <w:pPr>
        <w:ind w:left="10240"/>
        <w:spacing w:after="0"/>
        <w:rPr>
          <w:sz w:val="20"/>
          <w:szCs w:val="20"/>
          <w:color w:val="auto"/>
        </w:rPr>
      </w:pPr>
      <w:r>
        <w:rPr>
          <w:rFonts w:ascii="Arial" w:cs="Arial" w:eastAsia="Arial" w:hAnsi="Arial"/>
          <w:sz w:val="15"/>
          <w:szCs w:val="15"/>
          <w:color w:val="auto"/>
        </w:rPr>
        <w:t>Exhibit 31.2.1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Foster, certify that:</w:t>
      </w:r>
    </w:p>
    <w:p>
      <w:pPr>
        <w:spacing w:after="0" w:line="218" w:lineRule="exact"/>
        <w:rPr>
          <w:sz w:val="20"/>
          <w:szCs w:val="20"/>
          <w:color w:val="auto"/>
        </w:rPr>
      </w:pPr>
    </w:p>
    <w:p>
      <w:pPr>
        <w:ind w:left="1280" w:hanging="636"/>
        <w:spacing w:after="0"/>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4" w:lineRule="exact"/>
        <w:rPr>
          <w:rFonts w:ascii="Arial" w:cs="Arial" w:eastAsia="Arial" w:hAnsi="Arial"/>
          <w:sz w:val="18"/>
          <w:szCs w:val="18"/>
          <w:color w:val="auto"/>
        </w:rPr>
      </w:pPr>
    </w:p>
    <w:p>
      <w:pPr>
        <w:jc w:val="both"/>
        <w:ind w:firstLine="644"/>
        <w:spacing w:after="0" w:line="256" w:lineRule="auto"/>
        <w:tabs>
          <w:tab w:leader="none" w:pos="12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firstLine="644"/>
        <w:spacing w:after="0" w:line="295" w:lineRule="auto"/>
        <w:tabs>
          <w:tab w:leader="none" w:pos="1275"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4"/>
        <w:spacing w:after="0" w:line="256" w:lineRule="auto"/>
        <w:tabs>
          <w:tab w:leader="none" w:pos="12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sz w:val="20"/>
          <w:szCs w:val="20"/>
          <w:color w:val="auto"/>
        </w:rPr>
      </w:pPr>
    </w:p>
    <w:p>
      <w:pPr>
        <w:jc w:val="both"/>
        <w:ind w:left="1280" w:hanging="636"/>
        <w:spacing w:after="0" w:line="256" w:lineRule="auto"/>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6"/>
        <w:spacing w:after="0" w:line="256" w:lineRule="auto"/>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6"/>
        <w:spacing w:after="0" w:line="366" w:lineRule="auto"/>
        <w:tabs>
          <w:tab w:leader="none" w:pos="12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6"/>
        <w:spacing w:after="0" w:line="256" w:lineRule="auto"/>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sz w:val="20"/>
          <w:szCs w:val="20"/>
          <w:color w:val="auto"/>
        </w:rPr>
      </w:pPr>
    </w:p>
    <w:p>
      <w:pPr>
        <w:ind w:firstLine="644"/>
        <w:spacing w:after="0" w:line="295" w:lineRule="auto"/>
        <w:tabs>
          <w:tab w:leader="none" w:pos="127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6"/>
        <w:spacing w:after="0" w:line="295" w:lineRule="auto"/>
        <w:tabs>
          <w:tab w:leader="none" w:pos="12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6"/>
        <w:spacing w:after="0" w:line="265" w:lineRule="auto"/>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11430</wp:posOffset>
            </wp:positionV>
            <wp:extent cx="35585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Christopher A. Foster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4" w:right="339" w:bottom="1440" w:gutter="0" w:footer="0" w:header="0"/>
        </w:sectPr>
      </w:pPr>
    </w:p>
    <w:bookmarkStart w:id="136" w:name="page137"/>
    <w:bookmarkEnd w:id="136"/>
    <w:p>
      <w:pPr>
        <w:ind w:left="10240"/>
        <w:spacing w:after="0"/>
        <w:rPr>
          <w:sz w:val="20"/>
          <w:szCs w:val="20"/>
          <w:color w:val="auto"/>
        </w:rPr>
      </w:pPr>
      <w:r>
        <w:rPr>
          <w:rFonts w:ascii="Arial" w:cs="Arial" w:eastAsia="Arial" w:hAnsi="Arial"/>
          <w:sz w:val="15"/>
          <w:szCs w:val="15"/>
          <w:color w:val="auto"/>
        </w:rPr>
        <w:t>Exhibit 31.2.2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Foster, certify that:</w:t>
      </w:r>
    </w:p>
    <w:p>
      <w:pPr>
        <w:spacing w:after="0" w:line="218" w:lineRule="exact"/>
        <w:rPr>
          <w:sz w:val="20"/>
          <w:szCs w:val="20"/>
          <w:color w:val="auto"/>
        </w:rPr>
      </w:pPr>
    </w:p>
    <w:p>
      <w:pPr>
        <w:ind w:left="1280" w:hanging="636"/>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4" w:lineRule="exact"/>
        <w:rPr>
          <w:rFonts w:ascii="Arial" w:cs="Arial" w:eastAsia="Arial" w:hAnsi="Arial"/>
          <w:sz w:val="18"/>
          <w:szCs w:val="18"/>
          <w:color w:val="auto"/>
        </w:rPr>
      </w:pPr>
    </w:p>
    <w:p>
      <w:pPr>
        <w:jc w:val="both"/>
        <w:ind w:firstLine="644"/>
        <w:spacing w:after="0" w:line="256" w:lineRule="auto"/>
        <w:tabs>
          <w:tab w:leader="none" w:pos="12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firstLine="644"/>
        <w:spacing w:after="0" w:line="295" w:lineRule="auto"/>
        <w:tabs>
          <w:tab w:leader="none" w:pos="1275"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4"/>
        <w:spacing w:after="0" w:line="256" w:lineRule="auto"/>
        <w:tabs>
          <w:tab w:leader="none" w:pos="12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sz w:val="20"/>
          <w:szCs w:val="20"/>
          <w:color w:val="auto"/>
        </w:rPr>
      </w:pPr>
    </w:p>
    <w:p>
      <w:pPr>
        <w:jc w:val="both"/>
        <w:ind w:left="1280" w:hanging="636"/>
        <w:spacing w:after="0" w:line="256"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6"/>
        <w:spacing w:after="0" w:line="256"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6"/>
        <w:spacing w:after="0" w:line="366" w:lineRule="auto"/>
        <w:tabs>
          <w:tab w:leader="none" w:pos="12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6"/>
        <w:spacing w:after="0" w:line="256"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sz w:val="20"/>
          <w:szCs w:val="20"/>
          <w:color w:val="auto"/>
        </w:rPr>
      </w:pPr>
    </w:p>
    <w:p>
      <w:pPr>
        <w:ind w:firstLine="644"/>
        <w:spacing w:after="0" w:line="295" w:lineRule="auto"/>
        <w:tabs>
          <w:tab w:leader="none" w:pos="127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6"/>
        <w:spacing w:after="0" w:line="295" w:lineRule="auto"/>
        <w:tabs>
          <w:tab w:leader="none" w:pos="12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6"/>
        <w:spacing w:after="0" w:line="265" w:lineRule="auto"/>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11430</wp:posOffset>
            </wp:positionV>
            <wp:extent cx="35585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Christopher A. Foster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31.2.3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Foster, certify that:</w:t>
      </w:r>
    </w:p>
    <w:p>
      <w:pPr>
        <w:spacing w:after="0" w:line="218" w:lineRule="exact"/>
        <w:rPr>
          <w:sz w:val="20"/>
          <w:szCs w:val="20"/>
          <w:color w:val="auto"/>
        </w:rPr>
      </w:pPr>
    </w:p>
    <w:p>
      <w:pPr>
        <w:ind w:left="1260" w:hanging="616"/>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8" w:lineRule="exact"/>
        <w:rPr>
          <w:rFonts w:ascii="Arial" w:cs="Arial" w:eastAsia="Arial" w:hAnsi="Arial"/>
          <w:sz w:val="18"/>
          <w:szCs w:val="18"/>
          <w:color w:val="auto"/>
        </w:rPr>
      </w:pPr>
    </w:p>
    <w:p>
      <w:pPr>
        <w:ind w:right="280" w:firstLine="644"/>
        <w:spacing w:after="0" w:line="256" w:lineRule="auto"/>
        <w:tabs>
          <w:tab w:leader="none" w:pos="1257"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right="520" w:firstLine="644"/>
        <w:spacing w:after="0" w:line="366" w:lineRule="auto"/>
        <w:tabs>
          <w:tab w:leader="none" w:pos="1257" w:val="left"/>
        </w:tabs>
        <w:numPr>
          <w:ilvl w:val="0"/>
          <w:numId w:val="8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5"/>
          <w:szCs w:val="15"/>
          <w:color w:val="auto"/>
        </w:rPr>
      </w:pPr>
    </w:p>
    <w:p>
      <w:pPr>
        <w:ind w:right="200" w:firstLine="644"/>
        <w:spacing w:after="0" w:line="256" w:lineRule="auto"/>
        <w:tabs>
          <w:tab w:leader="none" w:pos="125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sz w:val="20"/>
          <w:szCs w:val="20"/>
          <w:color w:val="auto"/>
        </w:rPr>
      </w:pPr>
    </w:p>
    <w:p>
      <w:pPr>
        <w:ind w:left="1280" w:right="100" w:hanging="636"/>
        <w:spacing w:after="0" w:line="256" w:lineRule="auto"/>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1280" w:right="220" w:hanging="636"/>
        <w:spacing w:after="0" w:line="256" w:lineRule="auto"/>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jc w:val="both"/>
        <w:ind w:left="1280" w:right="400" w:hanging="636"/>
        <w:spacing w:after="0" w:line="366" w:lineRule="auto"/>
        <w:tabs>
          <w:tab w:leader="none" w:pos="12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636"/>
        <w:spacing w:after="0" w:line="256" w:lineRule="auto"/>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right="580" w:firstLine="644"/>
        <w:spacing w:after="0" w:line="366" w:lineRule="auto"/>
        <w:tabs>
          <w:tab w:leader="none" w:pos="125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280" w:right="620" w:hanging="636"/>
        <w:spacing w:after="0" w:line="366" w:lineRule="auto"/>
        <w:tabs>
          <w:tab w:leader="none" w:pos="12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40" w:hanging="636"/>
        <w:spacing w:after="0" w:line="265" w:lineRule="auto"/>
        <w:tabs>
          <w:tab w:leader="none" w:pos="1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35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19685</wp:posOffset>
            </wp:positionV>
            <wp:extent cx="28841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2884170" cy="8255"/>
                    </a:xfrm>
                    <a:prstGeom prst="rect">
                      <a:avLst/>
                    </a:prstGeom>
                    <a:noFill/>
                  </pic:spPr>
                </pic:pic>
              </a:graphicData>
            </a:graphic>
          </wp:anchor>
        </w:drawing>
      </w:r>
    </w:p>
    <w:p>
      <w:pPr>
        <w:spacing w:after="0" w:line="3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Christopher A. Foster</w:t>
      </w:r>
    </w:p>
    <w:p>
      <w:pPr>
        <w:spacing w:after="0" w:line="5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4"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32.1.1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June 30, 2023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197" w:lineRule="exact"/>
        <w:rPr>
          <w:sz w:val="20"/>
          <w:szCs w:val="20"/>
          <w:color w:val="auto"/>
        </w:rPr>
      </w:pPr>
    </w:p>
    <w:p>
      <w:pPr>
        <w:ind w:left="640" w:hanging="634"/>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4" w:lineRule="exact"/>
        <w:rPr>
          <w:rFonts w:ascii="Arial" w:cs="Arial" w:eastAsia="Arial" w:hAnsi="Arial"/>
          <w:sz w:val="18"/>
          <w:szCs w:val="18"/>
          <w:color w:val="auto"/>
        </w:rPr>
      </w:pPr>
    </w:p>
    <w:p>
      <w:pPr>
        <w:ind w:left="640" w:hanging="634"/>
        <w:spacing w:after="0"/>
        <w:tabs>
          <w:tab w:leader="none" w:pos="6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85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Lesar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27, 2023</w:t>
      </w:r>
    </w:p>
    <w:p>
      <w:pPr>
        <w:sectPr>
          <w:pgSz w:w="11900" w:h="16838" w:orient="portrait"/>
          <w:cols w:equalWidth="0" w:num="1">
            <w:col w:w="11240"/>
          </w:cols>
          <w:pgMar w:left="320" w:top="88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32.1.2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of CenterPoint Energy Houston Electric, LLC (the “Company”) on Form 10-Q for the quarter ended June 30, 2023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197" w:lineRule="exact"/>
        <w:rPr>
          <w:sz w:val="20"/>
          <w:szCs w:val="20"/>
          <w:color w:val="auto"/>
        </w:rPr>
      </w:pPr>
    </w:p>
    <w:p>
      <w:pPr>
        <w:ind w:left="640" w:hanging="634"/>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4" w:lineRule="exact"/>
        <w:rPr>
          <w:rFonts w:ascii="Arial" w:cs="Arial" w:eastAsia="Arial" w:hAnsi="Arial"/>
          <w:sz w:val="18"/>
          <w:szCs w:val="18"/>
          <w:color w:val="auto"/>
        </w:rPr>
      </w:pPr>
    </w:p>
    <w:p>
      <w:pPr>
        <w:ind w:left="640" w:hanging="634"/>
        <w:spacing w:after="0"/>
        <w:tabs>
          <w:tab w:leader="none" w:pos="6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85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27, 2023</w:t>
      </w:r>
    </w:p>
    <w:p>
      <w:pPr>
        <w:sectPr>
          <w:pgSz w:w="11900" w:h="16838" w:orient="portrait"/>
          <w:cols w:equalWidth="0" w:num="1">
            <w:col w:w="11240"/>
          </w:cols>
          <w:pgMar w:left="320" w:top="884"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32.1.3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3"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connection with the Quarterly Report of CenterPoint Energy Resources Corp. (the “Company”) on Form 10-Q for the quarter ended June 30, 2023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197" w:lineRule="exact"/>
        <w:rPr>
          <w:sz w:val="20"/>
          <w:szCs w:val="20"/>
          <w:color w:val="auto"/>
        </w:rPr>
      </w:pPr>
    </w:p>
    <w:p>
      <w:pPr>
        <w:ind w:left="620" w:hanging="614"/>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4" w:lineRule="exact"/>
        <w:rPr>
          <w:rFonts w:ascii="Arial" w:cs="Arial" w:eastAsia="Arial" w:hAnsi="Arial"/>
          <w:sz w:val="18"/>
          <w:szCs w:val="18"/>
          <w:color w:val="auto"/>
        </w:rPr>
      </w:pPr>
    </w:p>
    <w:p>
      <w:pPr>
        <w:ind w:left="620" w:hanging="614"/>
        <w:spacing w:after="0"/>
        <w:tabs>
          <w:tab w:leader="none" w:pos="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286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27, 2023</w:t>
      </w:r>
    </w:p>
    <w:p>
      <w:pPr>
        <w:sectPr>
          <w:pgSz w:w="11900" w:h="16838" w:orient="portrait"/>
          <w:cols w:equalWidth="0" w:num="1">
            <w:col w:w="11240"/>
          </w:cols>
          <w:pgMar w:left="320" w:top="884" w:right="339" w:bottom="1440" w:gutter="0" w:footer="0" w:header="0"/>
        </w:sectPr>
      </w:pPr>
    </w:p>
    <w:bookmarkStart w:id="141" w:name="page142"/>
    <w:bookmarkEnd w:id="141"/>
    <w:p>
      <w:pPr>
        <w:ind w:left="10240"/>
        <w:spacing w:after="0"/>
        <w:rPr>
          <w:sz w:val="20"/>
          <w:szCs w:val="20"/>
          <w:color w:val="auto"/>
        </w:rPr>
      </w:pPr>
      <w:r>
        <w:rPr>
          <w:rFonts w:ascii="Arial" w:cs="Arial" w:eastAsia="Arial" w:hAnsi="Arial"/>
          <w:sz w:val="15"/>
          <w:szCs w:val="15"/>
          <w:color w:val="auto"/>
        </w:rPr>
        <w:t>Exhibit 32.2.1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June 30, 2023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97" w:lineRule="exact"/>
        <w:rPr>
          <w:sz w:val="20"/>
          <w:szCs w:val="20"/>
          <w:color w:val="auto"/>
        </w:rPr>
      </w:pPr>
    </w:p>
    <w:p>
      <w:pPr>
        <w:ind w:left="640" w:hanging="634"/>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4" w:lineRule="exact"/>
        <w:rPr>
          <w:rFonts w:ascii="Arial" w:cs="Arial" w:eastAsia="Arial" w:hAnsi="Arial"/>
          <w:sz w:val="18"/>
          <w:szCs w:val="18"/>
          <w:color w:val="auto"/>
        </w:rPr>
      </w:pPr>
    </w:p>
    <w:p>
      <w:pPr>
        <w:ind w:left="640" w:hanging="634"/>
        <w:spacing w:after="0"/>
        <w:tabs>
          <w:tab w:leader="none" w:pos="6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85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A. Foster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27, 2023</w:t>
      </w:r>
    </w:p>
    <w:p>
      <w:pPr>
        <w:sectPr>
          <w:pgSz w:w="11900" w:h="16838" w:orient="portrait"/>
          <w:cols w:equalWidth="0" w:num="1">
            <w:col w:w="11240"/>
          </w:cols>
          <w:pgMar w:left="320" w:top="884" w:right="339" w:bottom="1440" w:gutter="0" w:footer="0" w:header="0"/>
        </w:sectPr>
      </w:pPr>
    </w:p>
    <w:bookmarkStart w:id="142" w:name="page143"/>
    <w:bookmarkEnd w:id="142"/>
    <w:p>
      <w:pPr>
        <w:ind w:left="10240"/>
        <w:spacing w:after="0"/>
        <w:rPr>
          <w:sz w:val="20"/>
          <w:szCs w:val="20"/>
          <w:color w:val="auto"/>
        </w:rPr>
      </w:pPr>
      <w:r>
        <w:rPr>
          <w:rFonts w:ascii="Arial" w:cs="Arial" w:eastAsia="Arial" w:hAnsi="Arial"/>
          <w:sz w:val="15"/>
          <w:szCs w:val="15"/>
          <w:color w:val="auto"/>
        </w:rPr>
        <w:t>Exhibit 32.2.2</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6"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In connection with the Quarterly Report of CenterPoint Energy Houston Electric, LLC (the “Company”) on Form 10-Q for the quarter ended June 30, 2023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40" w:hanging="634"/>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4" w:lineRule="exact"/>
        <w:rPr>
          <w:rFonts w:ascii="Arial" w:cs="Arial" w:eastAsia="Arial" w:hAnsi="Arial"/>
          <w:sz w:val="18"/>
          <w:szCs w:val="18"/>
          <w:color w:val="auto"/>
        </w:rPr>
      </w:pPr>
    </w:p>
    <w:p>
      <w:pPr>
        <w:ind w:left="640" w:hanging="634"/>
        <w:spacing w:after="0"/>
        <w:tabs>
          <w:tab w:leader="none" w:pos="6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85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A. Foster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27, 2023</w:t>
      </w:r>
    </w:p>
    <w:p>
      <w:pPr>
        <w:sectPr>
          <w:pgSz w:w="11900" w:h="16838" w:orient="portrait"/>
          <w:cols w:equalWidth="0" w:num="1">
            <w:col w:w="11240"/>
          </w:cols>
          <w:pgMar w:left="320" w:top="884"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32.2.3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3" w:lineRule="exact"/>
        <w:rPr>
          <w:sz w:val="20"/>
          <w:szCs w:val="20"/>
          <w:color w:val="auto"/>
        </w:rPr>
      </w:pPr>
    </w:p>
    <w:p>
      <w:pPr>
        <w:ind w:right="140"/>
        <w:spacing w:after="0" w:line="331" w:lineRule="auto"/>
        <w:rPr>
          <w:sz w:val="20"/>
          <w:szCs w:val="20"/>
          <w:color w:val="auto"/>
        </w:rPr>
      </w:pPr>
      <w:r>
        <w:rPr>
          <w:rFonts w:ascii="Arial" w:cs="Arial" w:eastAsia="Arial" w:hAnsi="Arial"/>
          <w:sz w:val="15"/>
          <w:szCs w:val="15"/>
          <w:color w:val="auto"/>
        </w:rPr>
        <w:t>In connection with the Quarterly Report of CenterPoint Energy Resources Corp. (the “Company”) on Form 10-Q for the quarter ended June 30, 2023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20" w:hanging="614"/>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4" w:lineRule="exact"/>
        <w:rPr>
          <w:rFonts w:ascii="Arial" w:cs="Arial" w:eastAsia="Arial" w:hAnsi="Arial"/>
          <w:sz w:val="18"/>
          <w:szCs w:val="18"/>
          <w:color w:val="auto"/>
        </w:rPr>
      </w:pPr>
    </w:p>
    <w:p>
      <w:pPr>
        <w:ind w:left="620" w:hanging="614"/>
        <w:spacing w:after="0"/>
        <w:tabs>
          <w:tab w:leader="none" w:pos="6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85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A. Foster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27, 2023</w:t>
      </w:r>
    </w:p>
    <w:sectPr>
      <w:pgSz w:w="11900" w:h="16838" w:orient="portrait"/>
      <w:cols w:equalWidth="0" w:num="1">
        <w:col w:w="11240"/>
      </w:cols>
      <w:pgMar w:left="320" w:top="10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4"/>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1)"/>
      <w:numFmt w:val="decimal"/>
      <w:start w:val="1"/>
    </w:lvl>
  </w:abstractNum>
  <w:abstractNum w:abstractNumId="9">
    <w:nsid w:val="579478FE"/>
    <w:multiLevelType w:val="hybridMultilevel"/>
    <w:lvl w:ilvl="0">
      <w:lvlJc w:val="left"/>
      <w:lvlText w:val="(%1)"/>
      <w:numFmt w:val="decimal"/>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1)"/>
      <w:numFmt w:val="decimal"/>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1"/>
      <w:numFmt w:val="lowerLetter"/>
      <w:start w:val="1"/>
    </w:lvl>
    <w:lvl w:ilvl="1">
      <w:lvlJc w:val="left"/>
      <w:lvlText w:val="(%2)"/>
      <w:numFmt w:val="decimal"/>
      <w:start w:val="1"/>
    </w:lvl>
  </w:abstractNum>
  <w:abstractNum w:abstractNumId="14">
    <w:nsid w:val="75C6C33A"/>
    <w:multiLevelType w:val="hybridMultilevel"/>
    <w:lvl w:ilvl="0">
      <w:lvlJc w:val="left"/>
      <w:lvlText w:val="(%1)"/>
      <w:numFmt w:val="lowerLetter"/>
      <w:start w:val="3"/>
    </w:lvl>
    <w:lvl w:ilvl="1">
      <w:lvlJc w:val="left"/>
      <w:lvlText w:val="%2"/>
      <w:numFmt w:val="decimal"/>
      <w:start w:val="1"/>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decimal"/>
      <w:start w:val="10"/>
    </w:lvl>
    <w:lvl w:ilvl="1">
      <w:lvlJc w:val="left"/>
      <w:lvlText w:val="(%2)"/>
      <w:numFmt w:val="lowerLetter"/>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1)"/>
      <w:numFmt w:val="decimal"/>
      <w:start w:val="4"/>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decimal"/>
      <w:start w:val="4"/>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1)"/>
      <w:numFmt w:val="decimal"/>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3"/>
    </w:lvl>
    <w:lvl w:ilvl="1">
      <w:lvlJc w:val="left"/>
      <w:lvlText w:val="(%2)"/>
      <w:numFmt w:val="lowerLetter"/>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lowerLetter"/>
      <w:start w:val="3"/>
    </w:lvl>
  </w:abstractNum>
  <w:abstractNum w:abstractNumId="28">
    <w:nsid w:val="354FE9F9"/>
    <w:multiLevelType w:val="hybridMultilevel"/>
    <w:lvl w:ilvl="0">
      <w:lvlJc w:val="left"/>
      <w:lvlText w:val="(%1)"/>
      <w:numFmt w:val="lowerRoman"/>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decimal"/>
      <w:start w:val="1"/>
    </w:lvl>
    <w:lvl w:ilvl="1">
      <w:lvlJc w:val="left"/>
      <w:lvlText w:val="(%2)"/>
      <w:numFmt w:val="decimal"/>
      <w:start w:val="1"/>
    </w:lvl>
  </w:abstractNum>
  <w:abstractNum w:abstractNumId="34">
    <w:nsid w:val="61574095"/>
    <w:multiLevelType w:val="hybridMultilevel"/>
    <w:lvl w:ilvl="0">
      <w:lvlJc w:val="left"/>
      <w:lvlText w:val="(%1)"/>
      <w:numFmt w:val="decimal"/>
      <w:start w:val="17"/>
    </w:lvl>
    <w:lvl w:ilvl="1">
      <w:lvlJc w:val="left"/>
      <w:lvlText w:val="%2"/>
      <w:numFmt w:val="decimal"/>
      <w:start w:val="1"/>
    </w:lvl>
  </w:abstractNum>
  <w:abstractNum w:abstractNumId="35">
    <w:nsid w:val="7E0C57B1"/>
    <w:multiLevelType w:val="hybridMultilevel"/>
    <w:lvl w:ilvl="0">
      <w:lvlJc w:val="left"/>
      <w:lvlText w:val="(%1)"/>
      <w:numFmt w:val="decimal"/>
      <w:start w:val="1"/>
    </w:lvl>
  </w:abstractNum>
  <w:abstractNum w:abstractNumId="36">
    <w:nsid w:val="77AE35EB"/>
    <w:multiLevelType w:val="hybridMultilevel"/>
    <w:lvl w:ilvl="0">
      <w:lvlJc w:val="left"/>
      <w:lvlText w:val="%1"/>
      <w:numFmt w:val="decimal"/>
      <w:start w:val="1"/>
    </w:lvl>
    <w:lvl w:ilvl="1">
      <w:lvlJc w:val="left"/>
      <w:lvlText w:val="(%2)"/>
      <w:numFmt w:val="decimal"/>
      <w:start w:val="1"/>
    </w:lvl>
  </w:abstractNum>
  <w:abstractNum w:abstractNumId="37">
    <w:nsid w:val="579BE4F1"/>
    <w:multiLevelType w:val="hybridMultilevel"/>
    <w:lvl w:ilvl="0">
      <w:lvlJc w:val="left"/>
      <w:lvlText w:val="(%1)"/>
      <w:numFmt w:val="decimal"/>
      <w:start w:val="18"/>
    </w:lvl>
    <w:lvl w:ilvl="1">
      <w:lvlJc w:val="left"/>
      <w:lvlText w:val="%2"/>
      <w:numFmt w:val="decimal"/>
      <w:start w:val="1"/>
    </w:lvl>
  </w:abstractNum>
  <w:abstractNum w:abstractNumId="38">
    <w:nsid w:val="310C50B3"/>
    <w:multiLevelType w:val="hybridMultilevel"/>
    <w:lvl w:ilvl="0">
      <w:lvlJc w:val="left"/>
      <w:lvlText w:val="%1"/>
      <w:numFmt w:val="decimal"/>
      <w:start w:val="1"/>
    </w:lvl>
    <w:lvl w:ilvl="1">
      <w:lvlJc w:val="left"/>
      <w:lvlText w:val="(%2)"/>
      <w:numFmt w:val="decimal"/>
      <w:start w:val="1"/>
    </w:lvl>
  </w:abstractNum>
  <w:abstractNum w:abstractNumId="39">
    <w:nsid w:val="5FF87E05"/>
    <w:multiLevelType w:val="hybridMultilevel"/>
    <w:lvl w:ilvl="0">
      <w:lvlJc w:val="left"/>
      <w:lvlText w:val="(%1)"/>
      <w:numFmt w:val="decimal"/>
      <w:start w:val="19"/>
    </w:lvl>
    <w:lvl w:ilvl="1">
      <w:lvlJc w:val="left"/>
      <w:lvlText w:val="%2"/>
      <w:numFmt w:val="decimal"/>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amp;"/>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1"/>
      <w:numFmt w:val="bullet"/>
      <w:start w:val="1"/>
    </w:lvl>
  </w:abstractNum>
  <w:abstractNum w:abstractNumId="55">
    <w:nsid w:val="168E121F"/>
    <w:multiLevelType w:val="hybridMultilevel"/>
    <w:lvl w:ilvl="0">
      <w:lvlJc w:val="left"/>
      <w:lvlText w:val="(%1)"/>
      <w:numFmt w:val="lowerLetter"/>
      <w:start w:val="2"/>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decimal"/>
      <w:start w:val="1"/>
    </w:lvl>
  </w:abstractNum>
  <w:abstractNum w:abstractNumId="60">
    <w:nsid w:val="7BD3EE7B"/>
    <w:multiLevelType w:val="hybridMultilevel"/>
    <w:lvl w:ilvl="0">
      <w:lvlJc w:val="left"/>
      <w:lvlText w:val="(%1)"/>
      <w:numFmt w:val="lowerLetter"/>
      <w:start w:val="1"/>
    </w:lvl>
  </w:abstractNum>
  <w:abstractNum w:abstractNumId="61">
    <w:nsid w:val="51D9C564"/>
    <w:multiLevelType w:val="hybridMultilevel"/>
    <w:lvl w:ilvl="0">
      <w:lvlJc w:val="left"/>
      <w:lvlText w:val="%1."/>
      <w:numFmt w:val="decimal"/>
      <w:start w:val="5"/>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decimal"/>
      <w:start w:val="5"/>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decimal"/>
      <w:start w:val="5"/>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decimal"/>
      <w:start w:val="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decimal"/>
      <w:start w:val="5"/>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decimal"/>
      <w:start w:val="5"/>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decimal"/>
      <w:start w:val="5"/>
    </w:lvl>
  </w:abstractNum>
  <w:abstractNum w:abstractNumId="82">
    <w:nsid w:val="94211F2"/>
    <w:multiLevelType w:val="hybridMultilevel"/>
    <w:lvl w:ilvl="0">
      <w:lvlJc w:val="left"/>
      <w:lvlText w:val="(%1)"/>
      <w:numFmt w:val="lowerLetter"/>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31" Type="http://schemas.openxmlformats.org/officeDocument/2006/relationships/image" Target="media/image119.png"/><Relationship Id="rId148"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22" Type="http://schemas.openxmlformats.org/officeDocument/2006/relationships/hyperlink" Target="https://www.sec.gov/ix?doc=/Archives/edgar/data/1130310/000113031023000013/cnp-20221231.htm" TargetMode="External"/><Relationship Id="rId127" Type="http://schemas.openxmlformats.org/officeDocument/2006/relationships/hyperlink" Target="http://www.sec.gov/ix?doc=/Archives/edgar/data/48732/000113031020000016/cnp10k12312019.htm#s29CE5F5E2BDE5C749379199663742F59" TargetMode="External"/><Relationship Id="rId128" Type="http://schemas.openxmlformats.org/officeDocument/2006/relationships/hyperlink" Target="http://www.sec.gov/ix?doc=/Archives/edgar/data/48732/000113031020000016/cnp10k12312019.htm#s0E6A8085ACE15900BB7AB519F58ABDD3" TargetMode="External"/><Relationship Id="rId129" Type="http://schemas.openxmlformats.org/officeDocument/2006/relationships/hyperlink" Target="http://www.sec.gov/Archives/edgar/data/1130310/000119312518125804/d561804dex21.htm" TargetMode="External"/><Relationship Id="rId130" Type="http://schemas.openxmlformats.org/officeDocument/2006/relationships/hyperlink" Target="http://www.sec.gov/Archives/edgar/data/1130310/000113031020000006/exhibit21purchaseagreeme.htm" TargetMode="External"/><Relationship Id="rId132" Type="http://schemas.openxmlformats.org/officeDocument/2006/relationships/hyperlink" Target="http://www.sec.gov/Archives/edgar/data/1042773/000113031020000012/exhibit21.htm" TargetMode="External"/><Relationship Id="rId133" Type="http://schemas.openxmlformats.org/officeDocument/2006/relationships/hyperlink" Target="http://www.sec.gov/Archives/edgar/data/48732/000113031021000024/exhibit24cerc-assetpurchas.htm" TargetMode="External"/><Relationship Id="rId134" Type="http://schemas.openxmlformats.org/officeDocument/2006/relationships/hyperlink" Target="http://www.sec.gov/Archives/edgar/data/1130310/000113031008000004/ex3-2.htm" TargetMode="External"/><Relationship Id="rId135" Type="http://schemas.openxmlformats.org/officeDocument/2006/relationships/hyperlink" Target="http://www.sec.gov/Archives/edgar/data/48732/000113031011000048/ex3-1.htm" TargetMode="External"/><Relationship Id="rId136" Type="http://schemas.openxmlformats.org/officeDocument/2006/relationships/hyperlink" Target="http://www.sec.gov/Archives/edgar/data/1042773/0000950129-98-001585.txt" TargetMode="External"/><Relationship Id="rId137" Type="http://schemas.openxmlformats.org/officeDocument/2006/relationships/hyperlink" Target="http://www.sec.gov/Archives/edgar/data/48732/0000950129-99-001059.txt" TargetMode="External"/><Relationship Id="rId138" Type="http://schemas.openxmlformats.org/officeDocument/2006/relationships/hyperlink" Target="http://www.sec.gov/Archives/edgar/data/1042773/000095012903004183/h07971exv3wa4.txt" TargetMode="External"/><Relationship Id="rId139" Type="http://schemas.openxmlformats.org/officeDocument/2006/relationships/hyperlink" Target="http://www.sec.gov/Archives/edgar/data/1130310/000119312517056500/d354129dex31.htm" TargetMode="External"/><Relationship Id="rId140" Type="http://schemas.openxmlformats.org/officeDocument/2006/relationships/hyperlink" Target="http://www.sec.gov/Archives/edgar/data/48732/000113031011000048/ex3-2.htm" TargetMode="External"/><Relationship Id="rId141" Type="http://schemas.openxmlformats.org/officeDocument/2006/relationships/hyperlink" Target="http://www.sec.gov/Archives/edgar/data/1130310/000113031012000011/exhibit3c.htm" TargetMode="External"/><Relationship Id="rId142" Type="http://schemas.openxmlformats.org/officeDocument/2006/relationships/hyperlink" Target="http://www.sec.gov/Archives/edgar/data/1130310/000119312518256372/d601681dex31.htm" TargetMode="External"/><Relationship Id="rId143" Type="http://schemas.openxmlformats.org/officeDocument/2006/relationships/hyperlink" Target="http://www.sec.gov/Archives/edgar/data/1130310/000119312518288531/d589550dex31.htm" TargetMode="External"/><Relationship Id="rId144" Type="http://schemas.openxmlformats.org/officeDocument/2006/relationships/hyperlink" Target="http://www.sec.gov/Archives/edgar/data/1130310/000119312520135744/d926772dex31.htm" TargetMode="External"/><Relationship Id="rId145" Type="http://schemas.openxmlformats.org/officeDocument/2006/relationships/hyperlink" Target="http://www.sec.gov/Archives/edgar/data/1130310/000095012901503771/h90625a1ex4-1.txt" TargetMode="External"/><Relationship Id="rId146" Type="http://schemas.openxmlformats.org/officeDocument/2006/relationships/hyperlink" Target="http://www.sec.gov/Archives/edgar/data/1130310/000119312518256372/d601681dex41.htm" TargetMode="External"/><Relationship Id="rId147" Type="http://schemas.openxmlformats.org/officeDocument/2006/relationships/hyperlink" Target="https://www.sec.gov/Archives/edgar/data/1042773/0000899243-98-000159.txt" TargetMode="External"/><Relationship Id="rId149" Type="http://schemas.openxmlformats.org/officeDocument/2006/relationships/hyperlink" Target="https://www.sec.gov/Archives/edgar/data/1042773/000113031023000061/exhibit46-supplementalin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2023-07-27T05:28:56Z</dcterms:created>
  <dcterms:modified xsi:type="dcterms:W3CDTF">2023-07-27T05:28:56Z</dcterms:modified>
</cp:coreProperties>
</file>