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49" w:lineRule="exact"/>
        <w:rPr>
          <w:sz w:val="24"/>
          <w:szCs w:val="24"/>
          <w:color w:val="auto"/>
        </w:rPr>
      </w:pPr>
    </w:p>
    <w:p>
      <w:pPr>
        <w:ind w:left="540" w:hanging="339"/>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7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17" w:lineRule="exact"/>
        <w:rPr>
          <w:sz w:val="24"/>
          <w:szCs w:val="24"/>
          <w:color w:val="auto"/>
        </w:rPr>
      </w:pPr>
    </w:p>
    <w:p>
      <w:pPr>
        <w:ind w:left="540" w:right="4980" w:hanging="339"/>
        <w:spacing w:after="0" w:line="310" w:lineRule="auto"/>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 __________________ TO __________________</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1-31447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CenterPoint Energy,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6" w:lineRule="exact"/>
        <w:rPr>
          <w:sz w:val="24"/>
          <w:szCs w:val="24"/>
          <w:color w:val="auto"/>
        </w:rPr>
      </w:pPr>
    </w:p>
    <w:tbl>
      <w:tblPr>
        <w:tblLayout w:type="fixed"/>
        <w:tblInd w:w="820" w:type="dxa"/>
        <w:tblCellMar>
          <w:top w:w="0" w:type="dxa"/>
          <w:left w:w="0" w:type="dxa"/>
          <w:bottom w:w="0" w:type="dxa"/>
          <w:right w:w="0" w:type="dxa"/>
        </w:tblCellMar>
      </w:tblPr>
      <w:tr>
        <w:trPr>
          <w:trHeight w:val="16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74-0694415</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6"/>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Commission file number 1-3187</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Houston Electric, LLC</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22-3865106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67"/>
        </w:trPr>
        <w:tc>
          <w:tcPr>
            <w:tcW w:w="27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3"/>
                <w:szCs w:val="23"/>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Commission file number 1-13265</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Resources Corp.</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76-0511406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9"/>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55"/>
        </w:trPr>
        <w:tc>
          <w:tcPr>
            <w:tcW w:w="2700" w:type="dxa"/>
            <w:vAlign w:val="bottom"/>
          </w:tcPr>
          <w:p>
            <w:pPr>
              <w:spacing w:after="0"/>
              <w:rPr>
                <w:sz w:val="13"/>
                <w:szCs w:val="13"/>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3"/>
                <w:szCs w:val="13"/>
                <w:color w:val="auto"/>
              </w:rPr>
            </w:pPr>
          </w:p>
        </w:tc>
      </w:tr>
      <w:tr>
        <w:trPr>
          <w:trHeight w:val="365"/>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1800" w:type="dxa"/>
            <w:vAlign w:val="bottom"/>
          </w:tcPr>
          <w:p>
            <w:pPr>
              <w:spacing w:after="0"/>
              <w:rPr>
                <w:sz w:val="24"/>
                <w:szCs w:val="24"/>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96"/>
        </w:trPr>
        <w:tc>
          <w:tcPr>
            <w:tcW w:w="154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Registrant</w:t>
            </w:r>
          </w:p>
        </w:tc>
        <w:tc>
          <w:tcPr>
            <w:tcW w:w="1620" w:type="dxa"/>
            <w:vAlign w:val="bottom"/>
          </w:tcPr>
          <w:p>
            <w:pPr>
              <w:spacing w:after="0"/>
              <w:rPr>
                <w:sz w:val="8"/>
                <w:szCs w:val="8"/>
                <w:color w:val="auto"/>
              </w:rPr>
            </w:pPr>
          </w:p>
        </w:tc>
        <w:tc>
          <w:tcPr>
            <w:tcW w:w="3440" w:type="dxa"/>
            <w:vAlign w:val="bottom"/>
            <w:gridSpan w:val="3"/>
          </w:tcPr>
          <w:p>
            <w:pPr>
              <w:jc w:val="center"/>
              <w:ind w:left="10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74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2540" w:type="dxa"/>
            <w:vAlign w:val="bottom"/>
            <w:gridSpan w:val="3"/>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2"/>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Inc.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CNP</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NYSE Texas</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880"/>
        </w:trPr>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 w:name="page2"/>
    <w:bookmarkEnd w:id="1"/>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800" w:type="dxa"/>
            <w:vAlign w:val="bottom"/>
            <w:vMerge w:val="restart"/>
          </w:tcPr>
          <w:p>
            <w:pPr>
              <w:jc w:val="center"/>
              <w:ind w:left="1363"/>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Smaller reporting</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Emerging growth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800" w:type="dxa"/>
            <w:vAlign w:val="bottom"/>
          </w:tcPr>
          <w:p>
            <w:pPr>
              <w:jc w:val="center"/>
              <w:ind w:left="1363"/>
              <w:spacing w:after="0" w:line="111" w:lineRule="exact"/>
              <w:rPr>
                <w:sz w:val="20"/>
                <w:szCs w:val="20"/>
                <w:color w:val="auto"/>
              </w:rPr>
            </w:pPr>
            <w:r>
              <w:rPr>
                <w:rFonts w:ascii="MS PGothic" w:cs="MS PGothic" w:eastAsia="MS PGothic" w:hAnsi="MS PGothic"/>
                <w:sz w:val="11"/>
                <w:szCs w:val="11"/>
                <w:color w:val="auto"/>
                <w:w w:val="90"/>
              </w:rPr>
              <w:t>☑</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April 21, 2025:</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1800" w:type="dxa"/>
            <w:vAlign w:val="bottom"/>
          </w:tcPr>
          <w:p>
            <w:pPr>
              <w:jc w:val="center"/>
              <w:ind w:left="743"/>
              <w:spacing w:after="0"/>
              <w:rPr>
                <w:sz w:val="20"/>
                <w:szCs w:val="20"/>
                <w:color w:val="auto"/>
              </w:rPr>
            </w:pPr>
            <w:r>
              <w:rPr>
                <w:rFonts w:ascii="Times New Roman" w:cs="Times New Roman" w:eastAsia="Times New Roman" w:hAnsi="Times New Roman"/>
                <w:sz w:val="11"/>
                <w:szCs w:val="11"/>
                <w:color w:val="auto"/>
              </w:rPr>
              <w:t>652,728,398</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excluding 166 shares held as treasury stock</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common shares outstanding, all held by Utility Holding, LLC, a wholly-owned subsidiary of CenterPoint Energy, Inc.</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all held by Utility Holding, LLC, a wholly-owned subsidiary of CenterPoint Energy, Inc.</w:t>
            </w:r>
          </w:p>
        </w:tc>
      </w:tr>
    </w:tbl>
    <w:p>
      <w:pPr>
        <w:spacing w:after="0" w:line="200" w:lineRule="exact"/>
        <w:rPr>
          <w:sz w:val="20"/>
          <w:szCs w:val="20"/>
          <w:color w:val="auto"/>
        </w:rPr>
      </w:pPr>
    </w:p>
    <w:p>
      <w:pPr>
        <w:spacing w:after="0" w:line="2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020" w:type="dxa"/>
            <w:vAlign w:val="bottom"/>
            <w:gridSpan w:val="24"/>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49"/>
        </w:trPr>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40" w:type="dxa"/>
            <w:vAlign w:val="bottom"/>
            <w:shd w:val="clear" w:color="auto" w:fill="CCEEFF"/>
          </w:tcPr>
          <w:p>
            <w:pPr>
              <w:spacing w:after="0"/>
              <w:rPr>
                <w:sz w:val="12"/>
                <w:szCs w:val="12"/>
                <w:color w:val="auto"/>
              </w:rPr>
            </w:pPr>
          </w:p>
        </w:tc>
        <w:tc>
          <w:tcPr>
            <w:tcW w:w="9780" w:type="dxa"/>
            <w:vAlign w:val="bottom"/>
            <w:tcBorders>
              <w:right w:val="single" w:sz="8" w:color="CCEEFF"/>
            </w:tcBorders>
            <w:gridSpan w:val="2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100" w:type="dxa"/>
            <w:vAlign w:val="bottom"/>
            <w:tcBorders>
              <w:lef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shd w:val="clear" w:color="auto" w:fill="CCEEFF"/>
          </w:tcPr>
          <w:p>
            <w:pPr>
              <w:spacing w:after="0"/>
              <w:rPr>
                <w:sz w:val="12"/>
                <w:szCs w:val="12"/>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3"/>
          </w:tcPr>
          <w:p>
            <w:pPr>
              <w:spacing w:after="0" w:line="149" w:lineRule="exact"/>
              <w:rPr>
                <w:sz w:val="20"/>
                <w:szCs w:val="20"/>
                <w:color w:val="auto"/>
              </w:rPr>
            </w:pPr>
            <w:r>
              <w:rPr>
                <w:rFonts w:ascii="Times New Roman" w:cs="Times New Roman" w:eastAsia="Times New Roman" w:hAnsi="Times New Roman"/>
                <w:sz w:val="14"/>
                <w:szCs w:val="14"/>
                <w:color w:val="0000FF"/>
              </w:rPr>
              <w:t xml:space="preserve">CenterPoint Energy, Inc. and Subsidiaries Financial Statements </w:t>
            </w:r>
            <w:r>
              <w:rPr>
                <w:rFonts w:ascii="Times New Roman" w:cs="Times New Roman" w:eastAsia="Times New Roman" w:hAnsi="Times New Roman"/>
                <w:sz w:val="14"/>
                <w:szCs w:val="14"/>
                <w:color w:val="000000"/>
              </w:rPr>
              <w:t>(Unaudited)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780" w:type="dxa"/>
            <w:vAlign w:val="bottom"/>
            <w:tcBorders>
              <w:right w:val="single" w:sz="8" w:color="CCEEFF"/>
            </w:tcBorders>
            <w:gridSpan w:val="2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CenterPoint Energy Houston Electric, LLC and Subsidiaries Financial Statements </w:t>
            </w:r>
            <w:r>
              <w:rPr>
                <w:rFonts w:ascii="Times New Roman" w:cs="Times New Roman" w:eastAsia="Times New Roman" w:hAnsi="Times New Roman"/>
                <w:sz w:val="14"/>
                <w:szCs w:val="14"/>
                <w:color w:val="000000"/>
              </w:rPr>
              <w:t>(Unaudited)</w:t>
            </w:r>
          </w:p>
        </w:tc>
        <w:tc>
          <w:tcPr>
            <w:tcW w:w="100" w:type="dxa"/>
            <w:vAlign w:val="bottom"/>
            <w:tcBorders>
              <w:lef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7</w:t>
            </w:r>
          </w:p>
        </w:tc>
        <w:tc>
          <w:tcPr>
            <w:tcW w:w="200" w:type="dxa"/>
            <w:vAlign w:val="bottom"/>
            <w:shd w:val="clear" w:color="auto" w:fill="CCEEFF"/>
          </w:tcPr>
          <w:p>
            <w:pPr>
              <w:spacing w:after="0"/>
              <w:rPr>
                <w:sz w:val="13"/>
                <w:szCs w:val="13"/>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3"/>
          </w:tcPr>
          <w:p>
            <w:pPr>
              <w:spacing w:after="0" w:line="149" w:lineRule="exact"/>
              <w:rPr>
                <w:sz w:val="20"/>
                <w:szCs w:val="20"/>
                <w:color w:val="auto"/>
              </w:rPr>
            </w:pPr>
            <w:r>
              <w:rPr>
                <w:rFonts w:ascii="Times New Roman" w:cs="Times New Roman" w:eastAsia="Times New Roman" w:hAnsi="Times New Roman"/>
                <w:sz w:val="14"/>
                <w:szCs w:val="14"/>
                <w:color w:val="0000FF"/>
              </w:rPr>
              <w:t xml:space="preserve">CenterPoint Energy Resources Corp. and Subsidiaries Financial Statements </w:t>
            </w:r>
            <w:r>
              <w:rPr>
                <w:rFonts w:ascii="Times New Roman" w:cs="Times New Roman" w:eastAsia="Times New Roman" w:hAnsi="Times New Roman"/>
                <w:sz w:val="14"/>
                <w:szCs w:val="14"/>
                <w:color w:val="000000"/>
              </w:rPr>
              <w:t>(Unaudited)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11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80" w:type="dxa"/>
            <w:vAlign w:val="bottom"/>
            <w:gridSpan w:val="2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Combined Notes to Interim Condensed Financial Statements </w:t>
            </w:r>
            <w:r>
              <w:rPr>
                <w:rFonts w:ascii="Times New Roman" w:cs="Times New Roman" w:eastAsia="Times New Roman" w:hAnsi="Times New Roman"/>
                <w:sz w:val="14"/>
                <w:szCs w:val="14"/>
                <w:color w:val="000000"/>
              </w:rPr>
              <w:t>(Unaudited)</w:t>
            </w:r>
          </w:p>
        </w:tc>
        <w:tc>
          <w:tcPr>
            <w:tcW w:w="5500" w:type="dxa"/>
            <w:vAlign w:val="bottom"/>
            <w:tcBorders>
              <w:right w:val="single" w:sz="8" w:color="CCEEFF"/>
            </w:tcBorders>
            <w:gridSpan w:val="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17</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0000FF"/>
                <w:w w:val="71"/>
              </w:rPr>
              <w:t>(1)</w:t>
            </w:r>
          </w:p>
        </w:tc>
        <w:tc>
          <w:tcPr>
            <w:tcW w:w="3060" w:type="dxa"/>
            <w:vAlign w:val="bottom"/>
            <w:gridSpan w:val="15"/>
          </w:tcPr>
          <w:p>
            <w:pPr>
              <w:ind w:left="20"/>
              <w:spacing w:after="0" w:line="149" w:lineRule="exact"/>
              <w:rPr>
                <w:sz w:val="20"/>
                <w:szCs w:val="20"/>
                <w:color w:val="auto"/>
              </w:rPr>
            </w:pPr>
            <w:r>
              <w:rPr>
                <w:rFonts w:ascii="Times New Roman" w:cs="Times New Roman" w:eastAsia="Times New Roman" w:hAnsi="Times New Roman"/>
                <w:sz w:val="14"/>
                <w:szCs w:val="14"/>
                <w:color w:val="0000FF"/>
              </w:rPr>
              <w:t>Background and Basis of Presentation</w:t>
            </w:r>
          </w:p>
        </w:tc>
        <w:tc>
          <w:tcPr>
            <w:tcW w:w="638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71"/>
              </w:rPr>
              <w:t>(2)</w:t>
            </w:r>
          </w:p>
        </w:tc>
        <w:tc>
          <w:tcPr>
            <w:tcW w:w="9440" w:type="dxa"/>
            <w:vAlign w:val="bottom"/>
            <w:tcBorders>
              <w:right w:val="single" w:sz="8" w:color="CCEEFF"/>
            </w:tcBorders>
            <w:gridSpan w:val="21"/>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Accounting Policies and Recent Accounting Pronouncements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18</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0000FF"/>
                <w:w w:val="71"/>
              </w:rPr>
              <w:t>(3)</w:t>
            </w:r>
          </w:p>
        </w:tc>
        <w:tc>
          <w:tcPr>
            <w:tcW w:w="3500" w:type="dxa"/>
            <w:vAlign w:val="bottom"/>
            <w:gridSpan w:val="17"/>
          </w:tcPr>
          <w:p>
            <w:pPr>
              <w:ind w:left="20"/>
              <w:spacing w:after="0" w:line="149" w:lineRule="exact"/>
              <w:rPr>
                <w:sz w:val="20"/>
                <w:szCs w:val="20"/>
                <w:color w:val="auto"/>
              </w:rPr>
            </w:pPr>
            <w:r>
              <w:rPr>
                <w:rFonts w:ascii="Times New Roman" w:cs="Times New Roman" w:eastAsia="Times New Roman" w:hAnsi="Times New Roman"/>
                <w:sz w:val="14"/>
                <w:szCs w:val="14"/>
                <w:color w:val="0000FF"/>
              </w:rPr>
              <w:t>Acquisition and Divestiture</w:t>
            </w:r>
          </w:p>
        </w:tc>
        <w:tc>
          <w:tcPr>
            <w:tcW w:w="5940" w:type="dxa"/>
            <w:vAlign w:val="bottom"/>
            <w:gridSpan w:val="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19</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71"/>
              </w:rPr>
              <w:t>(4)</w:t>
            </w:r>
          </w:p>
        </w:tc>
        <w:tc>
          <w:tcPr>
            <w:tcW w:w="1580" w:type="dxa"/>
            <w:vAlign w:val="bottom"/>
            <w:gridSpan w:val="8"/>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Revenue Recognition</w:t>
            </w:r>
          </w:p>
        </w:tc>
        <w:tc>
          <w:tcPr>
            <w:tcW w:w="7860" w:type="dxa"/>
            <w:vAlign w:val="bottom"/>
            <w:tcBorders>
              <w:left w:val="single" w:sz="8" w:color="CCEEFF"/>
              <w:right w:val="single" w:sz="8" w:color="CCEEFF"/>
            </w:tcBorders>
            <w:gridSpan w:val="1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0000FF"/>
                <w:w w:val="71"/>
              </w:rPr>
              <w:t>(5)</w:t>
            </w:r>
          </w:p>
        </w:tc>
        <w:tc>
          <w:tcPr>
            <w:tcW w:w="14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rPr>
              <w:t>Employee Benefit Plans</w:t>
            </w:r>
          </w:p>
        </w:tc>
        <w:tc>
          <w:tcPr>
            <w:tcW w:w="8040" w:type="dxa"/>
            <w:vAlign w:val="bottom"/>
            <w:gridSpan w:val="15"/>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71"/>
              </w:rPr>
              <w:t>(6)</w:t>
            </w:r>
          </w:p>
        </w:tc>
        <w:tc>
          <w:tcPr>
            <w:tcW w:w="1400" w:type="dxa"/>
            <w:vAlign w:val="bottom"/>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Regulatory Matters</w:t>
            </w:r>
          </w:p>
        </w:tc>
        <w:tc>
          <w:tcPr>
            <w:tcW w:w="8040" w:type="dxa"/>
            <w:vAlign w:val="bottom"/>
            <w:tcBorders>
              <w:right w:val="single" w:sz="8" w:color="CCEEFF"/>
            </w:tcBorders>
            <w:gridSpan w:val="15"/>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23</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u w:val="single" w:color="auto"/>
                <w:color w:val="0000FF"/>
                <w:w w:val="71"/>
              </w:rPr>
              <w:t>(7)</w:t>
            </w:r>
          </w:p>
        </w:tc>
        <w:tc>
          <w:tcPr>
            <w:tcW w:w="9440" w:type="dxa"/>
            <w:vAlign w:val="bottom"/>
            <w:gridSpan w:val="21"/>
          </w:tcPr>
          <w:p>
            <w:pPr>
              <w:ind w:left="20"/>
              <w:spacing w:after="0" w:line="149" w:lineRule="exact"/>
              <w:rPr>
                <w:sz w:val="20"/>
                <w:szCs w:val="20"/>
                <w:color w:val="auto"/>
              </w:rPr>
            </w:pPr>
            <w:r>
              <w:rPr>
                <w:rFonts w:ascii="Times New Roman" w:cs="Times New Roman" w:eastAsia="Times New Roman" w:hAnsi="Times New Roman"/>
                <w:sz w:val="14"/>
                <w:szCs w:val="14"/>
                <w:color w:val="0000FF"/>
              </w:rPr>
              <w:t>Fair Value Measurements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u w:val="single" w:color="auto"/>
                <w:color w:val="0000FF"/>
                <w:w w:val="97"/>
              </w:rPr>
              <w:t>(8)</w:t>
            </w:r>
          </w:p>
        </w:tc>
        <w:tc>
          <w:tcPr>
            <w:tcW w:w="9440" w:type="dxa"/>
            <w:vAlign w:val="bottom"/>
            <w:tcBorders>
              <w:right w:val="single" w:sz="8" w:color="CCEEFF"/>
            </w:tcBorders>
            <w:gridSpan w:val="21"/>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Equity Securities and Indexed Debt Securities (ZENS)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28</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0000FF"/>
                <w:w w:val="71"/>
              </w:rPr>
              <w:t>(9)</w:t>
            </w:r>
          </w:p>
        </w:tc>
        <w:tc>
          <w:tcPr>
            <w:tcW w:w="2540" w:type="dxa"/>
            <w:vAlign w:val="bottom"/>
            <w:gridSpan w:val="14"/>
          </w:tcPr>
          <w:p>
            <w:pPr>
              <w:ind w:left="20"/>
              <w:spacing w:after="0" w:line="149" w:lineRule="exact"/>
              <w:rPr>
                <w:sz w:val="20"/>
                <w:szCs w:val="20"/>
                <w:color w:val="auto"/>
              </w:rPr>
            </w:pPr>
            <w:r>
              <w:rPr>
                <w:rFonts w:ascii="Times New Roman" w:cs="Times New Roman" w:eastAsia="Times New Roman" w:hAnsi="Times New Roman"/>
                <w:sz w:val="14"/>
                <w:szCs w:val="14"/>
                <w:color w:val="0000FF"/>
              </w:rPr>
              <w:t>Short-term Borrowings and Long-term Debt</w:t>
            </w:r>
          </w:p>
        </w:tc>
        <w:tc>
          <w:tcPr>
            <w:tcW w:w="6900" w:type="dxa"/>
            <w:vAlign w:val="bottom"/>
            <w:gridSpan w:val="7"/>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29</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2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76"/>
              </w:rPr>
              <w:t>(10)</w:t>
            </w:r>
          </w:p>
        </w:tc>
        <w:tc>
          <w:tcPr>
            <w:tcW w:w="2460" w:type="dxa"/>
            <w:vAlign w:val="bottom"/>
            <w:gridSpan w:val="1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Income Taxes</w:t>
            </w:r>
          </w:p>
        </w:tc>
        <w:tc>
          <w:tcPr>
            <w:tcW w:w="6900" w:type="dxa"/>
            <w:vAlign w:val="bottom"/>
            <w:tcBorders>
              <w:right w:val="single" w:sz="8" w:color="CCEEFF"/>
            </w:tcBorders>
            <w:gridSpan w:val="7"/>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76"/>
              </w:rPr>
              <w:t>(11)</w:t>
            </w:r>
          </w:p>
        </w:tc>
        <w:tc>
          <w:tcPr>
            <w:tcW w:w="9360" w:type="dxa"/>
            <w:vAlign w:val="bottom"/>
            <w:gridSpan w:val="20"/>
          </w:tcPr>
          <w:p>
            <w:pPr>
              <w:ind w:left="20"/>
              <w:spacing w:after="0" w:line="149" w:lineRule="exact"/>
              <w:rPr>
                <w:sz w:val="20"/>
                <w:szCs w:val="20"/>
                <w:color w:val="auto"/>
              </w:rPr>
            </w:pPr>
            <w:r>
              <w:rPr>
                <w:rFonts w:ascii="Times New Roman" w:cs="Times New Roman" w:eastAsia="Times New Roman" w:hAnsi="Times New Roman"/>
                <w:sz w:val="14"/>
                <w:szCs w:val="14"/>
                <w:color w:val="0000FF"/>
              </w:rPr>
              <w:t>Commitments and Contingencies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2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76"/>
              </w:rPr>
              <w:t>(12)</w:t>
            </w:r>
          </w:p>
        </w:tc>
        <w:tc>
          <w:tcPr>
            <w:tcW w:w="1900" w:type="dxa"/>
            <w:vAlign w:val="bottom"/>
            <w:gridSpan w:val="10"/>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Earnings Per Share</w:t>
            </w:r>
          </w:p>
        </w:tc>
        <w:tc>
          <w:tcPr>
            <w:tcW w:w="7460" w:type="dxa"/>
            <w:vAlign w:val="bottom"/>
            <w:tcBorders>
              <w:right w:val="single" w:sz="8" w:color="CCEEFF"/>
            </w:tcBorders>
            <w:gridSpan w:val="10"/>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38</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76"/>
              </w:rPr>
              <w:t>(13)</w:t>
            </w:r>
          </w:p>
        </w:tc>
        <w:tc>
          <w:tcPr>
            <w:tcW w:w="9360" w:type="dxa"/>
            <w:vAlign w:val="bottom"/>
            <w:gridSpan w:val="20"/>
          </w:tcPr>
          <w:p>
            <w:pPr>
              <w:ind w:left="20"/>
              <w:spacing w:after="0" w:line="149" w:lineRule="exact"/>
              <w:rPr>
                <w:sz w:val="20"/>
                <w:szCs w:val="20"/>
                <w:color w:val="auto"/>
              </w:rPr>
            </w:pPr>
            <w:r>
              <w:rPr>
                <w:rFonts w:ascii="Times New Roman" w:cs="Times New Roman" w:eastAsia="Times New Roman" w:hAnsi="Times New Roman"/>
                <w:sz w:val="14"/>
                <w:szCs w:val="14"/>
                <w:color w:val="0000FF"/>
              </w:rPr>
              <w:t>Reportable Segments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38</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2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76"/>
              </w:rPr>
              <w:t>(14)</w:t>
            </w:r>
          </w:p>
        </w:tc>
        <w:tc>
          <w:tcPr>
            <w:tcW w:w="1500" w:type="dxa"/>
            <w:vAlign w:val="bottom"/>
            <w:gridSpan w:val="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Related Party Transactions</w:t>
            </w:r>
          </w:p>
        </w:tc>
        <w:tc>
          <w:tcPr>
            <w:tcW w:w="7860" w:type="dxa"/>
            <w:vAlign w:val="bottom"/>
            <w:tcBorders>
              <w:left w:val="single" w:sz="8" w:color="CCEEFF"/>
              <w:right w:val="single" w:sz="8" w:color="CCEEFF"/>
            </w:tcBorders>
            <w:gridSpan w:val="1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76"/>
              </w:rPr>
              <w:t>(15)</w:t>
            </w: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w w:val="96"/>
              </w:rPr>
              <w:t>Equity</w:t>
            </w:r>
          </w:p>
        </w:tc>
        <w:tc>
          <w:tcPr>
            <w:tcW w:w="1100" w:type="dxa"/>
            <w:vAlign w:val="bottom"/>
            <w:gridSpan w:val="6"/>
          </w:tcPr>
          <w:p>
            <w:pPr>
              <w:spacing w:after="0"/>
              <w:rPr>
                <w:sz w:val="12"/>
                <w:szCs w:val="12"/>
                <w:color w:val="auto"/>
              </w:rPr>
            </w:pPr>
          </w:p>
        </w:tc>
        <w:tc>
          <w:tcPr>
            <w:tcW w:w="7860" w:type="dxa"/>
            <w:vAlign w:val="bottom"/>
            <w:gridSpan w:val="13"/>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spacing w:after="0"/>
              <w:rPr>
                <w:sz w:val="13"/>
                <w:szCs w:val="13"/>
                <w:color w:val="auto"/>
              </w:rPr>
            </w:pPr>
          </w:p>
        </w:tc>
        <w:tc>
          <w:tcPr>
            <w:tcW w:w="2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u w:val="single" w:color="auto"/>
                <w:color w:val="0000FF"/>
                <w:w w:val="76"/>
              </w:rPr>
              <w:t>(16)</w:t>
            </w:r>
          </w:p>
        </w:tc>
        <w:tc>
          <w:tcPr>
            <w:tcW w:w="9360" w:type="dxa"/>
            <w:vAlign w:val="bottom"/>
            <w:tcBorders>
              <w:right w:val="single" w:sz="8" w:color="CCEEFF"/>
            </w:tcBorders>
            <w:gridSpan w:val="20"/>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Subsequent Events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43</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40" w:type="dxa"/>
            <w:vAlign w:val="bottom"/>
          </w:tcPr>
          <w:p>
            <w:pPr>
              <w:spacing w:after="0"/>
              <w:rPr>
                <w:sz w:val="12"/>
                <w:szCs w:val="12"/>
                <w:color w:val="auto"/>
              </w:rPr>
            </w:pPr>
          </w:p>
        </w:tc>
        <w:tc>
          <w:tcPr>
            <w:tcW w:w="9780" w:type="dxa"/>
            <w:vAlign w:val="bottom"/>
            <w:gridSpan w:val="23"/>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45</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1"/>
              </w:rPr>
              <w:t>Recent Events</w:t>
            </w:r>
          </w:p>
        </w:tc>
        <w:tc>
          <w:tcPr>
            <w:tcW w:w="4100" w:type="dxa"/>
            <w:vAlign w:val="bottom"/>
            <w:gridSpan w:val="17"/>
            <w:shd w:val="clear" w:color="auto" w:fill="CCEEFF"/>
          </w:tcPr>
          <w:p>
            <w:pPr>
              <w:spacing w:after="0"/>
              <w:rPr>
                <w:sz w:val="13"/>
                <w:szCs w:val="13"/>
                <w:color w:val="auto"/>
              </w:rPr>
            </w:pPr>
          </w:p>
        </w:tc>
        <w:tc>
          <w:tcPr>
            <w:tcW w:w="47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45</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w w:val="97"/>
              </w:rPr>
              <w:t>Consolidated Results of Operations</w:t>
            </w:r>
          </w:p>
        </w:tc>
        <w:tc>
          <w:tcPr>
            <w:tcW w:w="760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46</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54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Results of Operations by Reportable Segment</w:t>
            </w:r>
          </w:p>
        </w:tc>
        <w:tc>
          <w:tcPr>
            <w:tcW w:w="7020" w:type="dxa"/>
            <w:vAlign w:val="bottom"/>
            <w:tcBorders>
              <w:right w:val="single" w:sz="8" w:color="CCEEFF"/>
            </w:tcBorders>
            <w:gridSpan w:val="8"/>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47</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w w:val="95"/>
              </w:rPr>
              <w:t>Certain Factors Affecting Future Earnings</w:t>
            </w:r>
          </w:p>
        </w:tc>
        <w:tc>
          <w:tcPr>
            <w:tcW w:w="240" w:type="dxa"/>
            <w:vAlign w:val="bottom"/>
          </w:tcPr>
          <w:p>
            <w:pPr>
              <w:spacing w:after="0"/>
              <w:rPr>
                <w:sz w:val="12"/>
                <w:szCs w:val="12"/>
                <w:color w:val="auto"/>
              </w:rPr>
            </w:pPr>
          </w:p>
        </w:tc>
        <w:tc>
          <w:tcPr>
            <w:tcW w:w="7020" w:type="dxa"/>
            <w:vAlign w:val="bottom"/>
            <w:gridSpan w:val="8"/>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54</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78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Liquidity and Capital Resources</w:t>
            </w:r>
          </w:p>
        </w:tc>
        <w:tc>
          <w:tcPr>
            <w:tcW w:w="520" w:type="dxa"/>
            <w:vAlign w:val="bottom"/>
            <w:gridSpan w:val="3"/>
            <w:shd w:val="clear" w:color="auto" w:fill="CCEEFF"/>
          </w:tcPr>
          <w:p>
            <w:pPr>
              <w:spacing w:after="0"/>
              <w:rPr>
                <w:sz w:val="13"/>
                <w:szCs w:val="13"/>
                <w:color w:val="auto"/>
              </w:rPr>
            </w:pPr>
          </w:p>
        </w:tc>
        <w:tc>
          <w:tcPr>
            <w:tcW w:w="7260" w:type="dxa"/>
            <w:vAlign w:val="bottom"/>
            <w:tcBorders>
              <w:left w:val="single" w:sz="8" w:color="CCEEFF"/>
              <w:right w:val="single" w:sz="8" w:color="CCEEFF"/>
            </w:tcBorders>
            <w:gridSpan w:val="9"/>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55</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240" w:type="dxa"/>
            <w:vAlign w:val="bottom"/>
          </w:tcPr>
          <w:p>
            <w:pPr>
              <w:spacing w:after="0"/>
              <w:rPr>
                <w:sz w:val="12"/>
                <w:szCs w:val="12"/>
                <w:color w:val="auto"/>
              </w:rPr>
            </w:pPr>
          </w:p>
        </w:tc>
        <w:tc>
          <w:tcPr>
            <w:tcW w:w="340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38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68</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40" w:type="dxa"/>
            <w:vAlign w:val="bottom"/>
            <w:shd w:val="clear" w:color="auto" w:fill="CCEEFF"/>
          </w:tcPr>
          <w:p>
            <w:pPr>
              <w:spacing w:after="0"/>
              <w:rPr>
                <w:sz w:val="13"/>
                <w:szCs w:val="13"/>
                <w:color w:val="auto"/>
              </w:rPr>
            </w:pPr>
          </w:p>
        </w:tc>
        <w:tc>
          <w:tcPr>
            <w:tcW w:w="1640" w:type="dxa"/>
            <w:vAlign w:val="bottom"/>
            <w:tcBorders>
              <w:right w:val="single" w:sz="8" w:color="CCEE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760" w:type="dxa"/>
            <w:vAlign w:val="bottom"/>
            <w:gridSpan w:val="10"/>
            <w:shd w:val="clear" w:color="auto" w:fill="CCEEFF"/>
          </w:tcPr>
          <w:p>
            <w:pPr>
              <w:spacing w:after="0"/>
              <w:rPr>
                <w:sz w:val="13"/>
                <w:szCs w:val="13"/>
                <w:color w:val="auto"/>
              </w:rPr>
            </w:pPr>
          </w:p>
        </w:tc>
        <w:tc>
          <w:tcPr>
            <w:tcW w:w="6380" w:type="dxa"/>
            <w:vAlign w:val="bottom"/>
            <w:tcBorders>
              <w:left w:val="single" w:sz="8" w:color="CCEEFF"/>
              <w:right w:val="single" w:sz="8" w:color="CCEEFF"/>
            </w:tcBorders>
            <w:gridSpan w:val="6"/>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69</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-1966595</wp:posOffset>
            </wp:positionV>
            <wp:extent cx="298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45" cy="6985"/>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-1852295</wp:posOffset>
            </wp:positionV>
            <wp:extent cx="298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45" cy="6985"/>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-935990</wp:posOffset>
            </wp:positionV>
            <wp:extent cx="298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45" cy="698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6"/>
              </w:rPr>
              <w:t>Legal Proceedings</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69</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Borders>
              <w:lef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69"/>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69</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7"/>
              </w:rPr>
              <w:t>Other Information</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69</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89"/>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3"/>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69</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spacing w:after="0"/>
              <w:rPr>
                <w:sz w:val="12"/>
                <w:szCs w:val="12"/>
                <w:color w:val="auto"/>
              </w:rPr>
            </w:pPr>
          </w:p>
        </w:tc>
        <w:tc>
          <w:tcPr>
            <w:tcW w:w="97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73</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68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ALJ</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Administrative Law Judge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AMAs</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Asset Management Agreement</w:t>
            </w:r>
          </w:p>
        </w:tc>
      </w:tr>
      <w:tr>
        <w:trPr>
          <w:trHeight w:val="127"/>
        </w:trPr>
        <w:tc>
          <w:tcPr>
            <w:tcW w:w="26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Arevon</w:t>
            </w:r>
          </w:p>
        </w:tc>
        <w:tc>
          <w:tcPr>
            <w:tcW w:w="822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w w:val="97"/>
              </w:rPr>
              <w:t>Arevon Energy, Inc., which was formed through the combination of Capital Dynamics, Inc.’s U.S. Clean Energy Infrastructure business</w:t>
            </w:r>
          </w:p>
        </w:tc>
      </w:tr>
      <w:tr>
        <w:trPr>
          <w:trHeight w:val="168"/>
        </w:trPr>
        <w:tc>
          <w:tcPr>
            <w:tcW w:w="2680" w:type="dxa"/>
            <w:vAlign w:val="bottom"/>
          </w:tcPr>
          <w:p>
            <w:pPr>
              <w:spacing w:after="0"/>
              <w:rPr>
                <w:sz w:val="14"/>
                <w:szCs w:val="14"/>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unit and Arevon Asset Management</w:t>
            </w:r>
          </w:p>
        </w:tc>
      </w:tr>
      <w:tr>
        <w:trPr>
          <w:trHeight w:val="17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Asset retirement obligation</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Alternative revenue program</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Accounting Standards Update</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AT&amp;T Inc. common stock</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Forward Purchasers</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rPr>
              <w:t>Bank of America, N.A., Barclays Bank PLC, Citibank, N.A., Goldman Sachs &amp; Co. LLC, JPMorgan Chase Bank, National</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Association, Mizuho Markets Americas LLC, MUFG Securities EMEA plc and Royal Bank of Canada</w:t>
            </w:r>
          </w:p>
        </w:tc>
      </w:tr>
      <w:tr>
        <w:trPr>
          <w:trHeight w:val="127"/>
        </w:trPr>
        <w:tc>
          <w:tcPr>
            <w:tcW w:w="26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822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68"/>
        </w:trPr>
        <w:tc>
          <w:tcPr>
            <w:tcW w:w="2680" w:type="dxa"/>
            <w:vAlign w:val="bottom"/>
          </w:tcPr>
          <w:p>
            <w:pPr>
              <w:spacing w:after="0"/>
              <w:rPr>
                <w:sz w:val="14"/>
                <w:szCs w:val="14"/>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29"/>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Managers</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Billion cubic feet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Board of Directors of CenterPoint Energy, Inc.</w:t>
            </w:r>
          </w:p>
        </w:tc>
      </w:tr>
      <w:tr>
        <w:trPr>
          <w:trHeight w:val="127"/>
        </w:trPr>
        <w:tc>
          <w:tcPr>
            <w:tcW w:w="26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822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Bond Company IV and Restoration Bond Company, each a wholly-owned, bankruptcy remote entity formed solely for the purpose of</w:t>
            </w:r>
          </w:p>
        </w:tc>
      </w:tr>
      <w:tr>
        <w:trPr>
          <w:trHeight w:val="168"/>
        </w:trPr>
        <w:tc>
          <w:tcPr>
            <w:tcW w:w="2680" w:type="dxa"/>
            <w:vAlign w:val="bottom"/>
          </w:tcPr>
          <w:p>
            <w:pPr>
              <w:spacing w:after="0"/>
              <w:rPr>
                <w:sz w:val="14"/>
                <w:szCs w:val="14"/>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purchasing and owning transition or system restoration property through the issuance of Securitization Bonds</w:t>
            </w:r>
          </w:p>
        </w:tc>
      </w:tr>
      <w:tr>
        <w:trPr>
          <w:trHeight w:val="17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Bond Company IV</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CenterPoint Energy Transition Bond Company IV, LLC, a wholly-owned subsidiary of Houston Electric</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BTA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Build Transfer Agreement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Corporate Alternative Minimum Tax</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Dynamics</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Capital Dynamics, Inc.</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Coal Combustion Residuals</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Clean Energy Cost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w:t>
            </w:r>
          </w:p>
        </w:tc>
      </w:tr>
      <w:tr>
        <w:trPr>
          <w:trHeight w:val="127"/>
        </w:trPr>
        <w:tc>
          <w:tcPr>
            <w:tcW w:w="2680" w:type="dxa"/>
            <w:vAlign w:val="bottom"/>
            <w:shd w:val="clear" w:color="auto" w:fill="CCEEFF"/>
          </w:tcPr>
          <w:p>
            <w:pPr>
              <w:spacing w:after="0"/>
              <w:rPr>
                <w:sz w:val="11"/>
                <w:szCs w:val="11"/>
                <w:color w:val="auto"/>
              </w:rPr>
            </w:pPr>
          </w:p>
        </w:tc>
        <w:tc>
          <w:tcPr>
            <w:tcW w:w="8220" w:type="dxa"/>
            <w:vAlign w:val="bottom"/>
            <w:shd w:val="clear" w:color="auto" w:fill="CCEEFF"/>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Vectren Energy Delivery of Ohio, Inc. to an Ohio limited liability company on June 13, 2022, formerly a wholly-owned subsidiary of</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Vectren, acquired by CERC on June 30, 2022</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CenterPoint Energy Resources Corp.</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Charter Communications, Inc. common stock</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Conservation Improvement Program</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Chief Operating Decision Maker, who is each Registrant’s Chief Operating Executive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Credit Agreement</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rPr>
              <w:t>The Second Amended and Restated Credit Agreement dated as of December 6, 2022 among CenterPoint Energy, Inc., as borrower,</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JPMorgan Chase Bank, N.A., as administrative agent, and the banks party thereto</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Distribution Cost Recovery Factor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DOC</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U.S. Department of Commerce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Distribution Replacement Rider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Demand Side Management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Environmental Cost Adjustment</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Excess deferred income taxes</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Energy Efficiency Cost Recovery Factor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Energy Efficiency Funding Component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Energy Efficiency Funding Rider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ELG</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Effluent Limitation Guidelines</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7840" w:type="dxa"/>
            <w:vAlign w:val="bottom"/>
          </w:tcPr>
          <w:p>
            <w:pPr>
              <w:ind w:left="20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72"/>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Environmental Protection Agency</w:t>
            </w:r>
          </w:p>
        </w:tc>
      </w:tr>
      <w:tr>
        <w:trPr>
          <w:trHeight w:val="130"/>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Equity Distribution Agreement, dated as of January 10, 2024, by and between CenterPoint Energy, the ATM Managers, the ATM</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Forward Purchasers and the ATM Forward Sellers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Electric Reliability Council of Texas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7"/>
              </w:rPr>
              <w:t>The extreme and unprecedented winter weather event in February 2021 (Winter Storm Uri) that resulted in electricity generation supply</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shortages, including in Texas, and natural gas supply shortages and increased wholesale prices of natural gas in the United States,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Financial Accounting Standards Board</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Federal Energy Regulatory Commission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Fitch Ratings, Inc.</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Form 10-Q</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Quarterly Report on Form 10-Q</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General Mortgage Indenture, dated as of October 10, 2002, between Houston Electric and JPMorgan Chase Bank, as Trustee, as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supplemented</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Greenhouse gases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GHRI</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The Greater Houston Resiliency Initiative, which was initially announced by Houston Electric in August 2024 and includes targeted</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actions to improve the resiliency of Houston Electric’s electric grid, as well as improve customer communications and community</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partnerships</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Reliability Infrastructure Program</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Gigawatt-hours</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The powerful and destructive storm that made landfall in Texas on July 8, 2024 and caused widespread damage to Houston Electric’s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electric system</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operations</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Gas Company, Inc., formerly a wholly-owned subsidiary of Vectren, acquired by CERC on June 30, 2022</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operations of Indiana Gas</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operations of SIGECO</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Interim Condensed Financial Statements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Unaudited condensed consolidated interim financial statements and combined notes</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Inflation Reduction Act of 2022</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Integrated Resource Plan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Internal Revenue Service</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Utility Regulatory Commission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KW</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Kilowatts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Delta North Louisiana Gas Company, LLC (f/k/a Delta Utilities No. LA, LLC), a Delaware limited liability company, Delta South</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rPr>
              <w:t>Louisiana Gas Company, LLC (f/k/a Delta Utilities S. LA, LLC), a Delaware limited liability company, Delta Mississippi Gas</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Company, LLC (f/k/a Delta Utilities MS, LLC), a Delaware limited liability company, and Delta Energy Resources, LLC (f/k/a Delta</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Shared Services Co., LLC), a Delaware limited liability company</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Local distribution company</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Load Shed</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Curtailing the amount of electricity a TDU can transmit and distribute to its customers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National Association (formerly, South Texas Commercial National Bank of Houston), as Trustee, as amended and supplemented</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MDL</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Multi-district litigation</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w:t>
            </w:r>
          </w:p>
        </w:tc>
      </w:tr>
      <w:tr>
        <w:trPr>
          <w:trHeight w:val="165"/>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widespread damage to Houston Electric’s electric delivery system</w:t>
            </w:r>
          </w:p>
        </w:tc>
      </w:tr>
    </w:tbl>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000" w:type="dxa"/>
            <w:vAlign w:val="bottom"/>
          </w:tcPr>
          <w:p>
            <w:pPr>
              <w:ind w:left="222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Manufactured gas plant</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Moody’s Investors Service, Inc.</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MPUC</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Minnesota Public Utilities Commission</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Megawatt</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NRG Energy, Inc.</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Oriden</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Oriden LLC</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Origis Energy USA Inc.</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PFD</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Proposal for decision</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Posey Solar, LLC, a special purpose entity</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 Merger Agreement</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Agreement and Plan of Merger, dated as of March 7</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2025, among SIGECO and Posey Solar</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Power purchase agreement</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PRPs</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Potentially responsible parties</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Production Tax Credits</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Public Utilities Commission of Ohio</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Public Utility Commission of Texas</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Railroad Commission of Texas</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RCRA</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Resource Conservation and Recovery Act of 1976</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Registrants</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CenterPoint Energy, Inc., CenterPoint Energy Houston Electric, LLC and CenterPoint Energy Resources Corp., collectively</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Retail electric provider</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ROE</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Return on equity</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ROU</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Right of use</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S&amp;P Global Ratings</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Securities and Exchange Commission</w:t>
            </w:r>
          </w:p>
        </w:tc>
        <w:tc>
          <w:tcPr>
            <w:tcW w:w="0" w:type="dxa"/>
            <w:vAlign w:val="bottom"/>
          </w:tcPr>
          <w:p>
            <w:pPr>
              <w:spacing w:after="0"/>
              <w:rPr>
                <w:sz w:val="1"/>
                <w:szCs w:val="1"/>
                <w:color w:val="auto"/>
              </w:rPr>
            </w:pPr>
          </w:p>
        </w:tc>
      </w:tr>
      <w:tr>
        <w:trPr>
          <w:trHeight w:val="127"/>
        </w:trPr>
        <w:tc>
          <w:tcPr>
            <w:tcW w:w="29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8000" w:type="dxa"/>
            <w:vAlign w:val="bottom"/>
          </w:tcPr>
          <w:p>
            <w:pPr>
              <w:ind w:left="1060"/>
              <w:spacing w:after="0" w:line="128" w:lineRule="exact"/>
              <w:rPr>
                <w:sz w:val="20"/>
                <w:szCs w:val="20"/>
                <w:color w:val="auto"/>
              </w:rPr>
            </w:pPr>
            <w:r>
              <w:rPr>
                <w:rFonts w:ascii="Times New Roman" w:cs="Times New Roman" w:eastAsia="Times New Roman" w:hAnsi="Times New Roman"/>
                <w:sz w:val="13"/>
                <w:szCs w:val="13"/>
                <w:color w:val="auto"/>
              </w:rPr>
              <w:t>Transition and system restoration bonds issued by the Bond Companies and SIGECO Securitization Bonds issued by the SIGECO</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Securitization Subsidiary</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Secured Overnight Financing Rate</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Sales Reconciliation Component</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SRP</w:t>
            </w:r>
          </w:p>
        </w:tc>
        <w:tc>
          <w:tcPr>
            <w:tcW w:w="800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w w:val="98"/>
              </w:rPr>
              <w:t>The transmission and distribution system resiliency plan filed by Houston Electric with the PUCT on January 31, 2025, which proposes</w:t>
            </w:r>
          </w:p>
        </w:tc>
        <w:tc>
          <w:tcPr>
            <w:tcW w:w="0" w:type="dxa"/>
            <w:vAlign w:val="bottom"/>
          </w:tcPr>
          <w:p>
            <w:pPr>
              <w:spacing w:after="0"/>
              <w:rPr>
                <w:sz w:val="1"/>
                <w:szCs w:val="1"/>
                <w:color w:val="auto"/>
              </w:rPr>
            </w:pPr>
          </w:p>
        </w:tc>
      </w:tr>
      <w:tr>
        <w:trPr>
          <w:trHeight w:val="87"/>
        </w:trPr>
        <w:tc>
          <w:tcPr>
            <w:tcW w:w="2900" w:type="dxa"/>
            <w:vAlign w:val="bottom"/>
            <w:shd w:val="clear" w:color="auto" w:fill="CCEEFF"/>
          </w:tcPr>
          <w:p>
            <w:pPr>
              <w:spacing w:after="0"/>
              <w:rPr>
                <w:sz w:val="7"/>
                <w:szCs w:val="7"/>
                <w:color w:val="auto"/>
              </w:rPr>
            </w:pPr>
          </w:p>
        </w:tc>
        <w:tc>
          <w:tcPr>
            <w:tcW w:w="8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00" w:type="dxa"/>
            <w:vAlign w:val="bottom"/>
            <w:shd w:val="clear" w:color="auto" w:fill="CCEEFF"/>
          </w:tcPr>
          <w:p>
            <w:pPr>
              <w:spacing w:after="0"/>
              <w:rPr>
                <w:sz w:val="11"/>
                <w:szCs w:val="11"/>
                <w:color w:val="auto"/>
              </w:rPr>
            </w:pPr>
          </w:p>
        </w:tc>
        <w:tc>
          <w:tcPr>
            <w:tcW w:w="8000" w:type="dxa"/>
            <w:vAlign w:val="bottom"/>
            <w:shd w:val="clear" w:color="auto" w:fill="CCEEFF"/>
          </w:tcPr>
          <w:p>
            <w:pPr>
              <w:ind w:left="1060"/>
              <w:spacing w:after="0" w:line="128" w:lineRule="exact"/>
              <w:rPr>
                <w:sz w:val="20"/>
                <w:szCs w:val="20"/>
                <w:color w:val="auto"/>
              </w:rPr>
            </w:pPr>
            <w:r>
              <w:rPr>
                <w:rFonts w:ascii="Times New Roman" w:cs="Times New Roman" w:eastAsia="Times New Roman" w:hAnsi="Times New Roman"/>
                <w:sz w:val="13"/>
                <w:szCs w:val="13"/>
                <w:color w:val="auto"/>
                <w:w w:val="99"/>
              </w:rPr>
              <w:t>investing approximately $5.75 billion over a three-year period for transmission and distribution infrastructure, information technology</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14"/>
                <w:szCs w:val="14"/>
                <w:color w:val="auto"/>
              </w:rPr>
            </w:pP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and cybersecurity assets and event response capability</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To be determined</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Texas Consumer Association</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Transmission Cost of Service</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Transmission Cost Recovery Factor</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Transmission and distribution utility</w:t>
            </w:r>
          </w:p>
        </w:tc>
        <w:tc>
          <w:tcPr>
            <w:tcW w:w="0" w:type="dxa"/>
            <w:vAlign w:val="bottom"/>
          </w:tcPr>
          <w:p>
            <w:pPr>
              <w:spacing w:after="0"/>
              <w:rPr>
                <w:sz w:val="1"/>
                <w:szCs w:val="1"/>
                <w:color w:val="auto"/>
              </w:rPr>
            </w:pPr>
          </w:p>
        </w:tc>
      </w:tr>
      <w:tr>
        <w:trPr>
          <w:trHeight w:val="127"/>
        </w:trPr>
        <w:tc>
          <w:tcPr>
            <w:tcW w:w="29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8000" w:type="dxa"/>
            <w:vAlign w:val="bottom"/>
          </w:tcPr>
          <w:p>
            <w:pPr>
              <w:ind w:left="1060"/>
              <w:spacing w:after="0" w:line="128" w:lineRule="exact"/>
              <w:rPr>
                <w:sz w:val="20"/>
                <w:szCs w:val="20"/>
                <w:color w:val="auto"/>
              </w:rPr>
            </w:pPr>
            <w:r>
              <w:rPr>
                <w:rFonts w:ascii="Times New Roman" w:cs="Times New Roman" w:eastAsia="Times New Roman" w:hAnsi="Times New Roman"/>
                <w:sz w:val="13"/>
                <w:szCs w:val="13"/>
                <w:color w:val="auto"/>
              </w:rPr>
              <w:t>Assets leased or costs incurred as “temporary emergency electric energy facilities” under the Public Utility Regulatory Act Section</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39.918, also referred to as temporary generation</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Transition Services Agreement</w:t>
            </w:r>
          </w:p>
        </w:tc>
        <w:tc>
          <w:tcPr>
            <w:tcW w:w="8000" w:type="dxa"/>
            <w:vAlign w:val="bottom"/>
            <w:shd w:val="clear" w:color="auto" w:fill="CCEEFF"/>
          </w:tcPr>
          <w:p>
            <w:pPr>
              <w:ind w:left="1060"/>
              <w:spacing w:after="0" w:line="129" w:lineRule="exact"/>
              <w:rPr>
                <w:sz w:val="20"/>
                <w:szCs w:val="20"/>
                <w:color w:val="auto"/>
              </w:rPr>
            </w:pPr>
            <w:r>
              <w:rPr>
                <w:rFonts w:ascii="Times New Roman" w:cs="Times New Roman" w:eastAsia="Times New Roman" w:hAnsi="Times New Roman"/>
                <w:sz w:val="13"/>
                <w:szCs w:val="13"/>
                <w:color w:val="auto"/>
              </w:rPr>
              <w:t>Transition Services Agreement, dated as of March 31, 2025, by and among CenterPoint Energy Resources Corp., Delta North</w:t>
            </w:r>
          </w:p>
        </w:tc>
        <w:tc>
          <w:tcPr>
            <w:tcW w:w="0" w:type="dxa"/>
            <w:vAlign w:val="bottom"/>
          </w:tcPr>
          <w:p>
            <w:pPr>
              <w:spacing w:after="0"/>
              <w:rPr>
                <w:sz w:val="1"/>
                <w:szCs w:val="1"/>
                <w:color w:val="auto"/>
              </w:rPr>
            </w:pPr>
          </w:p>
        </w:tc>
      </w:tr>
      <w:tr>
        <w:trPr>
          <w:trHeight w:val="127"/>
        </w:trPr>
        <w:tc>
          <w:tcPr>
            <w:tcW w:w="2900" w:type="dxa"/>
            <w:vAlign w:val="bottom"/>
            <w:shd w:val="clear" w:color="auto" w:fill="CCEEFF"/>
          </w:tcPr>
          <w:p>
            <w:pPr>
              <w:spacing w:after="0"/>
              <w:rPr>
                <w:sz w:val="11"/>
                <w:szCs w:val="11"/>
                <w:color w:val="auto"/>
              </w:rPr>
            </w:pPr>
          </w:p>
        </w:tc>
        <w:tc>
          <w:tcPr>
            <w:tcW w:w="8000" w:type="dxa"/>
            <w:vAlign w:val="bottom"/>
            <w:shd w:val="clear" w:color="auto" w:fill="CCEEFF"/>
          </w:tcPr>
          <w:p>
            <w:pPr>
              <w:ind w:left="1060"/>
              <w:spacing w:after="0" w:line="128" w:lineRule="exact"/>
              <w:rPr>
                <w:sz w:val="20"/>
                <w:szCs w:val="20"/>
                <w:color w:val="auto"/>
              </w:rPr>
            </w:pPr>
            <w:r>
              <w:rPr>
                <w:rFonts w:ascii="Times New Roman" w:cs="Times New Roman" w:eastAsia="Times New Roman" w:hAnsi="Times New Roman"/>
                <w:sz w:val="13"/>
                <w:szCs w:val="13"/>
                <w:color w:val="auto"/>
                <w:w w:val="99"/>
              </w:rPr>
              <w:t>Louisiana Gas Company, LLC, Delta South Louisiana Gas Company, LLC, Delta Mississippi Gas Company, LLC, and Delta Energy</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14"/>
                <w:szCs w:val="14"/>
                <w:color w:val="auto"/>
              </w:rPr>
            </w:pP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Resources, LLC</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c>
          <w:tcPr>
            <w:tcW w:w="0" w:type="dxa"/>
            <w:vAlign w:val="bottom"/>
          </w:tcPr>
          <w:p>
            <w:pPr>
              <w:spacing w:after="0"/>
              <w:rPr>
                <w:sz w:val="1"/>
                <w:szCs w:val="1"/>
                <w:color w:val="auto"/>
              </w:rPr>
            </w:pPr>
          </w:p>
        </w:tc>
      </w:tr>
      <w:tr>
        <w:trPr>
          <w:trHeight w:val="128"/>
        </w:trPr>
        <w:tc>
          <w:tcPr>
            <w:tcW w:w="2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8000" w:type="dxa"/>
            <w:vAlign w:val="bottom"/>
            <w:shd w:val="clear" w:color="auto" w:fill="CCEEFF"/>
          </w:tcPr>
          <w:p>
            <w:pPr>
              <w:ind w:left="1060"/>
              <w:spacing w:after="0" w:line="129"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14"/>
                <w:szCs w:val="14"/>
                <w:color w:val="auto"/>
              </w:rPr>
            </w:pP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wholly-owned subsidiary of CenterPoint Energy as of February 1, 2019</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8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8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Variable interest entity</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6" w:name="page7"/>
    <w:bookmarkEnd w:id="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Winter Storm Elliott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ZENS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ZENS-Related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2024 Form 10-K</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Voluntary Remediation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-93980</wp:posOffset>
            </wp:positionV>
            <wp:extent cx="6925945" cy="107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5945"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Warner Bros. Discovery, Inc. Series A common stock</w:t>
      </w:r>
    </w:p>
    <w:p>
      <w:pPr>
        <w:spacing w:after="0" w:line="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From December 21 to 26, 2022, a historic extratropical cyclone created winter storm conditions, including blizzards, high winds, snowfall and record cold temperatures across the majority of the United States and parts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-185420</wp:posOffset>
            </wp:positionV>
            <wp:extent cx="692594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5945"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31, 2025 and December 31, 2024, consisted of AT&amp;T Common, Charter Common and WBD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-93980</wp:posOffset>
            </wp:positionV>
            <wp:extent cx="6925945"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5945"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2024 as filed with the SEC on February 20, 2025</w:t>
      </w:r>
    </w:p>
    <w:p>
      <w:pPr>
        <w:spacing w:after="0" w:line="200" w:lineRule="exact"/>
        <w:rPr>
          <w:sz w:val="20"/>
          <w:szCs w:val="20"/>
          <w:color w:val="auto"/>
        </w:rPr>
      </w:pPr>
    </w:p>
    <w:p>
      <w:pPr>
        <w:spacing w:after="0" w:line="2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240" w:space="720"/>
            <w:col w:w="6580"/>
          </w:cols>
          <w:pgMar w:left="500" w:top="668" w:right="8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spacing w:after="0" w:line="3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the Registrants’ forward-looking statements and apply to all Registrants unless otherwise indicated:</w:t>
      </w:r>
    </w:p>
    <w:p>
      <w:pPr>
        <w:spacing w:after="0" w:line="145" w:lineRule="exact"/>
        <w:rPr>
          <w:sz w:val="20"/>
          <w:szCs w:val="20"/>
          <w:color w:val="auto"/>
        </w:rPr>
      </w:pPr>
    </w:p>
    <w:p>
      <w:pPr>
        <w:jc w:val="both"/>
        <w:ind w:left="520" w:hanging="260"/>
        <w:spacing w:after="0" w:line="26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completed sale of our Louisiana and Mississippi natural gas LDC businesses, which we cannot assure will have the anticipated benefits to us;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including in relation to the expansion of data centers, energy export facilities, including hydrogen facilities, electrification of industrial processes and transport and logistics, as well as the effects of energy efficiency measures and demographic patterns;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Indiana Electric’s generation transition plan as part of its IRPs and Houston Electric’s GHRI and SRP;</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TEEEF leases and restoration costs relating to, among other things, the May 2024 Storm Events and Hurricane Beryl, and requested or favorable adjustments to rates and approval of other requested items as part of base rate proceedings or interim rate mechanisms;</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approval for Houston Electric’s proposal to release its 15 large 27 MW to 32 MW TEEEF units to the San Antonio area, reduce its TEEEF fleet capacity and reduce rates to reflect the removal of the 15 large TEEEF units from Houston Electric’s TEEEF fleet, as well as complete one or more other future transactions involving the TEEEF units on acceptable terms and conditions within the anticipated timeframe;</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potential for recession, changes to inflation and interest rates, and their effect on sales, prices and costs;</w:t>
      </w:r>
    </w:p>
    <w:p>
      <w:pPr>
        <w:spacing w:after="0" w:line="8" w:lineRule="exact"/>
        <w:rPr>
          <w:rFonts w:ascii="Times New Roman" w:cs="Times New Roman" w:eastAsia="Times New Roman" w:hAnsi="Times New Roman"/>
          <w:sz w:val="14"/>
          <w:szCs w:val="14"/>
          <w:color w:val="auto"/>
        </w:rPr>
      </w:pPr>
    </w:p>
    <w:p>
      <w:pPr>
        <w:ind w:left="520" w:hanging="260"/>
        <w:spacing w:after="0" w:line="245"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variations and other natural phenomena, including the impact of severe weather events on operations, capital, legislation and/or regulations, such as seen in connection with the February 2021 Winter Storm Event, the May 2024 Storm Events and Hurricane Beryl;</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tariffs, legislation, bans, retaliatory trade measures taken against the United States or related governmental action, as well as armed conflicts, including the conflict in the Middle East and any broader related conflict, and the conflict in Ukraine, and the related sanctions on certain Russian entities;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ind w:left="52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the May 2024 Storm Events and/or Hurricane Beryl,</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 w:name="page9"/>
    <w:bookmarkEnd w:id="8"/>
    <w:p>
      <w:pPr>
        <w:ind w:left="260"/>
        <w:spacing w:after="0" w:line="257" w:lineRule="auto"/>
        <w:rPr>
          <w:sz w:val="20"/>
          <w:szCs w:val="20"/>
          <w:color w:val="auto"/>
        </w:rPr>
      </w:pPr>
      <w:r>
        <w:rPr>
          <w:rFonts w:ascii="Times New Roman" w:cs="Times New Roman" w:eastAsia="Times New Roman" w:hAnsi="Times New Roman"/>
          <w:sz w:val="14"/>
          <w:szCs w:val="14"/>
          <w:color w:val="auto"/>
        </w:rPr>
        <w:t>energy deregulation or re-regulation, pipeline integrity and safety and changes in regulation and legislation pertaining to trade, health care, finance and actions regarding the rates charged by our regulated businesses;</w:t>
      </w:r>
    </w:p>
    <w:p>
      <w:pPr>
        <w:ind w:left="260" w:hanging="260"/>
        <w:spacing w:after="0" w:line="237"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execute Houston Electric’s GHRI and SRP;</w:t>
      </w:r>
    </w:p>
    <w:p>
      <w:pPr>
        <w:jc w:val="both"/>
        <w:ind w:left="260" w:hanging="260"/>
        <w:spacing w:after="0"/>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including as a result of volatility in commodity prices, trade agreements, changes in trade relationships, geopolitical and economic uncertainty, regulatory and policy instability, severe weather events, tariffs, bans, retaliatory trade measures, legislation and governmental action impacting the supply chain, that could prevent CenterPoint Energy from securing the resources needed to, among other things, fully execute on the GHRI and SRP, its 10-year capital plan or achieve its net zero and GHG emissions reduction goals;</w:t>
      </w:r>
    </w:p>
    <w:p>
      <w:pPr>
        <w:spacing w:after="0" w:line="162"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prices for and our ability to procure materials, supplies or services and scarcity of and changes in labor for current and future projects, including those relating to our GHRI and SRP and those arising from our capital plan, and operations and maintenance costs, including our ability to control such costs;</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licenses and permits from local, federal and other regulatory authorities on acceptable terms and resolve third-party challenges to such licenses or permits as applicable;</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cyberattacks or intrusions, data security breaches or other attempts to disrupt our businesses or the businesses of third parties, or other catastrophic events such as fires, earthquakes, explosions, leaks, floods, droughts, hurricanes, tornadoes, derecho events, ice storms and other severe weather events, terrorism, wildfires, pandemic health events, geopolitical conflict or other occurrences;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potential wildfires, including damages to our network and losses in excess of insurance liability coverage;</w:t>
      </w:r>
    </w:p>
    <w:p>
      <w:pPr>
        <w:spacing w:after="0" w:line="8" w:lineRule="exact"/>
        <w:rPr>
          <w:rFonts w:ascii="Times New Roman" w:cs="Times New Roman" w:eastAsia="Times New Roman" w:hAnsi="Times New Roman"/>
          <w:sz w:val="14"/>
          <w:szCs w:val="14"/>
          <w:color w:val="auto"/>
        </w:rPr>
      </w:pP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including the effects of or changes to or the repeal of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affecting regulatory approval, legislative or executive actions, construction, implementation of necessary technology or other issues with respect to major capital projects that result in delays or cancellation or in costs that cannot be recouped in rates;</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net zero and GHG emissions reduction goals;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the May 2024 Storm Events and Hurricane Beryl, or natural disasters or other amounts sought for recovery of costs, including stranded coal-fired generation asset costs;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management and key employees and maintain good labor relations;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particularly with respect to efficient battery storage or the emergence or growth of new, developing or alternative sources of generation, and their adoption by consumers, and our ability to anticipate and adapt to technological changes;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timely adopting, developing and deploying artificial intelligence;</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risk and alternate energy sources on the demand for natural gas and electricity generated or transmitted by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3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634" w:right="319" w:bottom="1440" w:gutter="0" w:footer="0" w:header="0"/>
        </w:sectPr>
      </w:pPr>
    </w:p>
    <w:bookmarkStart w:id="9" w:name="page10"/>
    <w:bookmarkEnd w:id="9"/>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23" w:lineRule="exact"/>
        <w:rPr>
          <w:rFonts w:ascii="Times New Roman" w:cs="Times New Roman" w:eastAsia="Times New Roman" w:hAnsi="Times New Roman"/>
          <w:sz w:val="14"/>
          <w:szCs w:val="14"/>
          <w:color w:val="auto"/>
        </w:rPr>
      </w:pPr>
    </w:p>
    <w:p>
      <w:pPr>
        <w:ind w:left="520" w:right="424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its net zero and GHG emissions reduction goals and its operations and maintenance expenditure goals;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the Registrants’ combined 2024 Form 10-K, which are incorporated herein by reference, Part II, Item 1A of this combined Form 10-Q, and in other reports that the Registrants file from time to time with the SEC.</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536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536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6"/>
        </w:trPr>
        <w:tc>
          <w:tcPr>
            <w:tcW w:w="3400" w:type="dxa"/>
            <w:vAlign w:val="bottom"/>
          </w:tcPr>
          <w:p>
            <w:pPr>
              <w:spacing w:after="0"/>
              <w:rPr>
                <w:sz w:val="16"/>
                <w:szCs w:val="16"/>
                <w:color w:val="auto"/>
              </w:rPr>
            </w:pPr>
          </w:p>
        </w:tc>
        <w:tc>
          <w:tcPr>
            <w:tcW w:w="5360" w:type="dxa"/>
            <w:vAlign w:val="bottom"/>
            <w:gridSpan w:val="2"/>
          </w:tcPr>
          <w:p>
            <w:pPr>
              <w:jc w:val="right"/>
              <w:ind w:right="26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80"/>
        </w:trPr>
        <w:tc>
          <w:tcPr>
            <w:tcW w:w="3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161"/>
        </w:trPr>
        <w:tc>
          <w:tcPr>
            <w:tcW w:w="3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59"/>
        </w:trPr>
        <w:tc>
          <w:tcPr>
            <w:tcW w:w="34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40" w:type="dxa"/>
            <w:vAlign w:val="bottom"/>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60" w:type="dxa"/>
            <w:vAlign w:val="bottom"/>
          </w:tcPr>
          <w:p>
            <w:pPr>
              <w:spacing w:after="0"/>
              <w:rPr>
                <w:sz w:val="13"/>
                <w:szCs w:val="13"/>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revenues</w:t>
            </w:r>
          </w:p>
        </w:tc>
        <w:tc>
          <w:tcPr>
            <w:tcW w:w="5360" w:type="dxa"/>
            <w:vAlign w:val="bottom"/>
            <w:gridSpan w:val="2"/>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w:t>
            </w:r>
          </w:p>
        </w:tc>
      </w:tr>
      <w:tr>
        <w:trPr>
          <w:trHeight w:val="168"/>
        </w:trPr>
        <w:tc>
          <w:tcPr>
            <w:tcW w:w="3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Non-utility revenues</w:t>
            </w:r>
          </w:p>
        </w:tc>
        <w:tc>
          <w:tcPr>
            <w:tcW w:w="40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r>
      <w:tr>
        <w:trPr>
          <w:trHeight w:val="149"/>
        </w:trPr>
        <w:tc>
          <w:tcPr>
            <w:tcW w:w="3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1"/>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58"/>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2,004</w:t>
            </w:r>
          </w:p>
        </w:tc>
      </w:tr>
      <w:tr>
        <w:trPr>
          <w:trHeight w:val="16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r>
      <w:tr>
        <w:trPr>
          <w:trHeight w:val="149"/>
        </w:trPr>
        <w:tc>
          <w:tcPr>
            <w:tcW w:w="3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1"/>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(loss) on equity securities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3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40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58"/>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4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39"/>
        </w:trPr>
        <w:tc>
          <w:tcPr>
            <w:tcW w:w="34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4080" w:type="dxa"/>
            <w:vAlign w:val="bottom"/>
          </w:tcPr>
          <w:p>
            <w:pPr>
              <w:spacing w:after="0"/>
              <w:rPr>
                <w:sz w:val="12"/>
                <w:szCs w:val="12"/>
                <w:color w:val="auto"/>
              </w:rPr>
            </w:pPr>
          </w:p>
        </w:tc>
        <w:tc>
          <w:tcPr>
            <w:tcW w:w="1280" w:type="dxa"/>
            <w:vAlign w:val="bottom"/>
            <w:tcBorders>
              <w:bottom w:val="single" w:sz="8" w:color="auto"/>
            </w:tcBorders>
          </w:tcPr>
          <w:p>
            <w:pPr>
              <w:jc w:val="right"/>
              <w:ind w:right="1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2"/>
                <w:szCs w:val="12"/>
                <w:color w:val="auto"/>
              </w:rPr>
            </w:pPr>
          </w:p>
        </w:tc>
        <w:tc>
          <w:tcPr>
            <w:tcW w:w="1300" w:type="dxa"/>
            <w:vAlign w:val="bottom"/>
            <w:tcBorders>
              <w:bottom w:val="single" w:sz="8" w:color="auto"/>
            </w:tcBorders>
          </w:tcPr>
          <w:p>
            <w:pPr>
              <w:jc w:val="right"/>
              <w:ind w:right="115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350</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1"/>
        </w:trPr>
        <w:tc>
          <w:tcPr>
            <w:tcW w:w="340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9"/>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5360" w:type="dxa"/>
            <w:vAlign w:val="bottom"/>
            <w:gridSpan w:val="2"/>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spacing w:after="0"/>
              <w:rPr>
                <w:sz w:val="12"/>
                <w:szCs w:val="12"/>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0.55</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40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4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r>
      <w:tr>
        <w:trPr>
          <w:trHeight w:val="167"/>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COMPREHENSIVE INCOME</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702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020" w:type="dxa"/>
            <w:vAlign w:val="bottom"/>
          </w:tcPr>
          <w:p>
            <w:pPr>
              <w:spacing w:after="0"/>
              <w:rPr>
                <w:sz w:val="14"/>
                <w:szCs w:val="14"/>
                <w:color w:val="auto"/>
              </w:rPr>
            </w:pPr>
          </w:p>
        </w:tc>
        <w:tc>
          <w:tcPr>
            <w:tcW w:w="13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0"/>
        </w:trPr>
        <w:tc>
          <w:tcPr>
            <w:tcW w:w="7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8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320" w:type="dxa"/>
            <w:vAlign w:val="bottom"/>
            <w:tcBorders>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48"/>
        </w:trPr>
        <w:tc>
          <w:tcPr>
            <w:tcW w:w="7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2"/>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and $-0-)</w:t>
            </w:r>
          </w:p>
        </w:tc>
        <w:tc>
          <w:tcPr>
            <w:tcW w:w="1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deferred gain from cash flow hedges (net of tax of $-0-, and $-0-)</w:t>
            </w:r>
          </w:p>
        </w:tc>
        <w:tc>
          <w:tcPr>
            <w:tcW w:w="13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0"/>
        </w:trPr>
        <w:tc>
          <w:tcPr>
            <w:tcW w:w="70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3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320" w:type="dxa"/>
            <w:vAlign w:val="bottom"/>
            <w:tcBorders>
              <w:bottom w:val="single" w:sz="8" w:color="auto"/>
            </w:tcBorders>
          </w:tcPr>
          <w:p>
            <w:pPr>
              <w:jc w:val="right"/>
              <w:ind w:right="12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3"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($29 and $21 related to VIEs, respectively)</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receivable ($2 and $2 related to VIEs, respectively), less allowance for credit losses of $30 and $28,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unbilled revenues ($2 and $2 related to VIEs, respectively), less allowance for credit losses of $1 and $2,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Taxes receivable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 ($2 and $2 related to VIEs, respectively)</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42,667</w:t>
            </w:r>
          </w:p>
        </w:tc>
      </w:tr>
      <w:tr>
        <w:trPr>
          <w:trHeight w:val="168"/>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10,768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10,578</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33,100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32,089</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Regulatory assets ($309 and $313 related to VIEs,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7,298</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44,486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34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c>
          <w:tcPr>
            <w:tcW w:w="4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Indexed debt,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accrued</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accrued</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Customer deposits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4,441</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8,728</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long-term debt, net</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20,054</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20,089</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long-term debt,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20,362</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20,397</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652,726,754 shares and 651,727,276 shares outstanding,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10,955</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10,666</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40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44,486</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43,768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r>
      <w:tr>
        <w:trPr>
          <w:trHeight w:val="159"/>
        </w:trPr>
        <w:tc>
          <w:tcPr>
            <w:tcW w:w="7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8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r>
      <w:tr>
        <w:trPr>
          <w:trHeight w:val="170"/>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8"/>
        </w:trPr>
        <w:tc>
          <w:tcPr>
            <w:tcW w:w="7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72"/>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sale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(gain) on equity securities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2"/>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(gain) on indexed debt securities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8"/>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Pension contributions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2"/>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8"/>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2"/>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80"/>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70"/>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72"/>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3"/>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r>
      <w:tr>
        <w:trPr>
          <w:trHeight w:val="149"/>
        </w:trPr>
        <w:tc>
          <w:tcPr>
            <w:tcW w:w="73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1"/>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r>
      <w:tr>
        <w:trPr>
          <w:trHeight w:val="149"/>
        </w:trPr>
        <w:tc>
          <w:tcPr>
            <w:tcW w:w="73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1"/>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commercial paper,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net</w:t>
            </w:r>
          </w:p>
        </w:tc>
        <w:tc>
          <w:tcPr>
            <w:tcW w:w="1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3"/>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58"/>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2"/>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31"/>
        </w:trPr>
        <w:tc>
          <w:tcPr>
            <w:tcW w:w="7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68"/>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Refunds received for income taxes,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7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5"/>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ROU assets obtained in exchange for lease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9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19"/>
        </w:trPr>
        <w:tc>
          <w:tcPr>
            <w:tcW w:w="7520" w:type="dxa"/>
            <w:vAlign w:val="bottom"/>
          </w:tcPr>
          <w:p>
            <w:pPr>
              <w:spacing w:after="0"/>
              <w:rPr>
                <w:sz w:val="10"/>
                <w:szCs w:val="10"/>
                <w:color w:val="auto"/>
              </w:rPr>
            </w:pPr>
          </w:p>
        </w:tc>
        <w:tc>
          <w:tcPr>
            <w:tcW w:w="3760" w:type="dxa"/>
            <w:vAlign w:val="bottom"/>
            <w:gridSpan w:val="10"/>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 millions of dollars and shares, except authorized shares and par</w:t>
            </w:r>
          </w:p>
        </w:tc>
      </w:tr>
      <w:tr>
        <w:trPr>
          <w:trHeight w:val="169"/>
        </w:trPr>
        <w:tc>
          <w:tcPr>
            <w:tcW w:w="7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8,604</w:t>
            </w:r>
          </w:p>
        </w:tc>
      </w:tr>
      <w:tr>
        <w:trPr>
          <w:trHeight w:val="172"/>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of Common Stock, net of issuance costs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8,583</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68"/>
        </w:trPr>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7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75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9,998</w:t>
            </w:r>
          </w:p>
        </w:tc>
      </w:tr>
      <w:tr>
        <w:trPr>
          <w:trHeight w:val="20"/>
        </w:trPr>
        <w:tc>
          <w:tcPr>
            <w:tcW w:w="7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left="740" w:right="2440"/>
        <w:spacing w:after="0" w:line="268" w:lineRule="auto"/>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 (AN INDIRECT, WHOLLY-OWNED SUBSIDIARY OF CENTERPOINT ENERGY, INC.) CONDENSED STATEMENTS OF CONSOLIDATED INCOME (Unaudited)</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6580" w:type="dxa"/>
            <w:vAlign w:val="bottom"/>
          </w:tcPr>
          <w:p>
            <w:pPr>
              <w:spacing w:after="0"/>
              <w:rPr>
                <w:sz w:val="14"/>
                <w:szCs w:val="14"/>
                <w:color w:val="auto"/>
              </w:rPr>
            </w:pPr>
          </w:p>
        </w:tc>
        <w:tc>
          <w:tcPr>
            <w:tcW w:w="13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0"/>
        </w:trPr>
        <w:tc>
          <w:tcPr>
            <w:tcW w:w="6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60" w:type="dxa"/>
            <w:vAlign w:val="bottom"/>
            <w:gridSpan w:val="3"/>
          </w:tcPr>
          <w:p>
            <w:pPr>
              <w:jc w:val="right"/>
              <w:ind w:right="100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r>
      <w:tr>
        <w:trPr>
          <w:trHeight w:val="158"/>
        </w:trPr>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68"/>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3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8"/>
        </w:trPr>
        <w:tc>
          <w:tcPr>
            <w:tcW w:w="6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3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58"/>
        </w:trPr>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13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13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8"/>
        </w:trPr>
        <w:tc>
          <w:tcPr>
            <w:tcW w:w="6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8"/>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8"/>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123" w:right="7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 ($14 and $14 related to VIEs, respectively)</w:t>
            </w:r>
          </w:p>
        </w:tc>
        <w:tc>
          <w:tcPr>
            <w:tcW w:w="1400" w:type="dxa"/>
            <w:vAlign w:val="bottom"/>
            <w:shd w:val="clear" w:color="auto" w:fill="CCEEFF"/>
          </w:tcPr>
          <w:p>
            <w:pPr>
              <w:jc w:val="right"/>
              <w:ind w:right="126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Accounts and notes receivable, less allowance for credit losses of $2 and $2, respectively</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4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tcPr>
          <w:p>
            <w:pPr>
              <w:jc w:val="right"/>
              <w:ind w:right="126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19,712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48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40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4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member’s equity</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4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00" w:type="dxa"/>
            <w:vAlign w:val="bottom"/>
          </w:tcPr>
          <w:p>
            <w:pPr>
              <w:jc w:val="right"/>
              <w:ind w:right="1281"/>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3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4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1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(increase) in notes receivable–affiliated companies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 to parent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 from parent</w:t>
            </w:r>
          </w:p>
        </w:tc>
        <w:tc>
          <w:tcPr>
            <w:tcW w:w="1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8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2"/>
        </w:trPr>
        <w:tc>
          <w:tcPr>
            <w:tcW w:w="7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7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 from parent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7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r>
      <w:tr>
        <w:trPr>
          <w:trHeight w:val="149"/>
        </w:trPr>
        <w:tc>
          <w:tcPr>
            <w:tcW w:w="75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7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left="740" w:right="2440"/>
        <w:spacing w:after="0" w:line="268"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CONDENSED STATEMENTS OF CONSOLIDATED INCOME (Unaudited)</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1"/>
        </w:trPr>
        <w:tc>
          <w:tcPr>
            <w:tcW w:w="6580" w:type="dxa"/>
            <w:vAlign w:val="bottom"/>
          </w:tcPr>
          <w:p>
            <w:pPr>
              <w:spacing w:after="0"/>
              <w:rPr>
                <w:sz w:val="14"/>
                <w:szCs w:val="14"/>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59"/>
        </w:trPr>
        <w:tc>
          <w:tcPr>
            <w:tcW w:w="6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gridSpan w:val="3"/>
          </w:tcPr>
          <w:p>
            <w:pPr>
              <w:jc w:val="right"/>
              <w:ind w:right="96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Pr>
          <w:p>
            <w:pPr>
              <w:spacing w:after="0"/>
              <w:rPr>
                <w:sz w:val="13"/>
                <w:szCs w:val="13"/>
                <w:color w:val="auto"/>
              </w:rPr>
            </w:pPr>
          </w:p>
        </w:tc>
      </w:tr>
      <w:tr>
        <w:trPr>
          <w:trHeight w:val="170"/>
        </w:trPr>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revenues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68"/>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Non-utility revenues</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6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r>
        <w:trPr>
          <w:trHeight w:val="158"/>
        </w:trPr>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natural gas</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w:t>
            </w:r>
          </w:p>
        </w:tc>
      </w:tr>
      <w:tr>
        <w:trPr>
          <w:trHeight w:val="168"/>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r>
      <w:tr>
        <w:trPr>
          <w:trHeight w:val="168"/>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8"/>
        </w:trPr>
        <w:tc>
          <w:tcPr>
            <w:tcW w:w="6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1,142</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r>
      <w:tr>
        <w:trPr>
          <w:trHeight w:val="158"/>
        </w:trPr>
        <w:tc>
          <w:tcPr>
            <w:tcW w:w="6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2"/>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6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68"/>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88"/>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123" w:right="7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left="740" w:right="2440"/>
        <w:spacing w:after="0" w:line="268"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CONDENSED STATEMENTS OF CONSOLIDATED COMPREHENSIVE INCOME (Unaudited)</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6560" w:type="dxa"/>
            <w:vAlign w:val="bottom"/>
          </w:tcPr>
          <w:p>
            <w:pPr>
              <w:spacing w:after="0"/>
              <w:rPr>
                <w:sz w:val="14"/>
                <w:szCs w:val="14"/>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0"/>
        </w:trPr>
        <w:tc>
          <w:tcPr>
            <w:tcW w:w="6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8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5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and $-0-)</w:t>
            </w:r>
          </w:p>
        </w:tc>
        <w:tc>
          <w:tcPr>
            <w:tcW w:w="1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6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3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123" w:right="7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$25 and $24,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unbilled revenues, less allowance for credit losses of $1and $2,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Natural gas inventory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receivable</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15,552</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4,146</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11,406</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2,482</w:t>
            </w:r>
          </w:p>
        </w:tc>
      </w:tr>
      <w:tr>
        <w:trPr>
          <w:trHeight w:val="188"/>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0" w:type="dxa"/>
            <w:vAlign w:val="bottom"/>
            <w:shd w:val="clear" w:color="auto" w:fill="CCEEFF"/>
          </w:tcPr>
          <w:p>
            <w:pPr>
              <w:jc w:val="right"/>
              <w:ind w:right="12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payable–affiliated companies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Customer deposits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r>
      <w:tr>
        <w:trPr>
          <w:trHeight w:val="15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r>
      <w:tr>
        <w:trPr>
          <w:trHeight w:val="168"/>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w:t>
            </w:r>
          </w:p>
        </w:tc>
      </w:tr>
      <w:tr>
        <w:trPr>
          <w:trHeight w:val="158"/>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5,174</w:t>
            </w:r>
          </w:p>
        </w:tc>
      </w:tr>
      <w:tr>
        <w:trPr>
          <w:trHeight w:val="15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1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r>
      <w:tr>
        <w:trPr>
          <w:trHeight w:val="168"/>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6,476</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w:t>
            </w:r>
          </w:p>
        </w:tc>
      </w:tr>
      <w:tr>
        <w:trPr>
          <w:trHeight w:val="163"/>
        </w:trPr>
        <w:tc>
          <w:tcPr>
            <w:tcW w:w="740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40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16,244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8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74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(increase) in notes receivable–affiliated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(payments of) commercial paper,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to parent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7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7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w:t>
            </w:r>
          </w:p>
        </w:tc>
      </w:tr>
      <w:tr>
        <w:trPr>
          <w:trHeight w:val="168"/>
        </w:trPr>
        <w:tc>
          <w:tcPr>
            <w:tcW w:w="7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1,783</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6,476</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COMBINED NOTES TO INTERIM CONDENSED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10-Q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Each registrant makes no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Basis of Presentation. </w:t>
      </w:r>
      <w:r>
        <w:rPr>
          <w:rFonts w:ascii="Times New Roman" w:cs="Times New Roman" w:eastAsia="Times New Roman" w:hAnsi="Times New Roman"/>
          <w:sz w:val="14"/>
          <w:szCs w:val="14"/>
          <w:color w:val="auto"/>
        </w:rPr>
        <w:t>Included in this combined Form 10-Q are the Interim Condensed Financial Statements of the Registrants. The Interim Condensed Financial Statements, which omit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 disclosures, are unaudited and should be read with the Registrants’ financial statements included in the Registrants’ combined 2024 Form 10-K.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spacing w:after="0" w:line="16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Background</w:t>
      </w:r>
      <w:r>
        <w:rPr>
          <w:rFonts w:ascii="Times New Roman" w:cs="Times New Roman" w:eastAsia="Times New Roman" w:hAnsi="Times New Roman"/>
          <w:sz w:val="14"/>
          <w:szCs w:val="14"/>
          <w:color w:val="auto"/>
        </w:rPr>
        <w:t>. 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2025, CenterPoint Energy’s operating subsidiaries were as follows:</w:t>
      </w:r>
    </w:p>
    <w:p>
      <w:pPr>
        <w:spacing w:after="0" w:line="20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owns and operates electric transmission and distribution facilities in the Texas Gulf Coast area that includes the city of Houston;</w:t>
      </w:r>
    </w:p>
    <w:p>
      <w:pPr>
        <w:spacing w:after="0" w:line="19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2025, CenterPoint Energy’s reportable segments were Electric, Natural Gas, and Corporate and Other. Houston Electric and CERC each consist of a single reportable segment.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description of CenterPoint Energy’s reportable segments, see Note 13.</w:t>
      </w:r>
    </w:p>
    <w:p>
      <w:pPr>
        <w:spacing w:after="0" w:line="18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 approximately $357 million. On March 31, 2025, CenterPoint Energy, through its subsidiary CERC Corp., completed the sale of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For additional information related to both transactions, see Note 3.</w:t>
      </w:r>
    </w:p>
    <w:p>
      <w:pPr>
        <w:spacing w:after="0" w:line="15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Interim Condensed Financial Statements have been prepared in conformity with GAAP. The accounts of the Registrants and their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majority-owned and controlled subsidiaries are included in the Interim Condensed Financial Statements. All intercompany transactions and balances are eliminated in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consolidation; however, intercompany profits have not been eliminated when such amounts are probable of recovery under the affiliates’ rate regulation process.</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of March 31, 2025, CenterPoint Energy, Houston Electric and SIGECO had VIEs including Bond Company IV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CenterPoint Energy, through SIGECO, has a controlling financial interest in the SIGECO Securitization Subsidiary and is the VIE’s primary beneficiary. For further information, see Note 6. Houston Electric has a controlling financial interest in Bond Company IV and is the VIE’s primary beneficiary. Creditors of CenterPoint Energy, Houston Electric and SIGECO have no recourse to any assets or revenues of Bond Company IV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 and Recent Accounting Pronouncements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have been no material changes in our significant accounting policies from those described in our combined 2024 Form 10-K, except discussed below.</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180" w:type="dxa"/>
            <w:vAlign w:val="bottom"/>
          </w:tcPr>
          <w:p>
            <w:pPr>
              <w:spacing w:after="0"/>
              <w:rPr>
                <w:sz w:val="8"/>
                <w:szCs w:val="8"/>
                <w:color w:val="auto"/>
              </w:rPr>
            </w:pPr>
          </w:p>
        </w:tc>
        <w:tc>
          <w:tcPr>
            <w:tcW w:w="1200" w:type="dxa"/>
            <w:vAlign w:val="bottom"/>
            <w:gridSpan w:val="3"/>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CenterPoint Energy</w:t>
            </w:r>
          </w:p>
        </w:tc>
        <w:tc>
          <w:tcPr>
            <w:tcW w:w="10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40" w:type="dxa"/>
            <w:vAlign w:val="bottom"/>
          </w:tcPr>
          <w:p>
            <w:pPr>
              <w:spacing w:after="0"/>
              <w:rPr>
                <w:sz w:val="8"/>
                <w:szCs w:val="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40" w:type="dxa"/>
            <w:vAlign w:val="bottom"/>
          </w:tcPr>
          <w:p>
            <w:pPr>
              <w:spacing w:after="0"/>
              <w:rPr>
                <w:sz w:val="8"/>
                <w:szCs w:val="8"/>
                <w:color w:val="auto"/>
              </w:rPr>
            </w:pPr>
          </w:p>
        </w:tc>
        <w:tc>
          <w:tcPr>
            <w:tcW w:w="86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(1)</w:t>
            </w:r>
          </w:p>
        </w:tc>
        <w:tc>
          <w:tcPr>
            <w:tcW w:w="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current assets (2)</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9"/>
        </w:trPr>
        <w:tc>
          <w:tcPr>
            <w:tcW w:w="4180" w:type="dxa"/>
            <w:vAlign w:val="bottom"/>
            <w:tcBorders>
              <w:top w:val="single" w:sz="8" w:color="CCEEFF"/>
            </w:tcBorders>
            <w:shd w:val="clear" w:color="auto" w:fill="CCEEFF"/>
          </w:tcPr>
          <w:p>
            <w:pPr>
              <w:ind w:left="280"/>
              <w:spacing w:after="0" w:line="110" w:lineRule="exact"/>
              <w:rPr>
                <w:sz w:val="20"/>
                <w:szCs w:val="20"/>
                <w:color w:val="auto"/>
              </w:rPr>
            </w:pPr>
            <w:r>
              <w:rPr>
                <w:rFonts w:ascii="Times New Roman" w:cs="Times New Roman" w:eastAsia="Times New Roman" w:hAnsi="Times New Roman"/>
                <w:sz w:val="12"/>
                <w:szCs w:val="12"/>
                <w:color w:val="auto"/>
              </w:rPr>
              <w:t>Total cash, cash equivalents and restricted cash shown in Condensed</w:t>
            </w:r>
          </w:p>
        </w:tc>
        <w:tc>
          <w:tcPr>
            <w:tcW w:w="280" w:type="dxa"/>
            <w:vAlign w:val="bottom"/>
            <w:tcBorders>
              <w:top w:val="single" w:sz="8" w:color="auto"/>
            </w:tcBorders>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9"/>
        </w:trPr>
        <w:tc>
          <w:tcPr>
            <w:tcW w:w="4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Statements of Consolidated Cash Flows</w:t>
            </w: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6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March 31, 2025 and December 31, 2024 included $29 million and $21 million, respectively, at CenterPoint Energy and $14 million and $14 million, respectively, at Houston Electric.</w:t>
      </w:r>
    </w:p>
    <w:p>
      <w:pPr>
        <w:ind w:left="520" w:hanging="260"/>
        <w:spacing w:after="0" w:line="25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ind w:left="520" w:hanging="260"/>
        <w:spacing w:after="0" w:line="266"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at CenterPoint Energy as of March 31, 2025 primarily related to proceeds from the sale of CERC Corp.’s Louisiana and Mississippi natural gas LDC businesses, which proceeds were invested in the CenterPoint Energy money pool. See Note 3 and Note 14 for additional detail.</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 and Divestiture (CenterPoint Energy and CERC)</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Divestiture of Louisiana and Mississippi Natural Gas Businesses. </w:t>
      </w:r>
      <w:r>
        <w:rPr>
          <w:rFonts w:ascii="Times New Roman" w:cs="Times New Roman" w:eastAsia="Times New Roman" w:hAnsi="Times New Roman"/>
          <w:sz w:val="14"/>
          <w:szCs w:val="14"/>
          <w:color w:val="auto"/>
        </w:rPr>
        <w:t>On February 19, 2024, CERC Corp. entered into the LAMS Asset Purchase Agreement, pursuant to which CERC Corp. agreed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sell its Louisiana and Mississippi natural gas LDC businesses. The purchase price for the Louisiana and Mississippi natural gas LDC businesses was $1.2 billion, subject to adjustment as set forth in the LAMS Asset Purchase Agreement, including adjustments based on net working capital, regulatory assets and liabilities and capital expenditures at closing. The transaction closed on March 31, 2025. As of the closing date, the businesses included approximately 12,000 miles of main pipeline in Louisiana and Mississippi serving approximately 380,000 customers. The Louisiana and Mississippi natural gas LDC businesses are reflected in CenterPoint Energy’s Natural Gas reportable segment and CERC’s single reportable segment, as applicable.</w:t>
      </w:r>
    </w:p>
    <w:p>
      <w:pPr>
        <w:spacing w:after="0" w:line="16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2025.</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Although the Louisiana and Mississippi natural gas LDC businesses met the held for sale criteria as of December 31, 2024, their disposals did not represent a strategic shift for CenterPoint Energy or CERC, as both retain significant operations in, and continue to invest in, their natural gas businesses. Therefore, the assets and liabilities, as well as the related income and expenses, associated with these transactions were not reflected as discontinued operations on CenterPoint Energy’s or CERC’s Condensed Consolidated Balance Sheets and Condensed Statements of Consolidated Income, as applicable. Since the depreciation on the Louisiana and Mississippi natural gas LDC businesses’ assets continued to be reflected in revenues through customer rates until the closing of the transaction and has since been reflected in the carryover basis of the rate-regulated assets after the sale, CenterPoint Energy and CERC continued to record depreciation on those assets through the closing of the transaction. The Registrants record assets and liabilities held for sale at the lower of their carrying value or their estimated fair value less cost to sell.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and CERC recognized a loss of $43 million and a gain of $52 million, respectively, net of transaction costs of $21 million, in connection with the closing of the disposition of the Louisiana and Mississippi natural gas LDC businesses during the three months ended March 31, 2025. Goodwill of $217 million and $122 million was allocated to the Louisiana and Mississippi natural gas LDC businesses by CenterPoint Energy and CERC, respectively, at the time the held for sale criteria was met and such amount was subsequently derecognized following the completion of the sale on March 31, 2025. As of March 31, 2025, CenterPoint Energy and CERC had a receivable of $12 million for working capital and other customary adjustments set forth in the LAMS Asset Purchase Agreement, and a gain or loss on sale in future periods may be incurred by CenterPoint Energy and CERC for differences between the estimated receivable as of March 31, 2025 and the actual amount of the payment.</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a result of the sale of the Louisiana and Mississippi natural gas LDC businesses, there were no assets or liabilities classified as held for sale as of March 31, 2025. The assets and liabilities of the Louisiana and Mississippi natural gas LDC businesses classified as held for sale in CenterPoint Energy’s and CERC’s Condensed Consolidated Balance Sheets, as applicable, as of December 31, 2024 included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 net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inventory</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20"/>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Condensed Statements of Consolidated Income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3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8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0" w:type="dxa"/>
            <w:vAlign w:val="bottom"/>
            <w:gridSpan w:val="2"/>
          </w:tcPr>
          <w:p>
            <w:pPr>
              <w:jc w:val="center"/>
              <w:ind w:right="77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8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14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bl>
    <w:p>
      <w:pPr>
        <w:spacing w:after="0" w:line="2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written notice.</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and CERC’s Condensed Consolidated Balance Sheets included a receivable due from the LAMS Buyers for reimbursement of one-time setup costs in the amount of $7.5 million as of March 31, 2025.</w:t>
      </w:r>
    </w:p>
    <w:p>
      <w:pPr>
        <w:spacing w:after="0" w:line="1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 Recognition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2025</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ind w:left="9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3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3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8"/>
        </w:trPr>
        <w:tc>
          <w:tcPr>
            <w:tcW w:w="39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440" w:type="dxa"/>
            <w:vAlign w:val="bottom"/>
          </w:tcPr>
          <w:p>
            <w:pPr>
              <w:spacing w:after="0"/>
              <w:rPr>
                <w:sz w:val="13"/>
                <w:szCs w:val="13"/>
                <w:color w:val="auto"/>
              </w:rPr>
            </w:pPr>
          </w:p>
        </w:tc>
        <w:tc>
          <w:tcPr>
            <w:tcW w:w="204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3"/>
                <w:szCs w:val="13"/>
                <w:color w:val="auto"/>
              </w:rPr>
            </w:pPr>
          </w:p>
        </w:tc>
      </w:tr>
      <w:tr>
        <w:trPr>
          <w:trHeight w:val="168"/>
        </w:trPr>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r>
      <w:tr>
        <w:trPr>
          <w:trHeight w:val="172"/>
        </w:trPr>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-356235</wp:posOffset>
            </wp:positionV>
            <wp:extent cx="7161530" cy="107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-140970</wp:posOffset>
            </wp:positionV>
            <wp:extent cx="7161530"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440" w:type="dxa"/>
            <w:vAlign w:val="bottom"/>
          </w:tcPr>
          <w:p>
            <w:pPr>
              <w:spacing w:after="0"/>
              <w:rPr>
                <w:sz w:val="13"/>
                <w:szCs w:val="13"/>
                <w:color w:val="auto"/>
              </w:rPr>
            </w:pPr>
          </w:p>
        </w:tc>
        <w:tc>
          <w:tcPr>
            <w:tcW w:w="20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3"/>
                <w:szCs w:val="13"/>
                <w:color w:val="auto"/>
              </w:rPr>
            </w:pPr>
          </w:p>
        </w:tc>
      </w:tr>
      <w:tr>
        <w:trPr>
          <w:trHeight w:val="168"/>
        </w:trPr>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172"/>
        </w:trPr>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0"/>
        </w:trPr>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-356235</wp:posOffset>
            </wp:positionV>
            <wp:extent cx="7161530" cy="107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-140970</wp:posOffset>
            </wp:positionV>
            <wp:extent cx="7161530"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800"/>
          </w:cols>
          <w:pgMar w:left="300" w:top="123" w:right="319" w:bottom="1440" w:gutter="0" w:footer="0" w:header="0"/>
          <w:type w:val="continuous"/>
        </w:sectPr>
      </w:pP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21F1F"/>
        </w:rPr>
        <w:t>The opening and closing balances of accounts receivable and accrued unbilled revenues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6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4"/>
          </w:tcPr>
          <w:p>
            <w:pPr>
              <w:ind w:left="13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521</w:t>
            </w:r>
          </w:p>
        </w:tc>
      </w:tr>
      <w:tr>
        <w:trPr>
          <w:trHeight w:val="16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March 31, 2025</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rPr>
              <w:t>403</w:t>
            </w:r>
          </w:p>
        </w:tc>
      </w:tr>
      <w:tr>
        <w:trPr>
          <w:trHeight w:val="188"/>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center"/>
              <w:ind w:left="1276"/>
              <w:spacing w:after="0"/>
              <w:rPr>
                <w:sz w:val="20"/>
                <w:szCs w:val="20"/>
                <w:color w:val="auto"/>
              </w:rPr>
            </w:pPr>
            <w:r>
              <w:rPr>
                <w:rFonts w:ascii="Times New Roman" w:cs="Times New Roman" w:eastAsia="Times New Roman" w:hAnsi="Times New Roman"/>
                <w:sz w:val="13"/>
                <w:szCs w:val="13"/>
                <w:color w:val="auto"/>
                <w:w w:val="92"/>
              </w:rPr>
              <w:t>(118)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hanging="260"/>
        <w:spacing w:after="0" w:line="287"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 as well as receivables associated with the sale of CERC Corp.’s Louisiana and Mississippi natural gas LDC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4"/>
          </w:tcPr>
          <w:p>
            <w:pPr>
              <w:ind w:left="13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137</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March 31, 2025</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rPr>
              <w:t>126</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w w:val="92"/>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3"/>
                <w:szCs w:val="13"/>
                <w:color w:val="auto"/>
              </w:rPr>
              <w:t>(11)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balances related to customer or vendor cost reimbursements and insurance that are not attributable to revenues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47"/>
        </w:trPr>
        <w:tc>
          <w:tcPr>
            <w:tcW w:w="7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60" w:type="dxa"/>
            <w:vAlign w:val="bottom"/>
            <w:gridSpan w:val="4"/>
          </w:tcPr>
          <w:p>
            <w:pPr>
              <w:ind w:left="136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w w:val="92"/>
              </w:rPr>
              <w:t>338</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March 31, 2025</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w w:val="92"/>
              </w:rPr>
              <w:t>230</w:t>
            </w:r>
          </w:p>
        </w:tc>
      </w:tr>
      <w:tr>
        <w:trPr>
          <w:trHeight w:val="188"/>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center"/>
              <w:ind w:left="1276"/>
              <w:spacing w:after="0"/>
              <w:rPr>
                <w:sz w:val="20"/>
                <w:szCs w:val="20"/>
                <w:color w:val="auto"/>
              </w:rPr>
            </w:pPr>
            <w:r>
              <w:rPr>
                <w:rFonts w:ascii="Times New Roman" w:cs="Times New Roman" w:eastAsia="Times New Roman" w:hAnsi="Times New Roman"/>
                <w:sz w:val="13"/>
                <w:szCs w:val="13"/>
                <w:color w:val="auto"/>
                <w:w w:val="99"/>
              </w:rPr>
              <w:t>(108)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87" w:lineRule="auto"/>
        <w:tabs>
          <w:tab w:leader="none" w:pos="515"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 as well as receivables associated with the sale of CERC Corp.’s Louisiana and Mississippi natural gas LDC businesses.</w:t>
      </w:r>
    </w:p>
    <w:p>
      <w:pPr>
        <w:spacing w:after="0" w:line="14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Benefits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6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Condensed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net in CenterPoint Energy’s Condensed Statements of Consolidated Income, net of regulatory deferrals.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 (1)</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1"/>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(1)</w:t>
            </w:r>
          </w:p>
        </w:tc>
        <w:tc>
          <w:tcPr>
            <w:tcW w:w="540" w:type="dxa"/>
            <w:vAlign w:val="bottom"/>
          </w:tcPr>
          <w:p>
            <w:pPr>
              <w:spacing w:after="0"/>
              <w:rPr>
                <w:sz w:val="14"/>
                <w:szCs w:val="14"/>
                <w:color w:val="auto"/>
              </w:rPr>
            </w:pPr>
          </w:p>
        </w:tc>
        <w:tc>
          <w:tcPr>
            <w:tcW w:w="64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 (credit) (1)</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net loss (1)</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Included in Other income, net in each of the Registrants’ respective Condensed Statements of Consolidated Income, net of regulatory deferrals.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expected contributions to be made to the pension and postretirement benefit plans during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513"/>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120" w:type="dxa"/>
            <w:vAlign w:val="bottom"/>
          </w:tcPr>
          <w:p>
            <w:pPr>
              <w:spacing w:after="0"/>
              <w:rPr>
                <w:sz w:val="14"/>
                <w:szCs w:val="14"/>
                <w:color w:val="auto"/>
              </w:rPr>
            </w:pPr>
          </w:p>
        </w:tc>
      </w:tr>
      <w:tr>
        <w:trPr>
          <w:trHeight w:val="18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contributions to pension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contributions to postretirement benefit plans</w:t>
            </w:r>
          </w:p>
        </w:tc>
        <w:tc>
          <w:tcPr>
            <w:tcW w:w="120" w:type="dxa"/>
            <w:vAlign w:val="bottom"/>
          </w:tcPr>
          <w:p>
            <w:pPr>
              <w:spacing w:after="0"/>
              <w:rPr>
                <w:sz w:val="16"/>
                <w:szCs w:val="16"/>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16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contributions made to the pension and postretirement benefit plans during the periods presented:</w:t>
      </w:r>
    </w:p>
    <w:p>
      <w:pPr>
        <w:spacing w:after="0" w:line="10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28498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1" w:lineRule="exact"/>
        <w:rPr>
          <w:sz w:val="20"/>
          <w:szCs w:val="20"/>
          <w:color w:val="auto"/>
        </w:rPr>
      </w:pPr>
    </w:p>
    <w:p>
      <w:pPr>
        <w:ind w:left="6960"/>
        <w:spacing w:after="0"/>
        <w:tabs>
          <w:tab w:leader="none" w:pos="8560" w:val="left"/>
          <w:tab w:leader="none" w:pos="10360" w:val="left"/>
        </w:tabs>
        <w:rPr>
          <w:sz w:val="20"/>
          <w:szCs w:val="20"/>
          <w:color w:val="auto"/>
        </w:rPr>
      </w:pPr>
      <w:r>
        <w:rPr>
          <w:rFonts w:ascii="Times New Roman" w:cs="Times New Roman" w:eastAsia="Times New Roman" w:hAnsi="Times New Roman"/>
          <w:sz w:val="13"/>
          <w:szCs w:val="13"/>
          <w:b w:val="1"/>
          <w:bCs w:val="1"/>
          <w:color w:val="auto"/>
        </w:rPr>
        <w:t>CenterPoint Energy</w:t>
      </w:r>
      <w:r>
        <w:rPr>
          <w:sz w:val="20"/>
          <w:szCs w:val="20"/>
          <w:color w:val="auto"/>
        </w:rPr>
        <w:tab/>
      </w:r>
      <w:r>
        <w:rPr>
          <w:rFonts w:ascii="Times New Roman" w:cs="Times New Roman" w:eastAsia="Times New Roman" w:hAnsi="Times New Roman"/>
          <w:sz w:val="13"/>
          <w:szCs w:val="13"/>
          <w:b w:val="1"/>
          <w:bCs w:val="1"/>
          <w:color w:val="auto"/>
        </w:rPr>
        <w:t>Houston Electric</w:t>
      </w:r>
      <w:r>
        <w:rPr>
          <w:sz w:val="20"/>
          <w:szCs w:val="20"/>
          <w:color w:val="auto"/>
        </w:rPr>
        <w:tab/>
      </w:r>
      <w:r>
        <w:rPr>
          <w:rFonts w:ascii="Times New Roman" w:cs="Times New Roman" w:eastAsia="Times New Roman" w:hAnsi="Times New Roman"/>
          <w:sz w:val="12"/>
          <w:szCs w:val="12"/>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28498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plans</w:t>
            </w:r>
          </w:p>
        </w:tc>
        <w:tc>
          <w:tcPr>
            <w:tcW w:w="32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7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benefit plans</w:t>
            </w:r>
          </w:p>
        </w:tc>
        <w:tc>
          <w:tcPr>
            <w:tcW w:w="32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Return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260" w:type="dxa"/>
            <w:vAlign w:val="bottom"/>
          </w:tcPr>
          <w:p>
            <w:pPr>
              <w:spacing w:after="0"/>
              <w:rPr>
                <w:sz w:val="10"/>
                <w:szCs w:val="10"/>
                <w:color w:val="auto"/>
              </w:rPr>
            </w:pPr>
          </w:p>
        </w:tc>
        <w:tc>
          <w:tcPr>
            <w:tcW w:w="9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equity return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114</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251</w:t>
            </w:r>
          </w:p>
        </w:tc>
        <w:tc>
          <w:tcPr>
            <w:tcW w:w="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94</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amounts described in (2) and (3) below, represents CenterPoint Energy’s allowed equity return on post in-service carrying cost generally associated with investments at</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Houston Electric’s allowed equity return on certain storm restoration balances.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right="1080"/>
        <w:spacing w:after="0" w:line="562" w:lineRule="auto"/>
        <w:tabs>
          <w:tab w:leader="none" w:pos="51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CERC’s allowed equity return on post in-service carrying cost associated with certain distribution facilities replacement expenditures in Texas and Indiana Gas. The table below reflects the amount of allowed equity return recognized by each Registrant in its Condensed Statements of Consolidated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46"/>
        </w:trPr>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March 31, 2025, CenterPoint Energy and CERC had each recorded current regulatory assets of $67 million and non-current regulatory assets of $44 million associated with the February 2021 Winter Storm Event. As of December 31, 2024, CenterPoint Energy and CERC had each recorded current regulatory assets of $67 million and non-current regulatory assets of $67 million associated with the February 2021 Winter Storm Event.</w:t>
      </w:r>
    </w:p>
    <w:p>
      <w:pPr>
        <w:spacing w:after="0" w:line="16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March 31, 2025 and December 31, 2024, as authorized by the PUCT, both CenterPoint Energy and Houston Electric had each recorded a regulatory asset of $8 million for bad debt expenses resulting from REPs’ default on their obligation to pay delivery charges to Houston Electric net of collateral. Additionally, both CenterPoint Energy and Houston Electric had each recorded a regulatory asset of $19 million and $19 million as of March 31, 2025 and December 31, 2024, respectively, and requested reimbursement of costs associated with the February 2021 Winter Storm Event in Houston Electric’s rate case, which was filed on March 6, 2024. A final order approving a settlement agreement related to the Houston Electric rate case was issued by the PUCT on March 13, 2025. All regulatory assets and liabilities at issue in this proceeding will be amortized over five years beginning on the date rates take effect, April 28, 2025.</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11(d) for further information regarding litigation related to the February 2021 Winter Storm Event.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of customer rate relief charges have no impact on the respective Condensed Statements of Consolidated Income of CenterPoint Energy or CERC.</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4, 2023, the IURC issued an order in accordance with Indiana Senate Enrolled Act 386 authorizing the issuance of up to $350 million in securitization bonds to securitize qualified</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associated with the retirements of Indiana Electric’s A.B. Brown coal-fired generation facilities. The SIGECO Securitization Subsidiary issued $341 million aggregate principal amount of the SIGECO Securitization Bonds on June 29, 2023 and used a portion of the net proceeds from the issuance of the SIGECO Securitization Bonds to purchase the securitization property from SIGECO. No gain or loss was recognized.</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Pursuant to legislation passed in 2021, Houston Electric entered into two leases for TEEEF (temporary generation). 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March 31, 2025. Expenses associated with the short-term lease, including carrying costs, totaled $87 million and $89 million as of March 31, 2025 and December 31, 2024, respectively. Expenses associated with the long-term lease, including variable costs associated with the operation and maintenance of the TEEEF, depreciation expense on the right of use asset and carrying costs, are deferred to a regulatory asset as a recoverable cost under the 2021 Texas legislation and totaled $165 million and $158 million as of March 31, 2025 and December 31, 2024, respectively.</w:t>
      </w:r>
    </w:p>
    <w:p>
      <w:pPr>
        <w:spacing w:after="0" w:line="3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or disallowances on its right of use assets or TEEEF regulatory assets in the three months ended March 31, 2025 or March 31, 2024.</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Effective January 1, 2023, all temporary generation assets were leased under the long-term lease agreement. The long-term lease agreement includes up to 505 MW of TEEEF, all of which was delivered as of December 31, 2022, triggering lease commencement at delivery, with an initial term ending in 2029 for all TEEEF leases. The remaining finance lease liability associated with the commenced long-term TEEEF agreement was not significant as of March 31, 2025 and December 31, 2024 and relates to removal costs that will be incurred at the end of the lease term. As of March 31, 2025, Houston Electric had secured a first lien on the assets leased under the prepayment agreement, except for assets with lease payments totaling $75 million, which is being held in an escrow account, not controlled by Houston Electric, and the funds will be released either pro rata each month or when a first lien can be secured by Houston Electric on such assets.</w:t>
      </w:r>
    </w:p>
    <w:p>
      <w:pPr>
        <w:spacing w:after="0" w:line="1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On September 11, 2024, the TCA filed a complaint with the PUCT requesting that the PUCT modify its rulings with respect to its prior decisions related to the TEEEF filings made in 2022 and 2023. Specifically, the TCA requested that the PUCT end cost recovery and return on investment on all the large up to 32 MW and 5 MW TEEEF units approved in docket 53442. On October 2, 2024, Houston Electric filed a response to the TCA complaint and requested that the complaint be dismissed due to the principles of </w:t>
      </w:r>
      <w:r>
        <w:rPr>
          <w:rFonts w:ascii="Times New Roman" w:cs="Times New Roman" w:eastAsia="Times New Roman" w:hAnsi="Times New Roman"/>
          <w:sz w:val="14"/>
          <w:szCs w:val="14"/>
          <w:i w:val="1"/>
          <w:iCs w:val="1"/>
          <w:color w:val="auto"/>
        </w:rPr>
        <w:t>res judicata</w:t>
      </w:r>
      <w:r>
        <w:rPr>
          <w:rFonts w:ascii="Times New Roman" w:cs="Times New Roman" w:eastAsia="Times New Roman" w:hAnsi="Times New Roman"/>
          <w:sz w:val="14"/>
          <w:szCs w:val="14"/>
          <w:color w:val="auto"/>
        </w:rPr>
        <w:t xml:space="preserve"> and collateral estoppel. On October 8, 2024, the TCA supplemented its complaint and on October 9, 2024, PUCT staff filed a statement of position stating that Houston Electric’s response provided a strong argument for dismissal of the complaint, but also stating that it would be prudent to have a thorough legal argument from the TCA. On October 10, 2024, the PUCT issued Order No. 2 finding the TCA complaint insufficient and requiring supplemental information or amendment from the TCA by October 24, 2024; the TCA filed supplemental information on October 24, 2024. On November 14, 2024, the PUCT issued Order No. 4 denying the motion to reconsider and extending a deadline. On December 16, 2024, the PUCT issued Order No. 5 granting waiver of the requirement for informal disposition and soliciting PUCT staff recommendation by January 16, 2025. On January 16, 2025, the PUCT staff filed a supplemental recommendation recommending that the TCA had not met its requirement to first present its complaint to the City of Houston prior to presenting it to the PUCT. On February 26, 2025, the TCA filed its complaint with the City of Houston. On April 1, 2025, the TCA filed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response from the City of Houston dated March 12, 2025, which stated the matter is closed and the City of Houston does not have the authority to re-visit these dockets. The City of Houston also stated that the TCA may appeal to the PUCT and then district court.</w:t>
      </w:r>
    </w:p>
    <w:p>
      <w:pPr>
        <w:spacing w:after="0" w:line="14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its 15 large 27 MW to 32 MW TEEEF units to the San Antonio area prior to the summer of 2025. The proposal is intended to help ERCOT address a potential energy shortfall and Load Shed risk and to provide additional electric generation capacity to support growing energy demand in the greater San Antonio region. Under the proposal, Houston Electric would not receive revenue or profit from ERCOT and would also not charge Houston-area customers for these TEEEF units for the period when they are in San Antonio serving ERCOT, which is currently expected to be for a period of up to two years. Houston Electric would anticipate receiving revenues from one or more future transactions after the period the units are utilized to temporarily serve an energy need in the San Antonio area, and would therefore plan to continue to not charge customers for these units for any future periods. On April 18, 2025, a proposal was filed with the PUCT, seeking approval of the aforementioned release to ERCOT, a corresponding reduction to TEEEF fleet capacity and a rate reduction to reflect the removal of the 15 large TEEEF units from Houston Electric’s TEEEF fleet. The proposal is subject to the negotiation and execution of definitive documentation among the relevant parties, as well as being subject to the approval of ERCOT and other stakeholders. It is not certain that mutually agreeable definitive documentation will be entered into at all or that all approvals will be obtained.</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 Houston Electric is deferring the related system restoration costs as management believes it is probable that such costs will be recovered through the regulatory process. The ultimate recovery of the costs (or a portion thereof) is expected to be sought through the issuance and sale of non-recourse securitization bonds for distribution-related costs and the TCOS capital mechanism for transmission-related costs. However, neither the amount nor timing of the recovery is certain.</w:t>
      </w:r>
    </w:p>
    <w:p>
      <w:pPr>
        <w:spacing w:after="0" w:line="16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November 8, 2024, Houston Electric filed an Application for Determination of System Restoration Costs with the PUCT to determine the reasonableness and necessity of approximately $502 million of costs (including estimated case processing expenses and carrying costs) incurred or expected to be incurred to restore service following the May 2024 Storm Events. On March 19, 2025, Houston Electric filed a settlement agreement with the PUCT, under which Houston Electric would be entitled to recover a total of $396 million in distribution-related costs relating to the May 2024 Storm Events, along with carrying costs from the date those costs were incurred until system restoration bonds are issued. The settlement agreement also provided for the recovery of $29 million in transmission-related costs related to the May 2024 Storm Events that will be eligible for recovery through existing mechanisms established to recover transmission costs. Houston Electric agreed to defer $17.5 million of its distribution-related costs to the Hurricane Beryl cost determination proceeding and further agreed to an overall $10 million reduction in costs as part of the settlement agreement. The settlement agreement is scheduled to be considered at the PUCT open meeting on April 24, 2025. On January 24, 2025, Houston Electric filed a request for a Financing Order for the distribution costs included in the November 8, 2024 Application for Determination of System Restoration Costs. On April 23, 2025, Houston Electric filed a settlement agreement with the PUCT, under which Houston Electric would be entitled to securitize the approved distribution-related costs. The settlement agreement is expected to be considered at a future PUCT open meeting. Neither the amount nor timing of the recovery of the system restoration costs is certain.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and Subsequent Storm Events</w:t>
      </w:r>
    </w:p>
    <w:p>
      <w:pPr>
        <w:spacing w:after="0" w:line="20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In 2024 and early 2025, Houston Electric’s service territory was damaged as a result of Hurricane Beryl and certain other significant storms. Houston Electric is deferring the related system restoration costs as management believes it is probable that such costs will be recovered through the regulatory process. As of March 31, 2025, Houston Electric had recorded system restoration costs, including carrying costs, related to Hurricane Beryl and certain other significant storms of $1.2 billion. The ultimate recovery of the system restoration costs (or a portion thereof) is expected to be sought through the issuance and sale of non-recourse securitization bonds for distribution-related costs. However, neither the amount nor timing of the recovery of the system restoration costs is certain.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jc w:val="both"/>
        <w:ind w:left="26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45"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64"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March 31, 2025 and December 31, 2024, the Registrants did not have any assets or liabilities classified as Level 3.</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March 31, 2025 and December 31, 2024 and indicate the fair value hierarchy of the valuation techniques utilized by the Registrants to determine such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rate derivatives (1)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derivatives (1)</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derivatives (2)</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285"/>
        </w:trPr>
        <w:tc>
          <w:tcPr>
            <w:tcW w:w="40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4"/>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40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rate derivatives (1)</w:t>
            </w:r>
          </w:p>
        </w:tc>
        <w:tc>
          <w:tcPr>
            <w:tcW w:w="62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16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derivatives (1)</w:t>
            </w:r>
          </w:p>
        </w:tc>
        <w:tc>
          <w:tcPr>
            <w:tcW w:w="62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4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1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Natural gas derivatives (2)</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4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hanging="24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Prepaid expenses and other current assets in the respective Condensed Consolidated Balance Sheets.</w:t>
      </w:r>
    </w:p>
    <w:p>
      <w:pPr>
        <w:spacing w:after="0" w:line="23" w:lineRule="exact"/>
        <w:rPr>
          <w:rFonts w:ascii="Times New Roman" w:cs="Times New Roman" w:eastAsia="Times New Roman" w:hAnsi="Times New Roman"/>
          <w:sz w:val="14"/>
          <w:szCs w:val="14"/>
          <w:color w:val="auto"/>
        </w:rPr>
      </w:pPr>
    </w:p>
    <w:p>
      <w:pPr>
        <w:ind w:left="520" w:hanging="24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liabilities in the respective Condensed Consolidated Balance Sheets.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202" w:lineRule="exact"/>
        <w:rPr>
          <w:sz w:val="20"/>
          <w:szCs w:val="20"/>
          <w:color w:val="auto"/>
        </w:rPr>
      </w:pPr>
    </w:p>
    <w:p>
      <w:pPr>
        <w:jc w:val="both"/>
        <w:ind w:left="20" w:firstLine="255"/>
        <w:spacing w:after="0" w:line="261" w:lineRule="auto"/>
        <w:rPr>
          <w:sz w:val="20"/>
          <w:szCs w:val="20"/>
          <w:color w:val="auto"/>
        </w:rPr>
      </w:pPr>
      <w:r>
        <w:rPr>
          <w:rFonts w:ascii="Times New Roman" w:cs="Times New Roman" w:eastAsia="Times New Roman" w:hAnsi="Times New Roman"/>
          <w:sz w:val="14"/>
          <w:szCs w:val="14"/>
          <w:color w:val="auto"/>
        </w:rPr>
        <w:t>The fair values of cash and cash equivalents, investments in equity securities measured at fair value and short-term borrowings under AMAs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Pr>
          <w:p>
            <w:pPr>
              <w:spacing w:after="0"/>
              <w:rPr>
                <w:sz w:val="10"/>
                <w:szCs w:val="10"/>
                <w:color w:val="auto"/>
              </w:rPr>
            </w:pPr>
          </w:p>
        </w:tc>
        <w:tc>
          <w:tcPr>
            <w:tcW w:w="11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Pr>
          <w:p>
            <w:pPr>
              <w:spacing w:after="0"/>
              <w:rPr>
                <w:sz w:val="10"/>
                <w:szCs w:val="10"/>
                <w:color w:val="auto"/>
              </w:rPr>
            </w:pPr>
          </w:p>
        </w:tc>
        <w:tc>
          <w:tcPr>
            <w:tcW w:w="11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Long-term debt, including current maturities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Carrying amount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9,319</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20,961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8,822</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3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21,085</w:t>
            </w:r>
          </w:p>
        </w:tc>
        <w:tc>
          <w:tcPr>
            <w:tcW w:w="16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8,351</w:t>
            </w: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19,597</w:t>
            </w:r>
          </w:p>
        </w:tc>
        <w:tc>
          <w:tcPr>
            <w:tcW w:w="16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7,746</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240"/>
        <w:spacing w:after="0"/>
        <w:tabs>
          <w:tab w:leader="none" w:pos="5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 as applicable.</w:t>
      </w:r>
    </w:p>
    <w:p>
      <w:pPr>
        <w:spacing w:after="0" w:line="197" w:lineRule="exact"/>
        <w:rPr>
          <w:rFonts w:ascii="Times New Roman" w:cs="Times New Roman" w:eastAsia="Times New Roman" w:hAnsi="Times New Roman"/>
          <w:sz w:val="14"/>
          <w:szCs w:val="14"/>
          <w:color w:val="auto"/>
        </w:rPr>
      </w:pPr>
    </w:p>
    <w:p>
      <w:pPr>
        <w:ind w:left="220" w:hanging="195"/>
        <w:spacing w:after="0"/>
        <w:tabs>
          <w:tab w:leader="none" w:pos="2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2" w:lineRule="exact"/>
        <w:rPr>
          <w:sz w:val="20"/>
          <w:szCs w:val="20"/>
          <w:color w:val="auto"/>
        </w:rPr>
      </w:pPr>
    </w:p>
    <w:p>
      <w:pPr>
        <w:ind w:left="20" w:firstLine="255"/>
        <w:spacing w:after="0" w:line="287" w:lineRule="auto"/>
        <w:rPr>
          <w:sz w:val="20"/>
          <w:szCs w:val="20"/>
          <w:color w:val="auto"/>
        </w:rPr>
      </w:pPr>
      <w:r>
        <w:rPr>
          <w:rFonts w:ascii="Times New Roman" w:cs="Times New Roman" w:eastAsia="Times New Roman" w:hAnsi="Times New Roman"/>
          <w:sz w:val="14"/>
          <w:szCs w:val="14"/>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60" w:type="dxa"/>
            <w:vAlign w:val="bottom"/>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gains (losses) on equity securities, net</w:t>
            </w:r>
          </w:p>
        </w:tc>
        <w:tc>
          <w:tcPr>
            <w:tcW w:w="132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0"/>
        </w:trPr>
        <w:tc>
          <w:tcPr>
            <w:tcW w:w="7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30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3"/>
                <w:szCs w:val="13"/>
                <w:b w:val="1"/>
                <w:bCs w:val="1"/>
                <w:color w:val="auto"/>
              </w:rPr>
              <w:t>Shares Held</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460" w:type="dxa"/>
            <w:vAlign w:val="bottom"/>
            <w:tcBorders>
              <w:bottom w:val="single" w:sz="8" w:color="auto"/>
            </w:tcBorders>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230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5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00" w:type="dxa"/>
            <w:vAlign w:val="bottom"/>
          </w:tcPr>
          <w:p>
            <w:pPr>
              <w:spacing w:after="0"/>
              <w:rPr>
                <w:sz w:val="14"/>
                <w:szCs w:val="14"/>
                <w:color w:val="auto"/>
              </w:rPr>
            </w:pPr>
          </w:p>
        </w:tc>
        <w:tc>
          <w:tcPr>
            <w:tcW w:w="14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r>
      <w:tr>
        <w:trPr>
          <w:trHeight w:val="160"/>
        </w:trPr>
        <w:tc>
          <w:tcPr>
            <w:tcW w:w="356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60" w:type="dxa"/>
            <w:vAlign w:val="bottom"/>
            <w:tcBorders>
              <w:top w:val="single" w:sz="8" w:color="auto"/>
            </w:tcBorders>
          </w:tcPr>
          <w:p>
            <w:pPr>
              <w:spacing w:after="0"/>
              <w:rPr>
                <w:sz w:val="13"/>
                <w:szCs w:val="13"/>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March 31, 2025.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2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2025, the ZENS, having an original principal amount of $828 million and a contingent principal amount of $7 million, were outstanding and were exchangeable, at the option of the holders, for cash equal to 95% of the market value of the reference shares attributable to the ZENS.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Short-term Borrowings and Long-term Debt</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On January 31, 2025, SIGECO issued $165 million aggregate principal amount of 5.69% First Mortgage Bonds, Series 2025A, Tranche A due 2055. Total proceeds, net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expenses and fees, were approximately $164 million, which was used for the acquisition of Posey Solar. See Note 3 for additional detail.</w:t>
      </w:r>
    </w:p>
    <w:p>
      <w:pPr>
        <w:spacing w:after="0" w:line="13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February 2025, Houston Electric issued $500 million aggregate principal amount of 4.80% General Mortgage Bonds, Series AP, due 2030. Total proceeds, net of transaction expenses and fees, were approximately $495 million, which was used for general limited liability company purposes, including capital expenditures and working capital purposes.</w:t>
      </w:r>
    </w:p>
    <w:p>
      <w:pPr>
        <w:spacing w:after="0" w:line="15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Debt Repurchases. </w:t>
      </w:r>
      <w:r>
        <w:rPr>
          <w:rFonts w:ascii="Times New Roman" w:cs="Times New Roman" w:eastAsia="Times New Roman" w:hAnsi="Times New Roman"/>
          <w:sz w:val="14"/>
          <w:szCs w:val="14"/>
          <w:color w:val="auto"/>
        </w:rPr>
        <w:t>In March 2025, CERC, through its wholly-owned subsidiary Indiana Gas, repurchased $10 million aggregate principal amount of 6.36% Medium Term Notes, Series F,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2028 at a redemption price equal to 104.8% of the principal amount of the notes to be redeemed plus accrued and unpaid interest thereon to, but excluding, the redemption date.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3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Credit Facilities</w:t>
      </w:r>
      <w:r>
        <w:rPr>
          <w:rFonts w:ascii="Times New Roman" w:cs="Times New Roman" w:eastAsia="Times New Roman" w:hAnsi="Times New Roman"/>
          <w:sz w:val="14"/>
          <w:szCs w:val="14"/>
          <w:color w:val="auto"/>
        </w:rPr>
        <w:t>. On January 29, 2025, CenterPoint Energy, Houston Electric, CERC and SIGECO each entered into extension agreements to, among other things, extend the maturity date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lenders’ commitments under each of their respective credit agreements by one year, from December 6, 2027 to December 6, 2028. The Registrants had the following revolving credit facilities as of March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Debt for</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Borrowed Money</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Covenant Limit</w:t>
            </w:r>
          </w:p>
        </w:tc>
        <w:tc>
          <w:tcPr>
            <w:tcW w:w="32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to Capital</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on Debt for</w:t>
            </w:r>
          </w:p>
        </w:tc>
        <w:tc>
          <w:tcPr>
            <w:tcW w:w="32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Ratio as of</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Execution</w:t>
            </w:r>
          </w:p>
        </w:tc>
        <w:tc>
          <w:tcPr>
            <w:tcW w:w="180" w:type="dxa"/>
            <w:vAlign w:val="bottom"/>
          </w:tcPr>
          <w:p>
            <w:pPr>
              <w:spacing w:after="0"/>
              <w:rPr>
                <w:sz w:val="11"/>
                <w:szCs w:val="11"/>
                <w:color w:val="auto"/>
              </w:rPr>
            </w:pPr>
          </w:p>
        </w:tc>
        <w:tc>
          <w:tcPr>
            <w:tcW w:w="1020" w:type="dxa"/>
            <w:vAlign w:val="bottom"/>
          </w:tcPr>
          <w:p>
            <w:pPr>
              <w:jc w:val="center"/>
              <w:ind w:right="116"/>
              <w:spacing w:after="0" w:line="138" w:lineRule="exact"/>
              <w:rPr>
                <w:sz w:val="20"/>
                <w:szCs w:val="20"/>
                <w:color w:val="auto"/>
              </w:rPr>
            </w:pPr>
            <w:r>
              <w:rPr>
                <w:rFonts w:ascii="Times New Roman" w:cs="Times New Roman" w:eastAsia="Times New Roman" w:hAnsi="Times New Roman"/>
                <w:sz w:val="13"/>
                <w:szCs w:val="13"/>
                <w:b w:val="1"/>
                <w:bCs w:val="1"/>
                <w:color w:val="auto"/>
                <w:w w:val="98"/>
              </w:rPr>
              <w:t>Size of</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6"/>
              </w:rPr>
              <w:t>Draw Rate of</w:t>
            </w:r>
          </w:p>
        </w:tc>
        <w:tc>
          <w:tcPr>
            <w:tcW w:w="10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Borrowed Money</w:t>
            </w:r>
          </w:p>
        </w:tc>
        <w:tc>
          <w:tcPr>
            <w:tcW w:w="320" w:type="dxa"/>
            <w:vAlign w:val="bottom"/>
          </w:tcPr>
          <w:p>
            <w:pPr>
              <w:spacing w:after="0"/>
              <w:rPr>
                <w:sz w:val="11"/>
                <w:szCs w:val="11"/>
                <w:color w:val="auto"/>
              </w:rPr>
            </w:pPr>
          </w:p>
        </w:tc>
        <w:tc>
          <w:tcPr>
            <w:tcW w:w="11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59"/>
        </w:trPr>
        <w:tc>
          <w:tcPr>
            <w:tcW w:w="2240" w:type="dxa"/>
            <w:vAlign w:val="bottom"/>
            <w:gridSpan w:val="2"/>
            <w:vMerge w:val="continue"/>
          </w:tcPr>
          <w:p>
            <w:pPr>
              <w:spacing w:after="0"/>
              <w:rPr>
                <w:sz w:val="13"/>
                <w:szCs w:val="13"/>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80" w:type="dxa"/>
            <w:vAlign w:val="bottom"/>
          </w:tcPr>
          <w:p>
            <w:pPr>
              <w:spacing w:after="0"/>
              <w:rPr>
                <w:sz w:val="13"/>
                <w:szCs w:val="13"/>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100" w:type="dxa"/>
            <w:vAlign w:val="bottom"/>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SOFR plus (1)</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Capital Ratio</w:t>
            </w: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December 6, 2022</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1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1.500%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2"/>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December 6, 2022</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1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19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December 6, 2022</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1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1.250%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2"/>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22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December 6, 2022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1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March 31, 2025.</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agreements, excluding Securitization Bonds.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March 31, 2025.</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utilization of the Registrants’ respective revolving credit facilities: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98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23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460" w:type="dxa"/>
            <w:vAlign w:val="bottom"/>
            <w:gridSpan w:val="3"/>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380" w:type="dxa"/>
            <w:vAlign w:val="bottom"/>
            <w:tcBorders>
              <w:top w:val="single" w:sz="8" w:color="auto"/>
            </w:tcBorders>
            <w:gridSpan w:val="9"/>
          </w:tcPr>
          <w:p>
            <w:pPr>
              <w:ind w:left="860"/>
              <w:spacing w:after="0"/>
              <w:rPr>
                <w:sz w:val="20"/>
                <w:szCs w:val="20"/>
                <w:color w:val="auto"/>
              </w:rPr>
            </w:pPr>
            <w:r>
              <w:rPr>
                <w:rFonts w:ascii="Times New Roman" w:cs="Times New Roman" w:eastAsia="Times New Roman" w:hAnsi="Times New Roman"/>
                <w:sz w:val="13"/>
                <w:szCs w:val="13"/>
                <w:b w:val="1"/>
                <w:bCs w:val="1"/>
                <w:color w:val="auto"/>
              </w:rPr>
              <w:t>(in millions, except weighted average interest rate)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4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4.58 %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70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7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(1)</w:t>
            </w:r>
          </w:p>
        </w:tc>
        <w:tc>
          <w:tcPr>
            <w:tcW w:w="70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4.62 %</w:t>
            </w: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520" w:hanging="260"/>
        <w:spacing w:after="0" w:line="260"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of up to 60 days and 30 days, respectively, and are backstopped by the respective issuer’s long-term revolving credit facility. As of March 31, 2025, CenterPoint Energy and CERC had outstanding balances of $1.3 billion and $492 million, respectively, in commercial paper included in the current portion of long-term debt, as management expects to utilize current assets to repay these obligations.</w:t>
      </w: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March 31, 2025, Houston Electric’s assets were subject to liens securing approximately $9 billion of general mortgage bonds outstanding under the General Mortgage,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contingent nature of the obligations. Houston Electric may issue additional general mortgage bonds on the basis of retired bonds, 70% of property additions or cash deposited with the trustee. As of March 31, 2025, approximately $4.6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March 31, 2025, SIGECO had approximately $1.1 billion aggregate principal amount of first mortgage bonds outstanding. Generally, all of SIGECO’s real and tangible property is subject to the lien of SIGECO’s mortgage indenture which was amended and restated effective as of January 1, 2023. As of March 31, 2025, SIGECO was permitted to issue additional bonds under its mortgage indenture up to 70% of then currently unfunded property additions and approximately $899 million of additional first mortgage bonds could be issued on this basis.</w:t>
      </w:r>
    </w:p>
    <w:p>
      <w:pPr>
        <w:spacing w:after="0" w:line="155" w:lineRule="exact"/>
        <w:rPr>
          <w:sz w:val="20"/>
          <w:szCs w:val="20"/>
          <w:color w:val="auto"/>
        </w:rPr>
      </w:pPr>
    </w:p>
    <w:p>
      <w:pPr>
        <w:ind w:left="280" w:hanging="275"/>
        <w:spacing w:after="0"/>
        <w:tabs>
          <w:tab w:leader="none" w:pos="28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reported the following effective tax rates:</w:t>
      </w:r>
    </w:p>
    <w:p>
      <w:pPr>
        <w:spacing w:after="0" w:line="11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3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 xml:space="preserve">CenterPoint Energy </w:t>
            </w:r>
            <w:r>
              <w:rPr>
                <w:rFonts w:ascii="Times New Roman" w:cs="Times New Roman" w:eastAsia="Times New Roman" w:hAnsi="Times New Roman"/>
                <w:sz w:val="11"/>
                <w:szCs w:val="11"/>
                <w:color w:val="auto"/>
              </w:rPr>
              <w:t>(1)</w:t>
            </w:r>
          </w:p>
        </w:tc>
        <w:tc>
          <w:tcPr>
            <w:tcW w:w="13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Houston Electric </w:t>
            </w:r>
            <w:r>
              <w:rPr>
                <w:rFonts w:ascii="Times New Roman" w:cs="Times New Roman" w:eastAsia="Times New Roman" w:hAnsi="Times New Roman"/>
                <w:sz w:val="11"/>
                <w:szCs w:val="11"/>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8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CERC </w:t>
            </w:r>
            <w:r>
              <w:rPr>
                <w:rFonts w:ascii="Times New Roman" w:cs="Times New Roman" w:eastAsia="Times New Roman" w:hAnsi="Times New Roman"/>
                <w:sz w:val="11"/>
                <w:szCs w:val="11"/>
                <w:color w:val="auto"/>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r>
    </w:tbl>
    <w:p>
      <w:pPr>
        <w:spacing w:after="0" w:line="240" w:lineRule="exact"/>
        <w:rPr>
          <w:sz w:val="20"/>
          <w:szCs w:val="20"/>
          <w:color w:val="auto"/>
        </w:rPr>
      </w:pPr>
    </w:p>
    <w:p>
      <w:pPr>
        <w:ind w:left="520" w:hanging="260"/>
        <w:spacing w:after="0" w:line="263"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higher effective tax rate for the three months ended March 31, 2025 compared to the three months ended March 31, 2024 was primarily driven by the impact of the non-deductible goodwill associated with the sale of the Louisiana and Mississippi natural gas LDC businesses. For additional detail, see Note 3.</w:t>
      </w:r>
    </w:p>
    <w:p>
      <w:pPr>
        <w:ind w:left="520" w:hanging="260"/>
        <w:spacing w:after="0" w:line="253"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lower effective tax rate for the three months ended March 31, 2025 compared to the three months ended March 31, 2024 was primarily driven by a decrease in state income taxes.</w:t>
      </w:r>
    </w:p>
    <w:p>
      <w:pPr>
        <w:jc w:val="both"/>
        <w:ind w:left="520" w:hanging="260"/>
        <w:spacing w:after="0" w:line="257"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CERC’s higher effective tax rate for the three months ended March 31, 2025 compared to the three months ended March 31, 2024 was primarily driven by the impact of the non-deductible goodwill associated with the sale of the Louisiana and Mississippi natural gas LDC businesses on March 31, 2025 and the absence of impacts associated with the state deferred tax remeasurement and valuation allowance related to the Louisiana and Mississippi natural gas LDC businesses recorded in 2024 upon classification as held for sale. For additional detail, see Note 3.</w:t>
      </w:r>
    </w:p>
    <w:p>
      <w:pPr>
        <w:spacing w:after="0" w:line="1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reported a net uncertain tax liability, inclusive of interest and penalties, of $32 million as of March 31, 2025. The Registrants believe that it is reasonably possible that the Registrants will recognize a $10 million tax benefit, including penalties and interest, in the next 12 months as a result of a lapse of statutes on older exposures, a tax settlement, and/or a resolution of open audits.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2022 have been audited and settled with the IRS for CenterPoint Energy. For tax years 2023, 2024 and 2025, the Registrants are participants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IRS’s Compliance Assurance Process.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Purchase Obligations (CenterPoint Energy and CERC)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March 31, 2025 and December 31, 2024 because these contracts meet an exception as “normal purchases contracts” or do not meet the definition of a derivative. Natural gas and coal supply commitments also include transportation contracts that do not meet the definition of a derivative.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2025,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39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2025</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1,648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1,620</w:t>
            </w: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4,118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PPAs with commitments ranging from 15 years to 25 years.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primarily to technology hardware and software agreements.</w:t>
      </w:r>
    </w:p>
    <w:p>
      <w:pPr>
        <w:spacing w:after="0" w:line="1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AMAs (CenterPoint Energy and CERC)</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Energy’s and CERC’s Natural Gas businesses continue to utilize AMAs associated with their utility distribution service in Indiana, Minnesota and Texas. The AMAs have varying terms, the longest of which expires in 2029. Pursuant to the provisions of the agreements, CenterPoint Energy’s and CERC’s Natural Gas businesses either sell natural gas to the asset manager and agree to repurchase an equivalent amount of natural gas throughout the year at the same cost, or simply purchase their full natural gas requirements at each delivery point from the asset manager. Generally, AMAs are contracts between CenterPoint Energy’s and CERC’s Natural Gas businesses and an asset manager that are intended to transfer the working capital obligation and maximize the utilization of the assets. In these agreements, CenterPoint Energy’s and CERC’s Natural Gas businesses agree to release transportation and storage capacity to other parties to manage natural gas storage, supply and delivery arrangements for CenterPoint Energy’s and CERC’s Natural Gas businesses and to use the released capacity for other purposes when it is not needed for CenterPoint Energy’s and CERC’s Natural Gas businesses. CenterPoint Energy’s and CERC’s Natural Gas businesses may receive compensation from the asset manager through payments made over the life of the AMAs. CenterPoint Energy’s and CERC’s Natural Gas businesses have an obligation to purchase their winter storage requirements that have been released to the asset manager under these AMAs. Amounts outstanding under these AMAs as of March 31, 2025 and December 31, 2024 were not material.</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Guarantees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 sell Energy Systems Group. The sale closed on June 30, 2023.</w:t>
      </w:r>
    </w:p>
    <w:p>
      <w:pPr>
        <w:spacing w:after="0" w:line="20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$461 million as of March 31, 2025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Condensed Consolidated Balance Sheets as of March 31, 2025 and December 31, 2024 related to its obligation under the outstanding guarantees.</w:t>
      </w:r>
    </w:p>
    <w:p>
      <w:pPr>
        <w:spacing w:after="0" w:line="160" w:lineRule="exact"/>
        <w:rPr>
          <w:sz w:val="20"/>
          <w:szCs w:val="20"/>
          <w:color w:val="auto"/>
        </w:rPr>
      </w:pPr>
    </w:p>
    <w:p>
      <w:pPr>
        <w:ind w:left="140" w:right="8420" w:firstLine="120"/>
        <w:spacing w:after="0" w:line="537" w:lineRule="auto"/>
        <w:tabs>
          <w:tab w:leader="none" w:pos="468"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such as the Texas Governor’s office, the Texas legislature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PUCT, have called for or are conducting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as well.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has been removed to the Texas Business Courts, and defendants’ deadline to respond to the petition is May 12, 2025. Additionally, on February 12, 2025, a second putative shareholder of CenterPoint Energy made a demand on the Board to investigate the same basic allegations raised in the derivative petition filed by Donel Davidson.</w:t>
      </w:r>
    </w:p>
    <w:p>
      <w:pPr>
        <w:spacing w:after="0" w:line="33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As of March 31, 2025, three putative class actions had been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In addition, as of March 31, 2025, two individual actions had been filed in Harris County District Courts asserting claims of negligence, negligence per se and/or gross negligence against CenterPoint Energy, CenterPoint Energy Service Company, LLC and/or Houston Electric. The plaintiffs in these actions allege personal injury and/or property damage from downed power lines and seek damages in excess of $1 million.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it is possible that the insurers could dispute coverage for some types of claims or damages that may be alleged by plaintiffs, and CenterPoint Energy has received from two insurers denials of indemnity coverage in the putative class actions based on the failure to supply exclusion. Those insurers have also reserved their rights with respect to coverage in those actions. CenterPoint Energy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 are unable to predict the outcome or consequences of any of the foregoing matters or to estimate a range of potential losses. For more information regarding Hurricane Beryl, see Note 6.</w:t>
      </w:r>
    </w:p>
    <w:p>
      <w:pPr>
        <w:spacing w:after="0" w:line="19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March 31, 2025,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spacing w:after="0" w:line="16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(1) negligence, (2) negligent nuisance and (3)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The Supreme Court of Texas subsequently asked for briefing on the merits and heard oral arguments on the TDUs’ mandamus petition on February 19, 2025.</w:t>
      </w:r>
    </w:p>
    <w:p>
      <w:pPr>
        <w:spacing w:after="0" w:line="1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generator mandamus proceeding that was pending in the Court of Appeals for the First District of Texas, a three-judge panel granted the generators’ mandamus request and ordered dismissal of all claims asserted against the generators’ defendants. The plaintiffs asked the entire First Court of Appeals to rehear the panel’s decision. On November 26, 2024, the First Court of Appeals denied that motion. The plaintiffs filed a petition for writ of mandamus with the Supreme Court of Texas on January 31, 2025. The Supreme Court of Texas requested a response to the plaintiffs’ mandamus petition and set a May 21, 2025 deadline for that response.</w:t>
      </w:r>
    </w:p>
    <w:p>
      <w:pPr>
        <w:spacing w:after="0" w:line="1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MDL judge allowed defendants (including Houston Electric) to file several additional motions on preliminary legal issues. These motions included the TDUs’ motion to dismiss under Chapter 150 of the Texas Civil Practice and Remedies Code, which was filed in one of the bellwether cases and argued that all of plaintiffs’ claims should be dismissed because the plaintiffs did not include a sufficient certificate by a qualified engineer with their petition as required by Texas law, as well as a motion to deny class certification in the putative class action. On November 13, 2024, the MDL Court granted the TDUs’ motion to dismiss under Chapter 150, and on December 3, 2024, the plaintiffs filed a notice of appeal of that ruling. On March 3, 2025, the plaintiffs filed their appellate brief regarding the MDL judge’s dismissal of their claims under Chapter 150, and the deadline for the TDUs’ response brief is May 23, 2025. On January 8, 2025, the MDL Court denied class certification in the putative class action. Following issuance of the order denying class certification, a new lawsuit was filed on behalf of approximately 140 plaintiffs in Harris County District Court against hundreds of defendants, including CenterPoint Energy and Houston Electric, and that case was transferred to the MDL on January 23, 2025. In addition, plaintiffs filed a notice of appeal of the denial of class certification on January 27, 2025. Aside from addressing certain additional preliminary legal issues, the cases remain stayed in the MDL Court. CenterPoint Energy, Utility Holding, and Houston Electric intend to vigorously defend themselves against the claims raised.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15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were brought by an entity that purports to be an assignee of the claims of tens of thousands of persons and entities.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All twelve lawsuits have been tagged for transfer to the existing MDL proceeding referenced above, but only three of the cases have been served against the defendants, including CERC. These gas market cases are in addition to the 220 cases noted above regarding electric market issues.</w:t>
      </w:r>
    </w:p>
    <w:p>
      <w:pPr>
        <w:spacing w:after="0" w:line="34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CenterPoint Energy Services, Inc., but maintained the same three causes of action as to the remaining defendants. CERC has vigorously defended itself against the claims raised, including filing updated pleas to the jurisdiction on May 17, 2024 in response to plaintiffs’ amended petitions and intends to continue to do so. On August 12, 2024, plaintiffs in the putative class action filed a motion for leave to amend to add additional plaintiffs/class representatives. Defendants opposed this motion on September 20, 2024. On September 23, 2024, the MDL judge heard oral argument on CERC’s plea to the jurisdiction and defendants’ motions to dismiss and other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 December 4, 2024, the MDL judge denied as moot a plaintiff’s motion for leave to amend to add additional plaintiffs/class representatives in the putative class action case. On January 17, 2025, the plaintiffs in the putative class action case filed an unopposed motion to dismiss their appeal, which the Court of Appeals granted on February 4, 2025. The Plaintiff in the remaining two cases filed its opening briefs on March 28, 2025. Defendants’ response briefs are due on May 28, 2025.</w:t>
      </w:r>
    </w:p>
    <w:p>
      <w:pPr>
        <w:spacing w:after="0" w:line="17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spacing w:after="0" w:line="16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seeking compensatory damages for contamination and erosion of the Louisiana coastline allegedly caused by historical oil and gas operations. One of the defendants in one of the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Several cases involving other parishes that had been remanded to Louisiana state court have begun to resume proceedings in state court. To date, two of the 42 suits have substantially progressed in state court. The first case, Cameron Parish v. Auster Oil &amp; Gas, Inc., et al., settled shortly before trial on confidential terms. The second case, Plaquemines Parish v. Rozel Operating Co., et. al, was tried against one defendant, Chevron Corporation. On April 4, 2025, the jury returned a verdict of $744.6 million. Chevron has stated it intends to appeal.  As of March 31, 2025, the federal district court had not ruled on Jefferson Parish’s motion to remand to state court the lawsuit which includes Primary Fuels, Inc. among the defendants.</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in the case in which Primary Fuels, Inc. is a defendant,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59" w:lineRule="exact"/>
        <w:rPr>
          <w:sz w:val="20"/>
          <w:szCs w:val="20"/>
          <w:color w:val="auto"/>
        </w:rPr>
      </w:pPr>
    </w:p>
    <w:p>
      <w:pPr>
        <w:jc w:val="both"/>
        <w:ind w:left="520" w:hanging="260"/>
        <w:spacing w:after="0" w:line="271" w:lineRule="auto"/>
        <w:tabs>
          <w:tab w:leader="none" w:pos="5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61" w:lineRule="exact"/>
        <w:rPr>
          <w:rFonts w:ascii="Times New Roman" w:cs="Times New Roman" w:eastAsia="Times New Roman" w:hAnsi="Times New Roman"/>
          <w:sz w:val="14"/>
          <w:szCs w:val="14"/>
          <w:color w:val="auto"/>
        </w:rPr>
      </w:pPr>
    </w:p>
    <w:p>
      <w:pPr>
        <w:ind w:left="520" w:hanging="260"/>
        <w:spacing w:after="0" w:line="290"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116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6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7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Asbestos. </w:t>
      </w:r>
      <w:r>
        <w:rPr>
          <w:rFonts w:ascii="Times New Roman" w:cs="Times New Roman" w:eastAsia="Times New Roman" w:hAnsi="Times New Roman"/>
          <w:sz w:val="14"/>
          <w:szCs w:val="14"/>
          <w:color w:val="auto"/>
        </w:rPr>
        <w:t>Some facilities owned by the Registrants or their predecessors contain or have contained asbestos insulation and other asbestos-containing materials. The Registrants are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5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CCR Rule (CenterPoint Energy). </w:t>
      </w:r>
      <w:r>
        <w:rPr>
          <w:rFonts w:ascii="Times New Roman" w:cs="Times New Roman" w:eastAsia="Times New Roman" w:hAnsi="Times New Roman"/>
          <w:sz w:val="14"/>
          <w:szCs w:val="14"/>
          <w:color w:val="auto"/>
        </w:rPr>
        <w:t>In April 2015, the EPA finalized its CCR Rule, which regulates ash as non-hazardous material under the RCRA. The final rule allows beneficial reuse of 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 portion of the ash generated by Indiana Electric’s generating plants will continue to be reused.</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Pursuant to the CCR Rule, both the Culley East and A.B. Brown facilities were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337" w:lineRule="exact"/>
        <w:rPr>
          <w:sz w:val="20"/>
          <w:szCs w:val="20"/>
          <w:color w:val="auto"/>
        </w:rPr>
      </w:pPr>
    </w:p>
    <w:p>
      <w:pPr>
        <w:jc w:val="both"/>
        <w:ind w:firstLine="290"/>
        <w:spacing w:after="0" w:line="264" w:lineRule="auto"/>
        <w:rPr>
          <w:sz w:val="20"/>
          <w:szCs w:val="20"/>
          <w:color w:val="auto"/>
        </w:rPr>
      </w:pPr>
      <w:r>
        <w:rPr>
          <w:rFonts w:ascii="Times New Roman" w:cs="Times New Roman" w:eastAsia="Times New Roman" w:hAnsi="Times New Roman"/>
          <w:sz w:val="14"/>
          <w:szCs w:val="14"/>
          <w:color w:val="auto"/>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$133,000 in annual operation and maintenance expenses, for recovery through the ECA. Following approval of its most recent rate case, this project is now being recovered through base rates.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March 31, 2025, CenterPoint Energy had recorded an approximate $130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previously settled insurance proceedings. In addition to these AROs, Indiana Electric also anticipates equipment purchases of between $60 million and $80 million to complete the A.B. Brown closure project.</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spacing w:after="0" w:line="16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Clean Water Act Permitting of Groundwater and Power Plant Discharges</w:t>
      </w:r>
      <w:r>
        <w:rPr>
          <w:rFonts w:ascii="Times New Roman" w:cs="Times New Roman" w:eastAsia="Times New Roman" w:hAnsi="Times New Roman"/>
          <w:sz w:val="14"/>
          <w:szCs w:val="14"/>
          <w:color w:val="auto"/>
        </w:rPr>
        <w:t>. In April 2020, the U.S. Supreme Court issued an opinion providing that indirect discharges via groundwater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non-point sources are subject to permitting and liability under the Clean Water Act when they are the functional equivalent of a direct discharge. On November 27, 2023, the EPA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published draft guidance regarding the application of the “functional equivalent” analysis as related to permitting of certain discharges through groundwater to surface waters. The Registrants do not currently anticipate impacts from this guidance, but groundwater monitoring continues under the CCR Rule.</w:t>
      </w:r>
    </w:p>
    <w:p>
      <w:pPr>
        <w:spacing w:after="0" w:line="1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The Registrants currently anticipate that they will be in compliance with the Supplemental ELG Guidelines at the Culley facility due to previous wastewater treatment upgrades.</w:t>
      </w:r>
    </w:p>
    <w:p>
      <w:pPr>
        <w:spacing w:after="0" w:line="16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162" w:lineRule="exact"/>
        <w:rPr>
          <w:sz w:val="20"/>
          <w:szCs w:val="20"/>
          <w:color w:val="auto"/>
        </w:rPr>
      </w:pPr>
    </w:p>
    <w:p>
      <w:pPr>
        <w:ind w:left="280" w:hanging="275"/>
        <w:spacing w:after="0"/>
        <w:tabs>
          <w:tab w:leader="none" w:pos="28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 (CenterPoint Energy)</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r>
      <w:tr>
        <w:trPr>
          <w:trHeight w:val="159"/>
        </w:trPr>
        <w:tc>
          <w:tcPr>
            <w:tcW w:w="7480" w:type="dxa"/>
            <w:vAlign w:val="bottom"/>
          </w:tcPr>
          <w:p>
            <w:pPr>
              <w:spacing w:after="0"/>
              <w:rPr>
                <w:sz w:val="13"/>
                <w:szCs w:val="13"/>
                <w:color w:val="auto"/>
              </w:rPr>
            </w:pPr>
          </w:p>
        </w:tc>
        <w:tc>
          <w:tcPr>
            <w:tcW w:w="3800" w:type="dxa"/>
            <w:vAlign w:val="bottom"/>
            <w:gridSpan w:val="5"/>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r>
      <w:tr>
        <w:trPr>
          <w:trHeight w:val="170"/>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652,161,000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632,228,000</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1,158,000</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1,742,000</w:t>
            </w:r>
          </w:p>
        </w:tc>
      </w:tr>
      <w:tr>
        <w:trPr>
          <w:trHeight w:val="18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1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653,319,000</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633,970,000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9"/>
        </w:trPr>
        <w:tc>
          <w:tcPr>
            <w:tcW w:w="7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spacing w:after="0"/>
              <w:rPr>
                <w:sz w:val="12"/>
                <w:szCs w:val="12"/>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Reportable Segments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the CODM manages sales, allocates resources and assesses performance of various products and services to wholesale or retail customers in differing regulatory environments.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2025,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consists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category consists of corporate support operations that support all of CenterPoint Energy’s business operations. CenterPoint Energy’s Corporate and Other also includes office buildings and other real estate used for business operations.</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Electric’s single reportable segment consists of electric transmission services to transmission service customers in the ERCOT region and distribution services to REPs serving the Texas Gulf Coast area that includes the city of Houston.</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left="520" w:hanging="260"/>
        <w:spacing w:after="0" w:line="270"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Restructuring and prior to the closing of the sale of the Louisiana and Mississippi natural gas LDC businesses on March 31, 2025 consisted of (i) intrastate natural gas sales to, and natural gas transportation and distribution for, residential, commercial, and industrial customers in Indiana, Louisiana, Minnesota, Mississippi, Ohio and Texas; and (ii) permanent pipeline connections through interconnects with various interstate and intrastate pipeline companies through CEIP.</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4.</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2025</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8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8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0"/>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8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 (2)</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8"/>
        </w:trPr>
        <w:tc>
          <w:tcPr>
            <w:tcW w:w="3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ind w:left="520" w:hanging="260"/>
        <w:spacing w:after="0" w:line="263" w:lineRule="auto"/>
        <w:tabs>
          <w:tab w:leader="none" w:pos="46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from Securitization Bonds of less than $1 million and $1 million for the three months ended March 31, 2025 and 2024, respectively, is included in Other income (expense), net on CenterPoint Energy’s Statements of Consolidated Income.</w:t>
      </w:r>
    </w:p>
    <w:p>
      <w:pPr>
        <w:ind w:left="520" w:hanging="260"/>
        <w:spacing w:after="0" w:line="266" w:lineRule="auto"/>
        <w:tabs>
          <w:tab w:leader="none" w:pos="48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primarily includes AFUDC equity, non-service cost for pension and postretirement benefits, Gain (loss) on equity securities, Gain (loss) on indexed debt securities and Loss on sale.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Expenditures for Long-lived Assets</w:t>
            </w:r>
          </w:p>
        </w:tc>
        <w:tc>
          <w:tcPr>
            <w:tcW w:w="116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16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60"/>
        </w:trPr>
        <w:tc>
          <w:tcPr>
            <w:tcW w:w="7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160" w:type="dxa"/>
            <w:vAlign w:val="bottom"/>
          </w:tcPr>
          <w:p>
            <w:pPr>
              <w:spacing w:after="0"/>
              <w:rPr>
                <w:sz w:val="13"/>
                <w:szCs w:val="13"/>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net of eliminations</w:t>
            </w:r>
          </w:p>
        </w:tc>
        <w:tc>
          <w:tcPr>
            <w:tcW w:w="1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w:t>
            </w:r>
          </w:p>
        </w:tc>
      </w:tr>
      <w:tr>
        <w:trPr>
          <w:trHeight w:val="20"/>
        </w:trPr>
        <w:tc>
          <w:tcPr>
            <w:tcW w:w="7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60" w:type="dxa"/>
            <w:vAlign w:val="bottom"/>
            <w:tcBorders>
              <w:bottom w:val="single" w:sz="8" w:color="auto"/>
            </w:tcBorders>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1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60" w:type="dxa"/>
            <w:vAlign w:val="bottom"/>
          </w:tcPr>
          <w:p>
            <w:pPr>
              <w:spacing w:after="0"/>
              <w:rPr>
                <w:sz w:val="13"/>
                <w:szCs w:val="13"/>
                <w:color w:val="auto"/>
              </w:rPr>
            </w:pP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23,936</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18,583</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net of eliminations (1)</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r>
      <w:tr>
        <w:trPr>
          <w:trHeight w:val="160"/>
        </w:trPr>
        <w:tc>
          <w:tcPr>
            <w:tcW w:w="7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44,486</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assets included pension and other postemployment-related regulatory assets of $378 million and $384 million as of March 31, 2025 and December 31,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Statements of Consolidated Income. For financial data related to segment total assets, see Houston Electric’s Consolidated Balance Sheets. Financial data related to interest income and expenditures for long-lived assets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254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20" w:type="dxa"/>
            <w:vAlign w:val="bottom"/>
            <w:tcBorders>
              <w:bottom w:val="single" w:sz="8" w:color="auto"/>
            </w:tcBorders>
          </w:tcPr>
          <w:p>
            <w:pPr>
              <w:spacing w:after="0"/>
              <w:rPr>
                <w:sz w:val="14"/>
                <w:szCs w:val="14"/>
                <w:color w:val="auto"/>
              </w:rPr>
            </w:pPr>
          </w:p>
        </w:tc>
      </w:tr>
      <w:tr>
        <w:trPr>
          <w:trHeight w:val="161"/>
        </w:trPr>
        <w:tc>
          <w:tcPr>
            <w:tcW w:w="8300" w:type="dxa"/>
            <w:vAlign w:val="bottom"/>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r>
      <w:tr>
        <w:trPr>
          <w:trHeight w:val="160"/>
        </w:trPr>
        <w:tc>
          <w:tcPr>
            <w:tcW w:w="8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2"/>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20" w:type="dxa"/>
            <w:vAlign w:val="bottom"/>
          </w:tcPr>
          <w:p>
            <w:pPr>
              <w:spacing w:after="0"/>
              <w:rPr>
                <w:sz w:val="13"/>
                <w:szCs w:val="13"/>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10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579</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r>
    </w:tbl>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net on Houston Electric’s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Statements of Consolidated Income. For financial data related to segment total assets, see CERC’s Consolidated Balance Sheets. Financial data related to interest income and expenditures for long-lived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254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20" w:type="dxa"/>
            <w:vAlign w:val="bottom"/>
            <w:tcBorders>
              <w:bottom w:val="single" w:sz="8" w:color="auto"/>
            </w:tcBorders>
          </w:tcPr>
          <w:p>
            <w:pPr>
              <w:spacing w:after="0"/>
              <w:rPr>
                <w:sz w:val="14"/>
                <w:szCs w:val="14"/>
                <w:color w:val="auto"/>
              </w:rPr>
            </w:pPr>
          </w:p>
        </w:tc>
      </w:tr>
      <w:tr>
        <w:trPr>
          <w:trHeight w:val="161"/>
        </w:trPr>
        <w:tc>
          <w:tcPr>
            <w:tcW w:w="8300" w:type="dxa"/>
            <w:vAlign w:val="bottom"/>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r>
      <w:tr>
        <w:trPr>
          <w:trHeight w:val="160"/>
        </w:trPr>
        <w:tc>
          <w:tcPr>
            <w:tcW w:w="8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2"/>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20" w:type="dxa"/>
            <w:vAlign w:val="bottom"/>
          </w:tcPr>
          <w:p>
            <w:pPr>
              <w:spacing w:after="0"/>
              <w:rPr>
                <w:sz w:val="13"/>
                <w:szCs w:val="13"/>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10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291</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r>
    </w:tbl>
    <w:p>
      <w:pPr>
        <w:spacing w:after="0" w:line="64" w:lineRule="exact"/>
        <w:rPr>
          <w:sz w:val="20"/>
          <w:szCs w:val="20"/>
          <w:color w:val="auto"/>
        </w:rPr>
      </w:pPr>
    </w:p>
    <w:p>
      <w:pPr>
        <w:ind w:left="500" w:hanging="240"/>
        <w:spacing w:after="0"/>
        <w:tabs>
          <w:tab w:leader="none" w:pos="5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net on CERC’s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 (Houston Electric and CERC)</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CERC (2)</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20" w:type="dxa"/>
            <w:vAlign w:val="bottom"/>
            <w:gridSpan w:val="4"/>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 except interest rates)</w:t>
            </w: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159</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368</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4.64 %</w:t>
            </w:r>
          </w:p>
        </w:tc>
        <w:tc>
          <w:tcPr>
            <w:tcW w:w="5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640" w:type="dxa"/>
            <w:vAlign w:val="bottom"/>
          </w:tcPr>
          <w:p>
            <w:pPr>
              <w:spacing w:after="0"/>
              <w:rPr>
                <w:sz w:val="14"/>
                <w:szCs w:val="14"/>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 %</w:t>
            </w:r>
          </w:p>
        </w:tc>
      </w:tr>
    </w:tbl>
    <w:p>
      <w:pPr>
        <w:spacing w:after="0" w:line="244" w:lineRule="exact"/>
        <w:rPr>
          <w:sz w:val="20"/>
          <w:szCs w:val="20"/>
          <w:color w:val="auto"/>
        </w:rPr>
      </w:pPr>
    </w:p>
    <w:p>
      <w:pPr>
        <w:ind w:left="520" w:hanging="260"/>
        <w:spacing w:after="0" w:line="263" w:lineRule="auto"/>
        <w:tabs>
          <w:tab w:leader="none" w:pos="51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receivable–affiliated companies in Houston Electric’s and CERC’s respective Condensed Consolidated Balance Sheets as of March 31, 2025 and December 31, 2024, as applicable.</w:t>
      </w:r>
    </w:p>
    <w:p>
      <w:pPr>
        <w:ind w:left="500" w:hanging="240"/>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proceeds from the sale of CERC Corp.’s Louisiana and Mississippi natural gas LDC businesses.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net (1)</w:t>
            </w: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3</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r>
    </w:tbl>
    <w:p>
      <w:pPr>
        <w:spacing w:after="0" w:line="251" w:lineRule="exact"/>
        <w:rPr>
          <w:sz w:val="20"/>
          <w:szCs w:val="20"/>
          <w:color w:val="auto"/>
        </w:rPr>
      </w:pPr>
    </w:p>
    <w:p>
      <w:pPr>
        <w:ind w:left="520" w:hanging="260"/>
        <w:spacing w:after="0" w:line="287" w:lineRule="auto"/>
        <w:tabs>
          <w:tab w:leader="none" w:pos="46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included in Other income, net and interest expense is included in Interest expense and other finance charges on Houston Electric’s and CERC’s respective Statements of Consolidated Income.</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table below presents amounts charged for these services, which are included primarily in Operation and maintenance expenses on Houston Electric’s and CERC’s respective Condensed Statements of Consolidated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affiliate service charges (billings)</w:t>
            </w:r>
          </w:p>
        </w:tc>
        <w:tc>
          <w:tcPr>
            <w:tcW w:w="46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transactions among Houston Electric, CERC and their parent, Utility Holding: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paid to parent</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65"/>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contribution from parent</w:t>
            </w:r>
          </w:p>
        </w:tc>
        <w:tc>
          <w:tcPr>
            <w:tcW w:w="46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6"/>
              </w:rPr>
              <w:t>Dividends Declared Per Share</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right="513"/>
              <w:spacing w:after="0"/>
              <w:rPr>
                <w:sz w:val="20"/>
                <w:szCs w:val="20"/>
                <w:color w:val="auto"/>
              </w:rPr>
            </w:pPr>
            <w:r>
              <w:rPr>
                <w:rFonts w:ascii="Times New Roman" w:cs="Times New Roman" w:eastAsia="Times New Roman" w:hAnsi="Times New Roman"/>
                <w:sz w:val="13"/>
                <w:szCs w:val="13"/>
                <w:b w:val="1"/>
                <w:bCs w:val="1"/>
                <w:color w:val="auto"/>
                <w:w w:val="98"/>
              </w:rPr>
              <w:t>Dividends Paid Per Share</w:t>
            </w:r>
          </w:p>
        </w:tc>
        <w:tc>
          <w:tcPr>
            <w:tcW w:w="560" w:type="dxa"/>
            <w:vAlign w:val="bottom"/>
            <w:tcBorders>
              <w:bottom w:val="single" w:sz="8" w:color="auto"/>
            </w:tcBorders>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3300" w:type="dxa"/>
            <w:vAlign w:val="bottom"/>
            <w:tcBorders>
              <w:bottom w:val="single" w:sz="8" w:color="auto"/>
            </w:tcBorders>
            <w:gridSpan w:val="4"/>
          </w:tcPr>
          <w:p>
            <w:pPr>
              <w:jc w:val="center"/>
              <w:ind w:left="4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560" w:type="dxa"/>
            <w:vAlign w:val="bottom"/>
            <w:tcBorders>
              <w:bottom w:val="single" w:sz="8" w:color="auto"/>
            </w:tcBorders>
          </w:tcPr>
          <w:p>
            <w:pPr>
              <w:spacing w:after="0"/>
              <w:rPr>
                <w:sz w:val="14"/>
                <w:szCs w:val="14"/>
                <w:color w:val="auto"/>
              </w:rPr>
            </w:pPr>
          </w:p>
        </w:tc>
      </w:tr>
      <w:tr>
        <w:trPr>
          <w:trHeight w:val="172"/>
        </w:trPr>
        <w:tc>
          <w:tcPr>
            <w:tcW w:w="3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4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r>
      <w:tr>
        <w:trPr>
          <w:trHeight w:val="16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tcBorders>
              <w:top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0.220</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0.200</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Equity Distribution Agreement</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has also entered into forward sales agreements pursuant to master forward confirmations. The offer and sale of Common Stock under the Equity Distribution Agreement will terminate upon the earliest of (1) the sale of all Common Stock subject to the Equity Distribution Agreement, (2) termination of the Equity Distribution Agreement, or (3) May 17, 2026.</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2025, CenterPoint Energy had $250 million of remaining capacity available under the at-the-market program, excluding any forward sales executed in April 2025. See Note 16 for additional details regarding forward sales under the Equity Distribution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accumulated comprehensive income (loss)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1"/>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tcBorders>
              <w:bottom w:val="single" w:sz="8" w:color="auto"/>
            </w:tcBorders>
          </w:tcPr>
          <w:p>
            <w:pPr>
              <w:spacing w:after="0"/>
              <w:rPr>
                <w:sz w:val="14"/>
                <w:szCs w:val="14"/>
                <w:color w:val="auto"/>
              </w:rPr>
            </w:pPr>
          </w:p>
        </w:tc>
      </w:tr>
      <w:tr>
        <w:trPr>
          <w:trHeight w:val="160"/>
        </w:trPr>
        <w:tc>
          <w:tcPr>
            <w:tcW w:w="4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center"/>
              <w:ind w:left="1216"/>
              <w:spacing w:after="0"/>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Remeasurement of pension and other postretirement plans</w:t>
            </w:r>
          </w:p>
        </w:tc>
        <w:tc>
          <w:tcPr>
            <w:tcW w:w="2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left="1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deferred gain from cash flow hedges</w:t>
            </w:r>
          </w:p>
        </w:tc>
        <w:tc>
          <w:tcPr>
            <w:tcW w:w="200" w:type="dxa"/>
            <w:vAlign w:val="bottom"/>
          </w:tcPr>
          <w:p>
            <w:pPr>
              <w:spacing w:after="0"/>
              <w:rPr>
                <w:sz w:val="14"/>
                <w:szCs w:val="14"/>
                <w:color w:val="auto"/>
              </w:rPr>
            </w:pPr>
          </w:p>
        </w:tc>
        <w:tc>
          <w:tcPr>
            <w:tcW w:w="1620" w:type="dxa"/>
            <w:vAlign w:val="bottom"/>
            <w:gridSpan w:val="2"/>
          </w:tcPr>
          <w:p>
            <w:pPr>
              <w:jc w:val="center"/>
              <w:ind w:left="1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8"/>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Actuarial losses (gain) (1)</w:t>
            </w:r>
          </w:p>
        </w:tc>
        <w:tc>
          <w:tcPr>
            <w:tcW w:w="200" w:type="dxa"/>
            <w:vAlign w:val="bottom"/>
          </w:tcPr>
          <w:p>
            <w:pPr>
              <w:spacing w:after="0"/>
              <w:rPr>
                <w:sz w:val="14"/>
                <w:szCs w:val="14"/>
                <w:color w:val="auto"/>
              </w:rPr>
            </w:pPr>
          </w:p>
        </w:tc>
        <w:tc>
          <w:tcPr>
            <w:tcW w:w="1620" w:type="dxa"/>
            <w:vAlign w:val="bottom"/>
            <w:gridSpan w:val="2"/>
          </w:tcPr>
          <w:p>
            <w:pPr>
              <w:jc w:val="center"/>
              <w:ind w:left="113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2"/>
              </w:rPr>
              <w:t>(1)</w:t>
            </w:r>
          </w:p>
        </w:tc>
      </w:tr>
      <w:tr>
        <w:trPr>
          <w:trHeight w:val="16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center"/>
              <w:ind w:left="12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2"/>
              </w:rPr>
              <w:t>(1)</w:t>
            </w:r>
          </w:p>
        </w:tc>
      </w:tr>
      <w:tr>
        <w:trPr>
          <w:trHeight w:val="163"/>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center"/>
              <w:ind w:left="1216"/>
              <w:spacing w:after="0"/>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3"/>
                <w:szCs w:val="13"/>
                <w:color w:val="auto"/>
              </w:rPr>
              <w:t>15</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00" w:hanging="240"/>
        <w:spacing w:after="0"/>
        <w:tabs>
          <w:tab w:leader="none" w:pos="50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computation of net periodic cost and are reflected in Other income, net in each of the Registrants’ respective Condensed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Distribution Agreement (CenterPoint Energy)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0"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In April 2025, CenterPoint Energy entered into forward sale agreements pursuant to the Equity Distribution Agreement with counterparties relating to 3,277,764 shares and 680,902 shares of Common Stock at an initial forward price of $36.29 and $36.72, respectively. On a settlement date or dates, if CenterPoint Energy elects to physically settle the forward sale agreements, CenterPoint Energy will issue shares of Common Stock to the counterparties at the then-applicable forward sale price. The forward price used to determine amounts due at settlement is calculated based on a floating interest rate factor equal to the overnight bank funding rate less a spread of 75 basis points, and will be subject to decrease on certain dates specified in the forward sale agreements by specified amounts related to expected dividends on the shares of the Common Stock during the term of the forward sale agreements. If the overnight bank funding rate is less than or more than the spread on any day, the interest rate factor will result in a reduction or an increase, respectively, of the forward sale price. CenterPoint Energy may settle the forward sale agreements at any time on or prior to the maturity date of May 14, 2026. As initial pricing terms were based on market prices for Common Stock, no amounts were recorded at the execution of the forward agreements. CenterPoint Energy will receive proceeds when settlement occurs and will record the proceeds in equity. Assuming physical settlement of the April 2025 forward sale agreements, at April 7, 2025, CenterPoint Energy had $105 million of available capacity remaining under the at-the-market program.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(CenterPoint Energy)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gridSpan w:val="2"/>
          </w:tcPr>
          <w:p>
            <w:pPr>
              <w:ind w:left="1700"/>
              <w:spacing w:after="0"/>
              <w:rPr>
                <w:sz w:val="20"/>
                <w:szCs w:val="20"/>
                <w:color w:val="auto"/>
              </w:rPr>
            </w:pPr>
            <w:r>
              <w:rPr>
                <w:rFonts w:ascii="Times New Roman" w:cs="Times New Roman" w:eastAsia="Times New Roman" w:hAnsi="Times New Roman"/>
                <w:sz w:val="11"/>
                <w:szCs w:val="11"/>
                <w:b w:val="1"/>
                <w:bCs w:val="1"/>
                <w:color w:val="auto"/>
              </w:rPr>
              <w:t>Equity Instrument</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Declaration Date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260" w:type="dxa"/>
            <w:vAlign w:val="bottom"/>
          </w:tcPr>
          <w:p>
            <w:pPr>
              <w:spacing w:after="0"/>
              <w:rPr>
                <w:sz w:val="13"/>
                <w:szCs w:val="13"/>
                <w:color w:val="auto"/>
              </w:rPr>
            </w:pPr>
          </w:p>
        </w:tc>
        <w:tc>
          <w:tcPr>
            <w:tcW w:w="1060" w:type="dxa"/>
            <w:vAlign w:val="bottom"/>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17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April 16, 2025</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May 15, 2025</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June 12, 2025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0.2200</w:t>
            </w: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both"/>
        <w:ind w:left="640" w:hanging="636"/>
        <w:spacing w:after="0" w:line="29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 OF CENTERPOINT ENERGY, INC. AND SUBSIDIARIES</w:t>
      </w:r>
    </w:p>
    <w:p>
      <w:pPr>
        <w:spacing w:after="0" w:line="14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Interim Condensed Financial Statements contained in this combined Form 10-Q and the Registrants’ combined 2024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RECENT EVENTS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Distribution Agreement. </w:t>
      </w:r>
      <w:r>
        <w:rPr>
          <w:rFonts w:ascii="Times New Roman" w:cs="Times New Roman" w:eastAsia="Times New Roman" w:hAnsi="Times New Roman"/>
          <w:sz w:val="14"/>
          <w:szCs w:val="14"/>
          <w:color w:val="auto"/>
        </w:rPr>
        <w:t>In April 2025, CenterPoint Energy entered into forward sale agreements with counterparties relating to 3,277,764 shares and 680,902 shares of Common Stock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 initial forward price of $36.29 and $36.72, respectively. For additional information, see Note 15 and Note 16 to the Interim Condensed Financial Statements.</w:t>
      </w:r>
    </w:p>
    <w:p>
      <w:pPr>
        <w:spacing w:after="0" w:line="14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Louisiana and Mississippi Natural Gas Businesses. </w:t>
      </w:r>
      <w:r>
        <w:rPr>
          <w:rFonts w:ascii="Times New Roman" w:cs="Times New Roman" w:eastAsia="Times New Roman" w:hAnsi="Times New Roman"/>
          <w:sz w:val="14"/>
          <w:szCs w:val="14"/>
          <w:color w:val="auto"/>
        </w:rPr>
        <w:t>On March 31, 2025, CenterPoint Energy, through its subsidiary CERC Corp., completed the sale of its Louisiana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Mississippi natural gas LDC businesses for approximately $1.2 billion, subject to adjustment as set forth in the LAMS Asset Purchase Agreement, including adjustments based on net working capital, regulatory assets and liabilities and capital expenditures at closing. For information about this transaction, see Note 3 to the Interim Condensed Financial Statements.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$357 million. For information about this transaction, see Note 3 to the Interim Condensed Financial Statements.</w:t>
      </w:r>
    </w:p>
    <w:p>
      <w:pPr>
        <w:spacing w:after="0" w:line="14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For further information, see Note 6 to the Interim Condensed Financial Statements. For information related to our pending and completed regulatory proceedings to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2025, see “Liquidity and Capital Resources —Regulatory Matters” below.</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For information about debt transactions to date in 2025, see Note 9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our consolidated operations, see “Risk Factors” in Part I, Item 1A of the Registrants’ combined 2024 Form 10-K.</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for the three months ended March 31, 2025 and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61"/>
        </w:trPr>
        <w:tc>
          <w:tcPr>
            <w:tcW w:w="5820" w:type="dxa"/>
            <w:vAlign w:val="bottom"/>
          </w:tcPr>
          <w:p>
            <w:pPr>
              <w:spacing w:after="0"/>
              <w:rPr>
                <w:sz w:val="14"/>
                <w:szCs w:val="14"/>
                <w:color w:val="auto"/>
              </w:rPr>
            </w:pPr>
          </w:p>
        </w:tc>
        <w:tc>
          <w:tcPr>
            <w:tcW w:w="1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rPr>
              <w:t>(55)</w:t>
            </w:r>
          </w:p>
        </w:tc>
      </w:tr>
      <w:tr>
        <w:trPr>
          <w:trHeight w:val="163"/>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Utility Operations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(68)</w:t>
            </w:r>
          </w:p>
        </w:tc>
      </w:tr>
      <w:tr>
        <w:trPr>
          <w:trHeight w:val="168"/>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3"/>
                <w:szCs w:val="13"/>
                <w:color w:val="auto"/>
                <w:w w:val="92"/>
              </w:rPr>
              <w:t>(54)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left="1336"/>
              <w:spacing w:after="0"/>
              <w:rPr>
                <w:sz w:val="20"/>
                <w:szCs w:val="20"/>
                <w:color w:val="auto"/>
              </w:rPr>
            </w:pPr>
            <w:r>
              <w:rPr>
                <w:rFonts w:ascii="Times New Roman" w:cs="Times New Roman" w:eastAsia="Times New Roman" w:hAnsi="Times New Roman"/>
                <w:sz w:val="13"/>
                <w:szCs w:val="13"/>
                <w:color w:val="auto"/>
              </w:rPr>
              <w:t>15</w:t>
            </w:r>
          </w:p>
        </w:tc>
      </w:tr>
      <w:tr>
        <w:trPr>
          <w:trHeight w:val="188"/>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CenterPoint Energy</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Includes unallocated corporate costs, interest income and interest expense and intercompany eliminations.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2025 compared to three months ended March 31, 2024</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decreased $53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net income of $13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net income of $55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$15 million for Corporate and Other, primarily due to the favorable impact of accrued income tax benefits offset in other segments. This increase was partially offset by $14 million associated with increased borrowing costs.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r>
      <w:tr>
        <w:trPr>
          <w:trHeight w:val="161"/>
        </w:trPr>
        <w:tc>
          <w:tcPr>
            <w:tcW w:w="5640" w:type="dxa"/>
            <w:vAlign w:val="bottom"/>
          </w:tcPr>
          <w:p>
            <w:pPr>
              <w:spacing w:after="0"/>
              <w:rPr>
                <w:sz w:val="14"/>
                <w:szCs w:val="14"/>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0" w:type="dxa"/>
            <w:vAlign w:val="bottom"/>
            <w:gridSpan w:val="6"/>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(in millions, except operating statistics)</w:t>
            </w:r>
          </w:p>
        </w:tc>
        <w:tc>
          <w:tcPr>
            <w:tcW w:w="1660" w:type="dxa"/>
            <w:vAlign w:val="bottom"/>
          </w:tcPr>
          <w:p>
            <w:pPr>
              <w:spacing w:after="0"/>
              <w:rPr>
                <w:sz w:val="13"/>
                <w:szCs w:val="13"/>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r>
      <w:tr>
        <w:trPr>
          <w:trHeight w:val="148"/>
        </w:trPr>
        <w:tc>
          <w:tcPr>
            <w:tcW w:w="5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5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8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r>
      <w:tr>
        <w:trPr>
          <w:trHeight w:val="158"/>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5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1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68"/>
        </w:trPr>
        <w:tc>
          <w:tcPr>
            <w:tcW w:w="5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8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8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31"/>
        </w:trPr>
        <w:tc>
          <w:tcPr>
            <w:tcW w:w="56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GWh):</w:t>
            </w:r>
          </w:p>
        </w:tc>
        <w:tc>
          <w:tcPr>
            <w:tcW w:w="1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72"/>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68"/>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Weather (percentage of normal weather for service area):</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2,651,381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2,604,026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2,983,906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2,932,702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2025 compared to the three months ended March 31, 2024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Energy’s Electric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0"/>
        </w:trPr>
        <w:tc>
          <w:tcPr>
            <w:tcW w:w="8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3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3"/>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 maintenance below</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operation and maintenance below</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30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3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30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Operation and maintenance</w:t>
            </w:r>
          </w:p>
        </w:tc>
        <w:tc>
          <w:tcPr>
            <w:tcW w:w="3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and other finance charges</w:t>
            </w: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30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30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780" w:type="dxa"/>
            <w:vAlign w:val="bottom"/>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Natural Gas reportable segment, see “Risk Factors — Risk Factors Affecting Operations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r>
      <w:tr>
        <w:trPr>
          <w:trHeight w:val="161"/>
        </w:trPr>
        <w:tc>
          <w:tcPr>
            <w:tcW w:w="5640" w:type="dxa"/>
            <w:vAlign w:val="bottom"/>
          </w:tcPr>
          <w:p>
            <w:pPr>
              <w:spacing w:after="0"/>
              <w:rPr>
                <w:sz w:val="14"/>
                <w:szCs w:val="14"/>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0" w:type="dxa"/>
            <w:vAlign w:val="bottom"/>
            <w:gridSpan w:val="6"/>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(in millions, except operating statistics)</w:t>
            </w:r>
          </w:p>
        </w:tc>
        <w:tc>
          <w:tcPr>
            <w:tcW w:w="1660" w:type="dxa"/>
            <w:vAlign w:val="bottom"/>
          </w:tcPr>
          <w:p>
            <w:pPr>
              <w:spacing w:after="0"/>
              <w:rPr>
                <w:sz w:val="13"/>
                <w:szCs w:val="13"/>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1,853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1,570</w:t>
            </w: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283</w:t>
            </w:r>
          </w:p>
        </w:tc>
      </w:tr>
      <w:tr>
        <w:trPr>
          <w:trHeight w:val="148"/>
        </w:trPr>
        <w:tc>
          <w:tcPr>
            <w:tcW w:w="5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(189)</w:t>
            </w:r>
          </w:p>
        </w:tc>
      </w:tr>
      <w:tr>
        <w:trPr>
          <w:trHeight w:val="168"/>
        </w:trPr>
        <w:tc>
          <w:tcPr>
            <w:tcW w:w="5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18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5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8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r>
      <w:tr>
        <w:trPr>
          <w:trHeight w:val="158"/>
        </w:trPr>
        <w:tc>
          <w:tcPr>
            <w:tcW w:w="5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1,420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1,176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(244)</w:t>
            </w:r>
          </w:p>
        </w:tc>
      </w:tr>
      <w:tr>
        <w:trPr>
          <w:trHeight w:val="16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r>
      <w:tr>
        <w:trPr>
          <w:trHeight w:val="148"/>
        </w:trPr>
        <w:tc>
          <w:tcPr>
            <w:tcW w:w="5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5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8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8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r>
      <w:tr>
        <w:trPr>
          <w:trHeight w:val="139"/>
        </w:trPr>
        <w:tc>
          <w:tcPr>
            <w:tcW w:w="56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tcBorders>
              <w:bottom w:val="single" w:sz="8" w:color="auto"/>
            </w:tcBorders>
          </w:tcPr>
          <w:p>
            <w:pPr>
              <w:jc w:val="right"/>
              <w:ind w:right="10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283</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3"/>
                <w:szCs w:val="13"/>
                <w:color w:val="auto"/>
              </w:rPr>
              <w:t>(55)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31"/>
        </w:trPr>
        <w:tc>
          <w:tcPr>
            <w:tcW w:w="56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1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70"/>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63"/>
        </w:trPr>
        <w:tc>
          <w:tcPr>
            <w:tcW w:w="5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r>
      <w:tr>
        <w:trPr>
          <w:trHeight w:val="131"/>
        </w:trPr>
        <w:tc>
          <w:tcPr>
            <w:tcW w:w="56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8"/>
        </w:trPr>
        <w:tc>
          <w:tcPr>
            <w:tcW w:w="5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4,079,888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4,026,029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306,075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3"/>
        </w:trPr>
        <w:tc>
          <w:tcPr>
            <w:tcW w:w="56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4,385,963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4,329,047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5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2025 compared to the three months ended March 31, 2024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Energy’s Natural Gas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0"/>
        </w:trPr>
        <w:tc>
          <w:tcPr>
            <w:tcW w:w="8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3"/>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Utility natural gas and fuel</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Operation and maintenance</w:t>
            </w:r>
          </w:p>
        </w:tc>
        <w:tc>
          <w:tcPr>
            <w:tcW w:w="3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Taxes other than income taxes</w:t>
            </w:r>
          </w:p>
        </w:tc>
        <w:tc>
          <w:tcPr>
            <w:tcW w:w="3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32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Loss on sale</w:t>
            </w:r>
          </w:p>
        </w:tc>
        <w:tc>
          <w:tcPr>
            <w:tcW w:w="3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Loss on sale of Louisiana and Mississippi natural gas LDC businesses</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and other finance charges</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780" w:type="dxa"/>
            <w:vAlign w:val="bottom"/>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 and in Part II, Item 1A of this combined Form 10-Q.</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0" w:type="dxa"/>
            <w:vAlign w:val="bottom"/>
            <w:gridSpan w:val="6"/>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114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11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3"/>
        </w:trPr>
        <w:tc>
          <w:tcPr>
            <w:tcW w:w="5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 excluding Bond Companies</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 excluding Bond Companies</w:t>
            </w:r>
          </w:p>
        </w:tc>
        <w:tc>
          <w:tcPr>
            <w:tcW w:w="114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11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3"/>
        </w:trPr>
        <w:tc>
          <w:tcPr>
            <w:tcW w:w="5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2"/>
        </w:trPr>
        <w:tc>
          <w:tcPr>
            <w:tcW w:w="5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1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4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1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tcBorders>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68"/>
        </w:trPr>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68"/>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2,517,224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2,470,925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2,830,184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2,780,362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2025 compared to the three months ended March 31, 2024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Electric: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0"/>
        </w:trPr>
        <w:tc>
          <w:tcPr>
            <w:tcW w:w="8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3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3"/>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 maintenance below</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operations and maintenance below</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Operation and maintenance, excluding Bond Companies</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Bond Companies expense</w:t>
            </w:r>
          </w:p>
        </w:tc>
        <w:tc>
          <w:tcPr>
            <w:tcW w:w="3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and other finance charges</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49"/>
        </w:trPr>
        <w:tc>
          <w:tcPr>
            <w:tcW w:w="8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on Securitization Bonds</w:t>
            </w:r>
          </w:p>
        </w:tc>
        <w:tc>
          <w:tcPr>
            <w:tcW w:w="3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outstanding principal balance,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780" w:type="dxa"/>
            <w:vAlign w:val="bottom"/>
            <w:tcBorders>
              <w:bottom w:val="single" w:sz="8" w:color="CCEEFF"/>
            </w:tcBorders>
            <w:gridSpan w:val="2"/>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8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7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0"/>
        </w:trPr>
        <w:tc>
          <w:tcPr>
            <w:tcW w:w="8780" w:type="dxa"/>
            <w:vAlign w:val="bottom"/>
            <w:gridSpan w:val="2"/>
            <w:shd w:val="clear" w:color="auto" w:fill="CCEEFF"/>
          </w:tcPr>
          <w:p>
            <w:pPr>
              <w:ind w:left="84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191"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r>
      <w:tr>
        <w:trPr>
          <w:trHeight w:val="161"/>
        </w:trPr>
        <w:tc>
          <w:tcPr>
            <w:tcW w:w="5620" w:type="dxa"/>
            <w:vAlign w:val="bottom"/>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20" w:type="dxa"/>
            <w:vAlign w:val="bottom"/>
            <w:gridSpan w:val="6"/>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7"/>
              </w:rPr>
              <w:t>(in millions, except operating statistics)</w:t>
            </w:r>
          </w:p>
        </w:tc>
        <w:tc>
          <w:tcPr>
            <w:tcW w:w="1680" w:type="dxa"/>
            <w:vAlign w:val="bottom"/>
          </w:tcPr>
          <w:p>
            <w:pPr>
              <w:spacing w:after="0"/>
              <w:rPr>
                <w:sz w:val="13"/>
                <w:szCs w:val="13"/>
                <w:color w:val="auto"/>
              </w:rPr>
            </w:pP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1,512</w:t>
            </w: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276</w:t>
            </w:r>
          </w:p>
        </w:tc>
      </w:tr>
      <w:tr>
        <w:trPr>
          <w:trHeight w:val="148"/>
        </w:trPr>
        <w:tc>
          <w:tcPr>
            <w:tcW w:w="56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5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1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w:t>
            </w:r>
          </w:p>
        </w:tc>
      </w:tr>
      <w:tr>
        <w:trPr>
          <w:trHeight w:val="168"/>
        </w:trPr>
        <w:tc>
          <w:tcPr>
            <w:tcW w:w="5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r>
      <w:tr>
        <w:trPr>
          <w:trHeight w:val="158"/>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1,142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(239)</w:t>
            </w:r>
          </w:p>
        </w:tc>
      </w:tr>
      <w:tr>
        <w:trPr>
          <w:trHeight w:val="1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w:t>
            </w:r>
          </w:p>
        </w:tc>
      </w:tr>
      <w:tr>
        <w:trPr>
          <w:trHeight w:val="148"/>
        </w:trPr>
        <w:tc>
          <w:tcPr>
            <w:tcW w:w="56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5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6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6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r>
      <w:tr>
        <w:trPr>
          <w:trHeight w:val="160"/>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31"/>
        </w:trPr>
        <w:tc>
          <w:tcPr>
            <w:tcW w:w="56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1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68"/>
        </w:trPr>
        <w:tc>
          <w:tcPr>
            <w:tcW w:w="5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r>
      <w:tr>
        <w:trPr>
          <w:trHeight w:val="163"/>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r>
      <w:tr>
        <w:trPr>
          <w:trHeight w:val="131"/>
        </w:trPr>
        <w:tc>
          <w:tcPr>
            <w:tcW w:w="56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68"/>
        </w:trPr>
        <w:tc>
          <w:tcPr>
            <w:tcW w:w="5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7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8"/>
        </w:trPr>
        <w:tc>
          <w:tcPr>
            <w:tcW w:w="5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3,974,567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3,921,286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295,417</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3"/>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4,269,984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4,213,684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2025 compared to the three months ended March 31, 2024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0"/>
        </w:trPr>
        <w:tc>
          <w:tcPr>
            <w:tcW w:w="8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3"/>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below</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3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3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3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3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3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3"/>
        </w:trPr>
        <w:tc>
          <w:tcPr>
            <w:tcW w:w="8760" w:type="dxa"/>
            <w:vAlign w:val="bottom"/>
            <w:gridSpan w:val="2"/>
            <w:shd w:val="clear" w:color="auto" w:fill="CCEEFF"/>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r>
      <w:tr>
        <w:trPr>
          <w:trHeight w:val="149"/>
        </w:trPr>
        <w:tc>
          <w:tcPr>
            <w:tcW w:w="8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Utility natural gas</w:t>
            </w: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58"/>
        </w:trPr>
        <w:tc>
          <w:tcPr>
            <w:tcW w:w="8760" w:type="dxa"/>
            <w:vAlign w:val="bottom"/>
            <w:tcBorders>
              <w:bottom w:val="single" w:sz="8" w:color="CCEEFF"/>
            </w:tcBorders>
            <w:gridSpan w:val="2"/>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52"/>
        </w:trPr>
        <w:tc>
          <w:tcPr>
            <w:tcW w:w="8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3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8760" w:type="dxa"/>
            <w:vAlign w:val="bottom"/>
            <w:gridSpan w:val="2"/>
            <w:shd w:val="clear" w:color="auto" w:fill="CCEEFF"/>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49"/>
        </w:trPr>
        <w:tc>
          <w:tcPr>
            <w:tcW w:w="8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8760" w:type="dxa"/>
            <w:vAlign w:val="bottom"/>
            <w:tcBorders>
              <w:bottom w:val="single" w:sz="8" w:color="CCEEFF"/>
            </w:tcBorders>
            <w:gridSpan w:val="2"/>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8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3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8760" w:type="dxa"/>
            <w:vAlign w:val="bottom"/>
            <w:tcBorders>
              <w:bottom w:val="single" w:sz="8" w:color="CCEEFF"/>
            </w:tcBorders>
            <w:gridSpan w:val="2"/>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Gain on sale</w:t>
            </w:r>
          </w:p>
        </w:tc>
        <w:tc>
          <w:tcPr>
            <w:tcW w:w="3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58"/>
        </w:trPr>
        <w:tc>
          <w:tcPr>
            <w:tcW w:w="86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Gain on sale of Louisiana and Mississippi natural gas LDC businesses</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3"/>
        </w:trPr>
        <w:tc>
          <w:tcPr>
            <w:tcW w:w="8760" w:type="dxa"/>
            <w:vAlign w:val="bottom"/>
            <w:gridSpan w:val="2"/>
            <w:shd w:val="clear" w:color="auto" w:fill="CCEEFF"/>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49"/>
        </w:trPr>
        <w:tc>
          <w:tcPr>
            <w:tcW w:w="8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8760" w:type="dxa"/>
            <w:vAlign w:val="bottom"/>
            <w:gridSpan w:val="2"/>
            <w:shd w:val="clear" w:color="auto" w:fill="CCEEFF"/>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49"/>
        </w:trPr>
        <w:tc>
          <w:tcPr>
            <w:tcW w:w="87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2"/>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760" w:type="dxa"/>
            <w:vAlign w:val="bottom"/>
            <w:gridSpan w:val="2"/>
          </w:tcPr>
          <w:p>
            <w:pPr>
              <w:ind w:left="840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For information on other developments, factors and trends that may impact the Registrants’ future earnings, see “Management’s Discussion and Analysis of Financial Condition and Results of Operations — Certain Factors Affecting Future Earnings” in Item 7 of Part II and “Risk Factors” in Part I, Item 1A of the Registrants’ combined 2024 Form 10-K, and “Cautionary Statement Regarding Forward-Looking Information” in this combined Form 10-Q.</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during the three months ended March 31, 2025 and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418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3"/>
        </w:trPr>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center"/>
              <w:ind w:left="318"/>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provided by (used in):</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activities</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left="578"/>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3"/>
                <w:szCs w:val="13"/>
                <w:color w:val="auto"/>
              </w:rPr>
              <w:t>538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rPr>
              <w:t>241</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68"/>
        </w:trPr>
        <w:tc>
          <w:tcPr>
            <w:tcW w:w="4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Investing activities</w:t>
            </w:r>
          </w:p>
        </w:tc>
        <w:tc>
          <w:tcPr>
            <w:tcW w:w="4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(234)</w:t>
            </w:r>
          </w:p>
        </w:tc>
        <w:tc>
          <w:tcPr>
            <w:tcW w:w="16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(409)</w:t>
            </w:r>
          </w:p>
        </w:tc>
        <w:tc>
          <w:tcPr>
            <w:tcW w:w="220" w:type="dxa"/>
            <w:vAlign w:val="bottom"/>
          </w:tcPr>
          <w:p>
            <w:pPr>
              <w:spacing w:after="0"/>
              <w:rPr>
                <w:sz w:val="14"/>
                <w:szCs w:val="14"/>
                <w:color w:val="auto"/>
              </w:rPr>
            </w:pPr>
          </w:p>
        </w:tc>
        <w:tc>
          <w:tcPr>
            <w:tcW w:w="920" w:type="dxa"/>
            <w:vAlign w:val="bottom"/>
          </w:tcPr>
          <w:p>
            <w:pPr>
              <w:jc w:val="center"/>
              <w:ind w:left="538"/>
              <w:spacing w:after="0"/>
              <w:rPr>
                <w:sz w:val="20"/>
                <w:szCs w:val="20"/>
                <w:color w:val="auto"/>
              </w:rPr>
            </w:pPr>
            <w:r>
              <w:rPr>
                <w:rFonts w:ascii="Times New Roman" w:cs="Times New Roman" w:eastAsia="Times New Roman" w:hAnsi="Times New Roman"/>
                <w:sz w:val="13"/>
                <w:szCs w:val="13"/>
                <w:color w:val="auto"/>
                <w:w w:val="99"/>
              </w:rPr>
              <w:t>(360)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w w:val="99"/>
              </w:rPr>
              <w:t>(844)</w:t>
            </w:r>
          </w:p>
        </w:tc>
        <w:tc>
          <w:tcPr>
            <w:tcW w:w="180" w:type="dxa"/>
            <w:vAlign w:val="bottom"/>
          </w:tcPr>
          <w:p>
            <w:pPr>
              <w:spacing w:after="0"/>
              <w:rPr>
                <w:sz w:val="14"/>
                <w:szCs w:val="14"/>
                <w:color w:val="auto"/>
              </w:rPr>
            </w:pPr>
          </w:p>
        </w:tc>
        <w:tc>
          <w:tcPr>
            <w:tcW w:w="1020" w:type="dxa"/>
            <w:vAlign w:val="bottom"/>
          </w:tcPr>
          <w:p>
            <w:pPr>
              <w:jc w:val="center"/>
              <w:ind w:left="558"/>
              <w:spacing w:after="0"/>
              <w:rPr>
                <w:sz w:val="20"/>
                <w:szCs w:val="20"/>
                <w:color w:val="auto"/>
              </w:rPr>
            </w:pPr>
            <w:r>
              <w:rPr>
                <w:rFonts w:ascii="Times New Roman" w:cs="Times New Roman" w:eastAsia="Times New Roman" w:hAnsi="Times New Roman"/>
                <w:sz w:val="13"/>
                <w:szCs w:val="13"/>
                <w:color w:val="auto"/>
                <w:w w:val="99"/>
              </w:rPr>
              <w:t>(795)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r>
      <w:tr>
        <w:trPr>
          <w:trHeight w:val="172"/>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activities</w:t>
            </w: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1,053</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404</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3"/>
                <w:szCs w:val="13"/>
                <w:color w:val="auto"/>
                <w:w w:val="99"/>
              </w:rPr>
              <w:t>(219)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3"/>
                <w:szCs w:val="13"/>
                <w:color w:val="auto"/>
              </w:rPr>
              <w:t>376</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rPr>
              <w:t>587</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bl>
    <w:p>
      <w:pPr>
        <w:spacing w:after="0" w:line="23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 for the three months ended March 31, 2025 compared to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March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40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net income after adjusting for non-cash items</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working capital</w:t>
            </w:r>
          </w:p>
        </w:tc>
        <w:tc>
          <w:tcPr>
            <w:tcW w:w="1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current regulatory assets and liabilities</w:t>
            </w: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68"/>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non-current regulatory assets and liabilities</w:t>
            </w:r>
          </w:p>
        </w:tc>
        <w:tc>
          <w:tcPr>
            <w:tcW w:w="1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Higher pension contribution</w:t>
            </w: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85"/>
        </w:trPr>
        <w:tc>
          <w:tcPr>
            <w:tcW w:w="58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 for the three months ended March 31, 2025 compared to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2024:</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20" w:type="dxa"/>
            <w:vAlign w:val="bottom"/>
          </w:tcPr>
          <w:p>
            <w:pPr>
              <w:spacing w:after="0"/>
              <w:rPr>
                <w:sz w:val="12"/>
                <w:szCs w:val="12"/>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8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capital expenditures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4"/>
                <w:szCs w:val="14"/>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notes receivable from affiliated companies</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divestiture</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0" w:type="dxa"/>
            <w:vAlign w:val="bottom"/>
          </w:tcPr>
          <w:p>
            <w:pPr>
              <w:spacing w:after="0"/>
              <w:rPr>
                <w:sz w:val="1"/>
                <w:szCs w:val="1"/>
                <w:color w:val="auto"/>
              </w:rPr>
            </w:pPr>
          </w:p>
        </w:tc>
      </w:tr>
      <w:tr>
        <w:trPr>
          <w:trHeight w:val="17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 for the three months ended March 31, 2025 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March 31, 2024:</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8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commercial paper outstanding</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changes in proceeds from issuances of Common Stock</w:t>
            </w:r>
          </w:p>
        </w:tc>
        <w:tc>
          <w:tcPr>
            <w:tcW w:w="14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long-term debt and term loans outstanding, excluding commercial paper</w:t>
            </w:r>
          </w:p>
        </w:tc>
        <w:tc>
          <w:tcPr>
            <w:tcW w:w="14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changes in debt issuance costs</w:t>
            </w:r>
          </w:p>
        </w:tc>
        <w:tc>
          <w:tcPr>
            <w:tcW w:w="14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short-term borrowings</w:t>
            </w:r>
          </w:p>
        </w:tc>
        <w:tc>
          <w:tcPr>
            <w:tcW w:w="14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Increased payment of Common Stock dividends</w:t>
            </w:r>
          </w:p>
        </w:tc>
        <w:tc>
          <w:tcPr>
            <w:tcW w:w="14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contribution from parent</w:t>
            </w:r>
          </w:p>
        </w:tc>
        <w:tc>
          <w:tcPr>
            <w:tcW w:w="14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Change in dividend to parent</w:t>
            </w:r>
          </w:p>
        </w:tc>
        <w:tc>
          <w:tcPr>
            <w:tcW w:w="14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4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46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liquidity and capital requirements of the Registrants are affected primarily by results of operations, capital expenditures, storm restoration costs, debt service requirements, tax payments, working capital needs and various regulatory actions. Capital expenditures (other than expenditures associated with the May 2024 Storm Events and Hurricane Beryl) are expected to be used for investment in infrastructure. These capital expenditures are anticipated to enhance reliability and safety, increase resiliency and expand our systems through value-added projects. In addition to dividend payments on CenterPoint Energy’s Common Stock and interest payments on debt, the Registrants’ principal anticipated cash requirements for the remainder of 2025 include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Pr>
          <w:p>
            <w:pPr>
              <w:spacing w:after="0"/>
              <w:rPr>
                <w:sz w:val="12"/>
                <w:szCs w:val="12"/>
                <w:color w:val="auto"/>
              </w:rPr>
            </w:pPr>
          </w:p>
        </w:tc>
        <w:tc>
          <w:tcPr>
            <w:tcW w:w="1480" w:type="dxa"/>
            <w:vAlign w:val="bottom"/>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46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 (1)</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3,764</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2,139</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0" w:type="dxa"/>
            <w:vAlign w:val="bottom"/>
          </w:tcPr>
          <w:p>
            <w:pPr>
              <w:spacing w:after="0"/>
              <w:rPr>
                <w:sz w:val="1"/>
                <w:szCs w:val="1"/>
                <w:color w:val="auto"/>
              </w:rPr>
            </w:pPr>
          </w:p>
        </w:tc>
      </w:tr>
      <w:tr>
        <w:trPr>
          <w:trHeight w:val="168"/>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Estimated restoration costs associated with May 2024 Storm Events (2)</w:t>
            </w:r>
          </w:p>
        </w:tc>
        <w:tc>
          <w:tcPr>
            <w:tcW w:w="22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w:t>
            </w:r>
          </w:p>
        </w:tc>
        <w:tc>
          <w:tcPr>
            <w:tcW w:w="380" w:type="dxa"/>
            <w:vAlign w:val="bottom"/>
          </w:tcPr>
          <w:p>
            <w:pPr>
              <w:spacing w:after="0"/>
              <w:rPr>
                <w:sz w:val="14"/>
                <w:szCs w:val="14"/>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3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22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55</w:t>
            </w:r>
          </w:p>
        </w:tc>
        <w:tc>
          <w:tcPr>
            <w:tcW w:w="380" w:type="dxa"/>
            <w:vAlign w:val="bottom"/>
          </w:tcPr>
          <w:p>
            <w:pPr>
              <w:spacing w:after="0"/>
              <w:rPr>
                <w:sz w:val="14"/>
                <w:szCs w:val="14"/>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expenditures for the restoration costs associated with the May 2024 Storm Events.</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requirements associated with the estimated storm restoration costs for the remainder of 2025.</w:t>
      </w:r>
    </w:p>
    <w:p>
      <w:pPr>
        <w:spacing w:after="0" w:line="18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expect that anticipated cash needs for the remainder of 2025 will be met with available cash flow from operations, as well as cash flows from financing (such as incremental bond issuances including securitization, borrowings under credit facilities, commercial paper issuances or other sources) and investing activities (such as proceeds from divestitures). Such activities may include the issuance of securities in the capital markets as well as proceeds from divestitures. The issuance of securities in the capital markets and borrowings under additional credit facilities and term loans may not, however, be available on acceptable terms. The Registrants may also, from time to time, redeem, repurchase or otherwise acquire their outstanding debt securities through open market purchases, tender offers or pursuant to the terms of such securities.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the May 2024 Storm Events and Hurricane Beryl, see Note 6 to the Interim Condensed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9 and guarantees as discussed in Note 11(c) to the Interim Condensed Financial Statements, the Registrants have no off-balance sheet arrangements.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Houston Electric’s TEEEF,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Hurricane Beryl,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the May 2024 Storm Events,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BTAs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February 7, 2023, Indiana Electric filed a CPCN with the IURC to approve an amended BTA to purchase the 191 MW Posey Solar project. With the passage of the IRA, Indiana Electric can now pursue PTCs for solar projects. Indiana Electric requested that project costs, net of PTCs, be recovered in rate base rather than a levelized rate, through base rates or the CECA mechanism, depending on which provides more timely recovery. On September 6, 2023, the IURC issued an order approving the CPCN. On March 7, 2025, SIGECO completed the acquisition of Posey Solar from Arevon for a purchase price of approximately $357 million. Subsequent to the acquisition, and pursuant to the Posey Solar Merger Agreement, Posey Solar was merged into SIGECO. The Posey Solar project is expected to be placed in service in the second quarter of 2025 and recovered through base rates. For further information, see Note 3 to the Interim Condensed Financial Statements.</w:t>
      </w:r>
    </w:p>
    <w:p>
      <w:pPr>
        <w:spacing w:after="0" w:line="16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10, 2023, Indiana Electric filed a CPCN with the IURC to acquire a wind energy generating facility with installed capacity of 200 MWs through a BTA, consistent with its 2019/2020 IRP that calls for up to 300 MWs of wind generation. The wind project is located in MISO’s Central Region. Indiana Electric received approval from the IURC to recover the costs of the wind facility via the CECA mechanism, which is expected to be placed in service by the end of 2026. On June 6, 2023, the IURC issued an order approving the CPCN, thereby authorizing Indiana Electric to purchase the wind generating facility. However, as of the date of the filing of this combined Form 10-Q, Indiana Electric has not entered into any definitive agreement relating to this wind energy generating facility, and it is not certain that a definitive agreement will be entered into at all.</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Indiana Electric sought approval in February 2021 for a 100 MW solar PPA with Clenera LLC in Warrick County, Indiana. The request accounted for increased cost of debt related to this PPA, which provides equivalent equity return to offset imputed debt during the 25-year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and estimated interconnection cost increases, Indiana Electric and Clenera LLC have entered into discussions regarding the future of the project, which is expected to result in the termination of the PPA.</w:t>
      </w:r>
    </w:p>
    <w:p>
      <w:pPr>
        <w:spacing w:after="0" w:line="1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4"/>
          <w:szCs w:val="14"/>
          <w:color w:val="auto"/>
          <w:highlight w:val="white"/>
        </w:rPr>
        <w:t>Oriden,</w:t>
      </w:r>
      <w:r>
        <w:rPr>
          <w:rFonts w:ascii="Times New Roman" w:cs="Times New Roman" w:eastAsia="Times New Roman" w:hAnsi="Times New Roman"/>
          <w:sz w:val="14"/>
          <w:szCs w:val="14"/>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will be delayed from 2024 to 2026. On January 17, 2023, Indiana Electric filed a request with the IURC to amend the previously approved PPA with Oriden with</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would be delayed to 2028. As of March 31, 2025, Indiana Electric and Oriden had entered into additional discussions regarding the future of the solar project in Vermillion County, Indiana, which is expected to result in the termination of the PPA.</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early 2026.</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April 14, 2025, Indiana Electric filed with the IURC seeking approval to purchase 170 MW of wind power under a 25-year PPA with an affiliate of NextEra Energy, Inc., which is developing a wind project in Tama County, Iowa. The facility is targeted to be in operation by the fourth quarter of 2025. Indiana Electric expects a decision from the IURC in the fourth quarter of 2025. If Indiana Electric’s request is approved, the power purchase costs will be recovered through the fuel adjustment clause proceedings over the term of the PPA.</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Natural Gas Combustion Turbines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 mile pipeline is constructed and operated by Texas Gas Transmission, LLC to supply natural gas to the turbine facility. FERC granted a certificate to construct the pipeline on October 20, 2022. On January 7, 2025, the United States Court of Appeals for the D.C. Circuit affirmed the FERC’s order granting the certificate. Indiana Electric granted its contractor a full notice to proceed to construct the turbines on December 9, 2022. It is expected that 230 MW of the facility will be operational in the second quarter of 2025, and, due to a transformer manufacturing issue, that the remaining 230 MW of the facility will be operational in the third quarter of 2025.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Indiana Electric received approval from the IURC on February 3, 2025, to recover for each combustion turbine by adjusting base rates as they are placed in service.</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will monitor the 89th Texas Legislature for legislation that may impact their businesses.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Solar Panel Issues (CenterPoint Energy)</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DOC antidumping and countervailing duties investigation(s), (ii) the December 2021 Uyghur Forced Labor Prevention Act on solar modules and other products manufactured in China’s Xinjiang Uyghur Autonomous Region and (iii) persistent general global supply chain and labor availability issues. On May 15, 2024, based on a petition filed by the American Alliance for Solar Manufacturing Trade Committee, the DOC announced the initiation of antidumping and countervailing duty investigations of silicon photovoltaic cells from Cambodia, Malaysia, Thailand, and Vietnam. On October 1, 2024, the DOC’s preliminary countervailing duty determination affirmed the petition and established preliminary duty rates. Subsequently, on November 29, 2024, the DOC announced its preliminary affirmative determination in the antidumping investigation and established preliminary dumping rates. On April 21, 2025, the DOC announced its final affirmative determinations in the antidumping and countervailing duty investigations, determining that imports of silicon photovoltaic cells from the aforementioned countries are being dumped into the U.S. market and receiving countervailable subsidies. The International Trade Commission (the “ITC”) has until June 2, 2025 to make its final injury determination. If the ITC makes an affirmative country-specific final injury determination, the DOC will impose certain duty rates on imports of silicon photovoltaic cells from the aforementioned countries. Furthermore, in 2025, the U.S. government has announced and, in certain cases, rescinded, multiple tariffs on several foreign jurisdictions and imports into the United States. Increased tariffs by the United States have led, and may continue to lead, to the imposition of retaliatory tariffs or other measures taken by foreign jurisdictions, which may in turn lead to additional tariffs imposed or measures taken by the United States. These tariffs, as well as new legislation, tariffs, bans, retaliatory trade measures or related governmental action, have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already, and may continue to, further negatively impact the supply of solar panels. In addition to supply reductions, these or similar duties, legislation, tariffs, bans and other measures have and may in the future also put upward pressure on prices of these solar energy products, which may reduce our ability to acquire these items in a timely and cost-efficient manner. These impacts have resulted, and may continue to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“Risk Factors” in Part I, Item 1A of the Registrants’ combined 2024 Form 10-K.</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Transmission and Distribution System Resiliency Plan (CenterPoint Energy and Houston Electric)</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Following feedback from customers, external experts and other stakeholders, including elected officials and local agencies, Houston Electric filed a revised SRP with the PUCT on January 31, 2025 for review and approval. The SRP proposes to invest approximately $5.75 billion over a three-year period from 2026 to 2028 for transmission and distribution infrastructure, information technology and cybersecurity assets and event response capability. This plan proposes 39 resiliency-enhancing measures and a microgrid pilot program to be implemented over the three-year period. The SRP has an estimated capital cost of approximately $5.54 billion and an estimated operations and maintenance expense of approximately $211 million. Approximately $2.17 billion of such cost is for transmission-related investments, and approximately $3.58 billion is for distribution-related investments. Intervenor testimony was filed on April 8, 2025, and PUCT staff testimony was filed on April 15, 2025. All parties have agreed to mediation led by the State Office of Administrative Hearings on April 29, 2025. Houston Electric’s rebuttal is due by May 1, 2025. A hearing on the merits is scheduled for May 12, 2025 through May 14, 2025 and a decision from the PUCT is anticipated in the third quarter of 2025.</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ECA, CECA and TDSIC), its decoupling mechanism (e.g., decoupling and SRC), and its energy efficiency cost trackers (e.g., CIP, DSMA, EECRF, EEFC and EEFR).</w:t>
      </w:r>
    </w:p>
    <w:p>
      <w:pPr>
        <w:spacing w:after="0" w:line="1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Minnesota Gas Rate Case. </w:t>
      </w:r>
      <w:r>
        <w:rPr>
          <w:rFonts w:ascii="Times New Roman" w:cs="Times New Roman" w:eastAsia="Times New Roman" w:hAnsi="Times New Roman"/>
          <w:sz w:val="14"/>
          <w:szCs w:val="14"/>
          <w:color w:val="auto"/>
        </w:rPr>
        <w:t>On November 1, 2023, CERC filed an application with the MPUC requesting an adjustment to delivery charges in 2024 and 2025 for the natural gas business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Minnesota. The requested increase is approximately 6.5% or $85 million for 2024 and an additional approximately 3.7% or $52 million for 2025. The need for a rate change is primarily driven by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for 2024 of $69 million, subject to refund, were implemented as of January 1, 2024. A request for interim rates of $33 million for 2025 was filed on September 30, 2024, approved at the December 3, 2024 hearing and approved by an order issued December 20, 2024. A unanimous settlement agreement was filed on November 25, 2024. The settlement provided for an increase of $60.8 million for 2024 and an additional $42.7 million for 2025. The parties agreed to an overall cost of capital of 7.07% for 2024 and 2025. The ALJ filed a report on February 13, 2025 recommending that the MPUC approve the settlement agreement. As required by the December 20, 2024 order, the difference between 2024 interim rates and the settled amount of $60.8 million was refunded to customers in March 2025. Exceptions to the ALJ report were filed on April 18, 2025. The anticipated decision date of the rate case is July 1, 2025.</w:t>
      </w:r>
    </w:p>
    <w:p>
      <w:pPr>
        <w:spacing w:after="0" w:line="16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Houston Electric Rate Case. </w:t>
      </w:r>
      <w:r>
        <w:rPr>
          <w:rFonts w:ascii="Times New Roman" w:cs="Times New Roman" w:eastAsia="Times New Roman" w:hAnsi="Times New Roman"/>
          <w:sz w:val="14"/>
          <w:szCs w:val="14"/>
          <w:color w:val="auto"/>
        </w:rPr>
        <w:t>On March 6, 2024, Houston Electric filed an application with the PUCT requesting authority to change rates and charges for electric transmission and distribution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The requested increase was approximately $17 million (1%) for retail customers and $43 million (6.6%) for wholesale transmission service, excluding TCRF and rate case expenses. The need for a rate increase was primarily driven by continuing investment that has been made to support customer growth and to bolster the safety and reliability of Houston Electric’s transmission and distribution system. The request reflected a proposed 10.4% ROE and a 45% equity ratio. Errata testimony was filed to correct minor errors included in the initial filing which reduced the requested increase to $56 million compared to then-current rates. Houston Electric reached a settlement agreement with certain parties and submitted the agreement to the PUCT on January 29, 2025. The settlement reflects a $47 million reduction in annual revenues and a 9.65% ROE and a weighted average cost of capital of 6.606% based upon an as-filed 4.29% cost of debt, an agreed ROE of 9.65% and an agreed regulatory capital structure of 56.75% long-term debt and 43.25% equity. A final order approving the settlement agreement was issued by the PUCT on March 13, 2025.</w:t>
      </w:r>
    </w:p>
    <w:p>
      <w:pPr>
        <w:spacing w:after="0" w:line="16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Ohio Gas Rate Case</w:t>
      </w:r>
      <w:r>
        <w:rPr>
          <w:rFonts w:ascii="Times New Roman" w:cs="Times New Roman" w:eastAsia="Times New Roman" w:hAnsi="Times New Roman"/>
          <w:sz w:val="14"/>
          <w:szCs w:val="14"/>
          <w:color w:val="auto"/>
        </w:rPr>
        <w:t>. CEOH filed its Application and Standard Filing Requirement in October 2024 and the related testimony in November 2024. The filing seeks a revenue requirement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approximately $100 million based on a requested return on equity of 10.4% and an equity percentage of 45.87%. The need for a rate increase was primarily driven by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continuing investment in the safety and reliability of the natural gas system. A final order is expected no sooner than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2024 Form 10-K was filed with the SEC through the date of the filing of this combined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1"/>
                <w:szCs w:val="11"/>
                <w:color w:val="auto"/>
              </w:rPr>
            </w:pPr>
          </w:p>
        </w:tc>
        <w:tc>
          <w:tcPr>
            <w:tcW w:w="122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8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320" w:type="dxa"/>
            <w:vAlign w:val="bottom"/>
          </w:tcPr>
          <w:p>
            <w:pPr>
              <w:spacing w:after="0"/>
              <w:rPr>
                <w:sz w:val="9"/>
                <w:szCs w:val="9"/>
                <w:color w:val="auto"/>
              </w:rPr>
            </w:pPr>
          </w:p>
        </w:tc>
        <w:tc>
          <w:tcPr>
            <w:tcW w:w="900" w:type="dxa"/>
            <w:vAlign w:val="bottom"/>
          </w:tcPr>
          <w:p>
            <w:pPr>
              <w:jc w:val="center"/>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(Decrease) </w:t>
            </w:r>
            <w:r>
              <w:rPr>
                <w:rFonts w:ascii="Times New Roman" w:cs="Times New Roman" w:eastAsia="Times New Roman" w:hAnsi="Times New Roman"/>
                <w:sz w:val="8"/>
                <w:szCs w:val="8"/>
                <w:b w:val="1"/>
                <w:bCs w:val="1"/>
                <w:color w:val="auto"/>
              </w:rPr>
              <w:t>(1)</w:t>
            </w:r>
          </w:p>
        </w:tc>
        <w:tc>
          <w:tcPr>
            <w:tcW w:w="980" w:type="dxa"/>
            <w:vAlign w:val="bottom"/>
            <w:vMerge w:val="continue"/>
          </w:tcPr>
          <w:p>
            <w:pPr>
              <w:spacing w:after="0"/>
              <w:rPr>
                <w:sz w:val="9"/>
                <w:szCs w:val="9"/>
                <w:color w:val="auto"/>
              </w:rPr>
            </w:pPr>
          </w:p>
        </w:tc>
        <w:tc>
          <w:tcPr>
            <w:tcW w:w="96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2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920" w:type="dxa"/>
            <w:vAlign w:val="bottom"/>
            <w:vMerge w:val="restart"/>
          </w:tcPr>
          <w:p>
            <w:pPr>
              <w:ind w:left="244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27"/>
        </w:trPr>
        <w:tc>
          <w:tcPr>
            <w:tcW w:w="11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6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5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Rate Case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March 2024</w:t>
            </w:r>
          </w:p>
        </w:tc>
        <w:tc>
          <w:tcPr>
            <w:tcW w:w="96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April 2025</w:t>
            </w:r>
          </w:p>
        </w:tc>
        <w:tc>
          <w:tcPr>
            <w:tcW w:w="10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March 2025</w:t>
            </w: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Houston Electric Rate Case</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118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rPr>
              <w:t>TCOS</w:t>
            </w:r>
          </w:p>
        </w:tc>
        <w:tc>
          <w:tcPr>
            <w:tcW w:w="3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06"/>
              <w:spacing w:after="0" w:line="110" w:lineRule="exact"/>
              <w:rPr>
                <w:sz w:val="20"/>
                <w:szCs w:val="20"/>
                <w:color w:val="auto"/>
              </w:rPr>
            </w:pPr>
            <w:r>
              <w:rPr>
                <w:rFonts w:ascii="Times New Roman" w:cs="Times New Roman" w:eastAsia="Times New Roman" w:hAnsi="Times New Roman"/>
                <w:sz w:val="11"/>
                <w:szCs w:val="11"/>
                <w:color w:val="auto"/>
              </w:rPr>
              <w:t>64</w:t>
            </w:r>
          </w:p>
        </w:tc>
        <w:tc>
          <w:tcPr>
            <w:tcW w:w="9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February 2025</w:t>
            </w:r>
          </w:p>
        </w:tc>
        <w:tc>
          <w:tcPr>
            <w:tcW w:w="960" w:type="dxa"/>
            <w:vAlign w:val="bottom"/>
          </w:tcPr>
          <w:p>
            <w:pPr>
              <w:jc w:val="center"/>
              <w:ind w:left="4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102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592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base rate proceeding of approximately $614 million for the period</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January 1, 2024 through December 31, 2024.</w:t>
            </w:r>
          </w:p>
        </w:tc>
        <w:tc>
          <w:tcPr>
            <w:tcW w:w="0" w:type="dxa"/>
            <w:vAlign w:val="bottom"/>
          </w:tcPr>
          <w:p>
            <w:pPr>
              <w:spacing w:after="0"/>
              <w:rPr>
                <w:sz w:val="1"/>
                <w:szCs w:val="1"/>
                <w:color w:val="auto"/>
              </w:rPr>
            </w:pPr>
          </w:p>
        </w:tc>
      </w:tr>
      <w:tr>
        <w:trPr>
          <w:trHeight w:val="114"/>
        </w:trPr>
        <w:tc>
          <w:tcPr>
            <w:tcW w:w="1180" w:type="dxa"/>
            <w:vAlign w:val="bottom"/>
            <w:shd w:val="clear" w:color="auto" w:fill="CCEEFF"/>
          </w:tcPr>
          <w:p>
            <w:pPr>
              <w:jc w:val="center"/>
              <w:ind w:left="63"/>
              <w:spacing w:after="0" w:line="114" w:lineRule="exact"/>
              <w:rPr>
                <w:sz w:val="20"/>
                <w:szCs w:val="20"/>
                <w:color w:val="auto"/>
              </w:rPr>
            </w:pPr>
            <w:r>
              <w:rPr>
                <w:rFonts w:ascii="Times New Roman" w:cs="Times New Roman" w:eastAsia="Times New Roman" w:hAnsi="Times New Roman"/>
                <w:sz w:val="11"/>
                <w:szCs w:val="11"/>
                <w:color w:val="auto"/>
              </w:rPr>
              <w:t>DCRF</w:t>
            </w:r>
          </w:p>
        </w:tc>
        <w:tc>
          <w:tcPr>
            <w:tcW w:w="3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06"/>
              <w:spacing w:after="0" w:line="114" w:lineRule="exact"/>
              <w:rPr>
                <w:sz w:val="20"/>
                <w:szCs w:val="20"/>
                <w:color w:val="auto"/>
              </w:rPr>
            </w:pPr>
            <w:r>
              <w:rPr>
                <w:rFonts w:ascii="Times New Roman" w:cs="Times New Roman" w:eastAsia="Times New Roman" w:hAnsi="Times New Roman"/>
                <w:sz w:val="11"/>
                <w:szCs w:val="11"/>
                <w:color w:val="auto"/>
              </w:rPr>
              <w:t>123</w:t>
            </w:r>
          </w:p>
        </w:tc>
        <w:tc>
          <w:tcPr>
            <w:tcW w:w="98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rPr>
              <w:t>February 2025</w:t>
            </w:r>
          </w:p>
        </w:tc>
        <w:tc>
          <w:tcPr>
            <w:tcW w:w="960" w:type="dxa"/>
            <w:vAlign w:val="bottom"/>
            <w:shd w:val="clear" w:color="auto" w:fill="CCEEFF"/>
          </w:tcPr>
          <w:p>
            <w:pPr>
              <w:jc w:val="center"/>
              <w:ind w:left="43"/>
              <w:spacing w:after="0" w:line="114" w:lineRule="exact"/>
              <w:rPr>
                <w:sz w:val="20"/>
                <w:szCs w:val="20"/>
                <w:color w:val="auto"/>
              </w:rPr>
            </w:pPr>
            <w:r>
              <w:rPr>
                <w:rFonts w:ascii="Times New Roman" w:cs="Times New Roman" w:eastAsia="Times New Roman" w:hAnsi="Times New Roman"/>
                <w:sz w:val="11"/>
                <w:szCs w:val="11"/>
                <w:color w:val="auto"/>
                <w:w w:val="99"/>
              </w:rPr>
              <w:t>TBD</w:t>
            </w:r>
          </w:p>
        </w:tc>
        <w:tc>
          <w:tcPr>
            <w:tcW w:w="1020" w:type="dxa"/>
            <w:vAlign w:val="bottom"/>
            <w:shd w:val="clear" w:color="auto" w:fill="CCEEFF"/>
          </w:tcPr>
          <w:p>
            <w:pPr>
              <w:jc w:val="center"/>
              <w:ind w:left="63"/>
              <w:spacing w:after="0" w:line="114" w:lineRule="exact"/>
              <w:rPr>
                <w:sz w:val="20"/>
                <w:szCs w:val="20"/>
                <w:color w:val="auto"/>
              </w:rPr>
            </w:pPr>
            <w:r>
              <w:rPr>
                <w:rFonts w:ascii="Times New Roman" w:cs="Times New Roman" w:eastAsia="Times New Roman" w:hAnsi="Times New Roman"/>
                <w:sz w:val="11"/>
                <w:szCs w:val="11"/>
                <w:color w:val="auto"/>
                <w:w w:val="99"/>
              </w:rPr>
              <w:t>TBD</w:t>
            </w:r>
          </w:p>
        </w:tc>
        <w:tc>
          <w:tcPr>
            <w:tcW w:w="59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$1 billion for the</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9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period January 1, 2024 through December 31, 2024, for an incremental revenue increase of $123 million adjusted for load</w:t>
            </w: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growth.</w:t>
            </w:r>
          </w:p>
        </w:tc>
        <w:tc>
          <w:tcPr>
            <w:tcW w:w="0" w:type="dxa"/>
            <w:vAlign w:val="bottom"/>
          </w:tcPr>
          <w:p>
            <w:pPr>
              <w:spacing w:after="0"/>
              <w:rPr>
                <w:sz w:val="1"/>
                <w:szCs w:val="1"/>
                <w:color w:val="auto"/>
              </w:rPr>
            </w:pPr>
          </w:p>
        </w:tc>
      </w:tr>
      <w:tr>
        <w:trPr>
          <w:trHeight w:val="110"/>
        </w:trPr>
        <w:tc>
          <w:tcPr>
            <w:tcW w:w="118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rPr>
              <w:t>TEEEF</w:t>
            </w:r>
          </w:p>
        </w:tc>
        <w:tc>
          <w:tcPr>
            <w:tcW w:w="3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6"/>
              <w:spacing w:after="0" w:line="110" w:lineRule="exact"/>
              <w:rPr>
                <w:sz w:val="20"/>
                <w:szCs w:val="20"/>
                <w:color w:val="auto"/>
              </w:rPr>
            </w:pPr>
            <w:r>
              <w:rPr>
                <w:rFonts w:ascii="Times New Roman" w:cs="Times New Roman" w:eastAsia="Times New Roman" w:hAnsi="Times New Roman"/>
                <w:sz w:val="11"/>
                <w:szCs w:val="11"/>
                <w:color w:val="auto"/>
              </w:rPr>
              <w:t>(24)</w:t>
            </w:r>
          </w:p>
        </w:tc>
        <w:tc>
          <w:tcPr>
            <w:tcW w:w="9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April 2025</w:t>
            </w:r>
          </w:p>
        </w:tc>
        <w:tc>
          <w:tcPr>
            <w:tcW w:w="960" w:type="dxa"/>
            <w:vAlign w:val="bottom"/>
          </w:tcPr>
          <w:p>
            <w:pPr>
              <w:jc w:val="center"/>
              <w:ind w:left="4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102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592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Seeks approval of: (1) a proposal to release Houston Electric’s 15 large 32 MW TEEEF units to ERCOT and CPS Energy</w:t>
            </w: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beginning on or around May 1, 2025 to address a potential shortfall and Load Shed risk and provide support to the San Antonio</w:t>
            </w:r>
          </w:p>
        </w:tc>
        <w:tc>
          <w:tcPr>
            <w:tcW w:w="0" w:type="dxa"/>
            <w:vAlign w:val="bottom"/>
          </w:tcPr>
          <w:p>
            <w:pPr>
              <w:spacing w:after="0"/>
              <w:rPr>
                <w:sz w:val="1"/>
                <w:szCs w:val="1"/>
                <w:color w:val="auto"/>
              </w:rPr>
            </w:pPr>
          </w:p>
        </w:tc>
      </w:tr>
    </w:tbl>
    <w:p>
      <w:pPr>
        <w:ind w:left="5460" w:right="20"/>
        <w:spacing w:after="0" w:line="211" w:lineRule="auto"/>
        <w:rPr>
          <w:sz w:val="20"/>
          <w:szCs w:val="20"/>
          <w:color w:val="auto"/>
        </w:rPr>
      </w:pPr>
      <w:r>
        <w:rPr>
          <w:rFonts w:ascii="Times New Roman" w:cs="Times New Roman" w:eastAsia="Times New Roman" w:hAnsi="Times New Roman"/>
          <w:sz w:val="11"/>
          <w:szCs w:val="11"/>
          <w:color w:val="auto"/>
        </w:rPr>
        <w:t>region; (2) a corresponding reduction to the capacity of the Houston Electric TEEEF fleet; and (3) a reduction and update to Houston Electric’s rider TEEEF rate to reflect the removal of the 15 large 32 MW TEEEF units from Houston Electric’s TEEEF</w:t>
      </w:r>
    </w:p>
    <w:p>
      <w:pPr>
        <w:ind w:left="5460" w:right="60"/>
        <w:spacing w:after="0" w:line="238" w:lineRule="auto"/>
        <w:rPr>
          <w:sz w:val="20"/>
          <w:szCs w:val="20"/>
          <w:color w:val="auto"/>
        </w:rPr>
      </w:pPr>
      <w:r>
        <w:rPr>
          <w:rFonts w:ascii="Times New Roman" w:cs="Times New Roman" w:eastAsia="Times New Roman" w:hAnsi="Times New Roman"/>
          <w:sz w:val="11"/>
          <w:szCs w:val="11"/>
          <w:color w:val="auto"/>
        </w:rPr>
        <w:t>fleet. Houston Electric will make no revenue or profit from ERCOT for the time period when the 15 large 32 MW TEEEF units are in the San Antonio area being dispatched by ERCOT.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10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200" w:type="dxa"/>
            <w:vAlign w:val="bottom"/>
            <w:tcBorders>
              <w:top w:val="single" w:sz="8" w:color="auto"/>
            </w:tcBorders>
          </w:tcPr>
          <w:p>
            <w:pPr>
              <w:jc w:val="center"/>
              <w:ind w:left="63"/>
              <w:spacing w:after="0" w:line="120" w:lineRule="exact"/>
              <w:rPr>
                <w:sz w:val="20"/>
                <w:szCs w:val="20"/>
                <w:color w:val="auto"/>
              </w:rPr>
            </w:pPr>
            <w:r>
              <w:rPr>
                <w:rFonts w:ascii="Times New Roman" w:cs="Times New Roman" w:eastAsia="Times New Roman" w:hAnsi="Times New Roman"/>
                <w:sz w:val="11"/>
                <w:szCs w:val="11"/>
                <w:color w:val="auto"/>
              </w:rPr>
              <w:t>Tax Act Rider</w:t>
            </w:r>
          </w:p>
        </w:tc>
        <w:tc>
          <w:tcPr>
            <w:tcW w:w="580" w:type="dxa"/>
            <w:vAlign w:val="bottom"/>
            <w:tcBorders>
              <w:top w:val="single" w:sz="8" w:color="auto"/>
            </w:tcBorders>
          </w:tcPr>
          <w:p>
            <w:pPr>
              <w:jc w:val="right"/>
              <w:ind w:right="263"/>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83"/>
              <w:spacing w:after="0" w:line="120" w:lineRule="exact"/>
              <w:rPr>
                <w:sz w:val="20"/>
                <w:szCs w:val="20"/>
                <w:color w:val="auto"/>
              </w:rPr>
            </w:pPr>
            <w:r>
              <w:rPr>
                <w:rFonts w:ascii="Times New Roman" w:cs="Times New Roman" w:eastAsia="Times New Roman" w:hAnsi="Times New Roman"/>
                <w:sz w:val="11"/>
                <w:szCs w:val="11"/>
                <w:color w:val="auto"/>
              </w:rPr>
              <w:t>20</w:t>
            </w:r>
          </w:p>
        </w:tc>
        <w:tc>
          <w:tcPr>
            <w:tcW w:w="1140" w:type="dxa"/>
            <w:vAlign w:val="bottom"/>
            <w:tcBorders>
              <w:top w:val="single" w:sz="8" w:color="auto"/>
            </w:tcBorders>
          </w:tcPr>
          <w:p>
            <w:pPr>
              <w:jc w:val="center"/>
              <w:ind w:right="103"/>
              <w:spacing w:after="0" w:line="120" w:lineRule="exact"/>
              <w:rPr>
                <w:sz w:val="20"/>
                <w:szCs w:val="20"/>
                <w:color w:val="auto"/>
              </w:rPr>
            </w:pPr>
            <w:r>
              <w:rPr>
                <w:rFonts w:ascii="Times New Roman" w:cs="Times New Roman" w:eastAsia="Times New Roman" w:hAnsi="Times New Roman"/>
                <w:sz w:val="11"/>
                <w:szCs w:val="11"/>
                <w:color w:val="auto"/>
              </w:rPr>
              <w:t>August 2024</w:t>
            </w:r>
          </w:p>
        </w:tc>
        <w:tc>
          <w:tcPr>
            <w:tcW w:w="560" w:type="dxa"/>
            <w:vAlign w:val="bottom"/>
            <w:tcBorders>
              <w:top w:val="single" w:sz="8" w:color="auto"/>
            </w:tcBorders>
          </w:tcPr>
          <w:p>
            <w:pPr>
              <w:ind w:left="280"/>
              <w:spacing w:after="0" w:line="120" w:lineRule="exact"/>
              <w:rPr>
                <w:sz w:val="20"/>
                <w:szCs w:val="20"/>
                <w:color w:val="auto"/>
              </w:rPr>
            </w:pPr>
            <w:r>
              <w:rPr>
                <w:rFonts w:ascii="Times New Roman" w:cs="Times New Roman" w:eastAsia="Times New Roman" w:hAnsi="Times New Roman"/>
                <w:sz w:val="11"/>
                <w:szCs w:val="11"/>
                <w:color w:val="auto"/>
              </w:rPr>
              <w:t>TBD</w:t>
            </w:r>
          </w:p>
        </w:tc>
        <w:tc>
          <w:tcPr>
            <w:tcW w:w="1160" w:type="dxa"/>
            <w:vAlign w:val="bottom"/>
            <w:tcBorders>
              <w:top w:val="single" w:sz="8" w:color="auto"/>
            </w:tcBorders>
          </w:tcPr>
          <w:p>
            <w:pPr>
              <w:ind w:left="720"/>
              <w:spacing w:after="0" w:line="120" w:lineRule="exact"/>
              <w:rPr>
                <w:sz w:val="20"/>
                <w:szCs w:val="20"/>
                <w:color w:val="auto"/>
              </w:rPr>
            </w:pPr>
            <w:r>
              <w:rPr>
                <w:rFonts w:ascii="Times New Roman" w:cs="Times New Roman" w:eastAsia="Times New Roman" w:hAnsi="Times New Roman"/>
                <w:sz w:val="11"/>
                <w:szCs w:val="11"/>
                <w:color w:val="auto"/>
              </w:rPr>
              <w:t>TBD</w:t>
            </w:r>
          </w:p>
        </w:tc>
        <w:tc>
          <w:tcPr>
            <w:tcW w:w="6040" w:type="dxa"/>
            <w:vAlign w:val="bottom"/>
            <w:tcBorders>
              <w:top w:val="single" w:sz="8" w:color="auto"/>
            </w:tcBorders>
          </w:tcPr>
          <w:p>
            <w:pPr>
              <w:ind w:left="220"/>
              <w:spacing w:after="0" w:line="120" w:lineRule="exact"/>
              <w:rPr>
                <w:sz w:val="20"/>
                <w:szCs w:val="20"/>
                <w:color w:val="auto"/>
              </w:rPr>
            </w:pPr>
            <w:r>
              <w:rPr>
                <w:rFonts w:ascii="Times New Roman" w:cs="Times New Roman" w:eastAsia="Times New Roman" w:hAnsi="Times New Roman"/>
                <w:sz w:val="11"/>
                <w:szCs w:val="11"/>
                <w:color w:val="auto"/>
              </w:rPr>
              <w:t>Resulting from the Texas Gas Rate Case, the first Tax Act Rider Calculation was filed on August 1, 2024 pursuant to Docket</w:t>
            </w:r>
          </w:p>
        </w:tc>
      </w:tr>
      <w:tr>
        <w:trPr>
          <w:trHeight w:val="117"/>
        </w:trPr>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4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No. OS-23-00015513 to recover the effects of the Inflation Reduction Act (“Tax Act 2022”) and certain other tax-related costs</w:t>
            </w:r>
          </w:p>
        </w:tc>
      </w:tr>
      <w:tr>
        <w:trPr>
          <w:trHeight w:val="113"/>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4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for rates to become effective January 1, 2025. These effects include the return on the CAMT deferred tax asset (“DTA”)</w:t>
            </w:r>
          </w:p>
        </w:tc>
      </w:tr>
      <w:tr>
        <w:trPr>
          <w:trHeight w:val="110"/>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40" w:type="dxa"/>
            <w:vAlign w:val="bottom"/>
          </w:tcPr>
          <w:p>
            <w:pPr>
              <w:ind w:left="220"/>
              <w:spacing w:after="0" w:line="110" w:lineRule="exact"/>
              <w:rPr>
                <w:sz w:val="20"/>
                <w:szCs w:val="20"/>
                <w:color w:val="auto"/>
              </w:rPr>
            </w:pPr>
            <w:r>
              <w:rPr>
                <w:rFonts w:ascii="Times New Roman" w:cs="Times New Roman" w:eastAsia="Times New Roman" w:hAnsi="Times New Roman"/>
                <w:sz w:val="11"/>
                <w:szCs w:val="11"/>
                <w:color w:val="auto"/>
              </w:rPr>
              <w:t>resulting from the Tax Act 2022, income tax credits resulting from the Tax Act 2022, and the return on the increment or</w:t>
            </w:r>
          </w:p>
        </w:tc>
      </w:tr>
      <w:tr>
        <w:trPr>
          <w:trHeight w:val="117"/>
        </w:trPr>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4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decrement in the NOL DTA included in rate base and in the standard service base revenue requirement approved in the Texas</w:t>
            </w:r>
          </w:p>
        </w:tc>
      </w:tr>
      <w:tr>
        <w:trPr>
          <w:trHeight w:val="113"/>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4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Gas Rate Case. CERC believes its filing is consistent with the Tax Act Rider tariff approved in Docket No. OS-23-00015513.</w:t>
            </w:r>
          </w:p>
        </w:tc>
      </w:tr>
      <w:tr>
        <w:trPr>
          <w:trHeight w:val="110"/>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40" w:type="dxa"/>
            <w:vAlign w:val="bottom"/>
          </w:tcPr>
          <w:p>
            <w:pPr>
              <w:ind w:left="220"/>
              <w:spacing w:after="0" w:line="110" w:lineRule="exact"/>
              <w:rPr>
                <w:sz w:val="20"/>
                <w:szCs w:val="20"/>
                <w:color w:val="auto"/>
              </w:rPr>
            </w:pPr>
            <w:r>
              <w:rPr>
                <w:rFonts w:ascii="Times New Roman" w:cs="Times New Roman" w:eastAsia="Times New Roman" w:hAnsi="Times New Roman"/>
                <w:sz w:val="11"/>
                <w:szCs w:val="11"/>
                <w:color w:val="auto"/>
              </w:rPr>
              <w:t>On October 1, 2024, certain parties filed comments disputing the application. Briefings were filed with an ALJ in November</w:t>
            </w:r>
          </w:p>
        </w:tc>
      </w:tr>
      <w:tr>
        <w:trPr>
          <w:trHeight w:val="117"/>
        </w:trPr>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4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2024. A hearing on the merits was held on February 21, 2025 and continued on March 21, 2025. On March 21, 2025, a</w:t>
            </w:r>
          </w:p>
        </w:tc>
      </w:tr>
      <w:tr>
        <w:trPr>
          <w:trHeight w:val="113"/>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4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Unanimous Settlement Agreement was filed. On April 11, 2025, a Proposal for Decision (PFD) was issued. The Railroad</w:t>
            </w:r>
          </w:p>
        </w:tc>
      </w:tr>
      <w:tr>
        <w:trPr>
          <w:trHeight w:val="153"/>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Commission is scheduled to consider the PFD at the May 13, 2025 open meeting.</w:t>
            </w:r>
          </w:p>
        </w:tc>
      </w:tr>
      <w:tr>
        <w:trPr>
          <w:trHeight w:val="165"/>
        </w:trPr>
        <w:tc>
          <w:tcPr>
            <w:tcW w:w="12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GRIP</w:t>
            </w:r>
          </w:p>
        </w:tc>
        <w:tc>
          <w:tcPr>
            <w:tcW w:w="5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71</w:t>
            </w:r>
          </w:p>
        </w:tc>
        <w:tc>
          <w:tcPr>
            <w:tcW w:w="1140" w:type="dxa"/>
            <w:vAlign w:val="bottom"/>
            <w:shd w:val="clear" w:color="auto" w:fill="CCEEFF"/>
          </w:tcPr>
          <w:p>
            <w:pPr>
              <w:jc w:val="center"/>
              <w:ind w:right="103"/>
              <w:spacing w:after="0"/>
              <w:rPr>
                <w:sz w:val="20"/>
                <w:szCs w:val="20"/>
                <w:color w:val="auto"/>
              </w:rPr>
            </w:pPr>
            <w:r>
              <w:rPr>
                <w:rFonts w:ascii="Times New Roman" w:cs="Times New Roman" w:eastAsia="Times New Roman" w:hAnsi="Times New Roman"/>
                <w:sz w:val="11"/>
                <w:szCs w:val="11"/>
                <w:color w:val="auto"/>
              </w:rPr>
              <w:t>February 2025</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TBD</w:t>
            </w: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Based on net change in invested capital of $446 million.</w:t>
            </w:r>
          </w:p>
        </w:tc>
      </w:tr>
      <w:tr>
        <w:trPr>
          <w:trHeight w:val="154"/>
        </w:trPr>
        <w:tc>
          <w:tcPr>
            <w:tcW w:w="1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0" w:type="dxa"/>
            <w:vAlign w:val="bottom"/>
            <w:tcBorders>
              <w:bottom w:val="single" w:sz="8" w:color="auto"/>
            </w:tcBorders>
            <w:gridSpan w:val="2"/>
          </w:tcPr>
          <w:p>
            <w:pPr>
              <w:jc w:val="center"/>
              <w:ind w:right="4003"/>
              <w:spacing w:after="0"/>
              <w:rPr>
                <w:sz w:val="20"/>
                <w:szCs w:val="20"/>
                <w:color w:val="auto"/>
              </w:rPr>
            </w:pPr>
            <w:r>
              <w:rPr>
                <w:rFonts w:ascii="Times New Roman" w:cs="Times New Roman" w:eastAsia="Times New Roman" w:hAnsi="Times New Roman"/>
                <w:sz w:val="11"/>
                <w:szCs w:val="11"/>
                <w:b w:val="1"/>
                <w:bCs w:val="1"/>
                <w:color w:val="auto"/>
              </w:rPr>
              <w:t>CenterPoint Energy and CERC - Minnesota (MPUC)</w:t>
            </w:r>
          </w:p>
        </w:tc>
      </w:tr>
      <w:tr>
        <w:trPr>
          <w:trHeight w:val="155"/>
        </w:trPr>
        <w:tc>
          <w:tcPr>
            <w:tcW w:w="12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Rate Case</w:t>
            </w:r>
          </w:p>
        </w:tc>
        <w:tc>
          <w:tcPr>
            <w:tcW w:w="5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136</w:t>
            </w:r>
          </w:p>
        </w:tc>
        <w:tc>
          <w:tcPr>
            <w:tcW w:w="1140" w:type="dxa"/>
            <w:vAlign w:val="bottom"/>
            <w:shd w:val="clear" w:color="auto" w:fill="CCEEFF"/>
          </w:tcPr>
          <w:p>
            <w:pPr>
              <w:jc w:val="center"/>
              <w:ind w:right="103"/>
              <w:spacing w:after="0"/>
              <w:rPr>
                <w:sz w:val="20"/>
                <w:szCs w:val="20"/>
                <w:color w:val="auto"/>
              </w:rPr>
            </w:pPr>
            <w:r>
              <w:rPr>
                <w:rFonts w:ascii="Times New Roman" w:cs="Times New Roman" w:eastAsia="Times New Roman" w:hAnsi="Times New Roman"/>
                <w:sz w:val="11"/>
                <w:szCs w:val="11"/>
                <w:color w:val="auto"/>
              </w:rPr>
              <w:t>November 2023</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TBD</w:t>
            </w: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Minnesota Gas Rate Case.</w:t>
            </w:r>
          </w:p>
        </w:tc>
      </w:tr>
      <w:tr>
        <w:trPr>
          <w:trHeight w:val="154"/>
        </w:trPr>
        <w:tc>
          <w:tcPr>
            <w:tcW w:w="1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0" w:type="dxa"/>
            <w:vAlign w:val="bottom"/>
            <w:tcBorders>
              <w:bottom w:val="single" w:sz="8" w:color="auto"/>
            </w:tcBorders>
            <w:gridSpan w:val="2"/>
          </w:tcPr>
          <w:p>
            <w:pPr>
              <w:jc w:val="center"/>
              <w:ind w:right="400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r>
      <w:tr>
        <w:trPr>
          <w:trHeight w:val="106"/>
        </w:trPr>
        <w:tc>
          <w:tcPr>
            <w:tcW w:w="1200" w:type="dxa"/>
            <w:vAlign w:val="bottom"/>
            <w:shd w:val="clear" w:color="auto" w:fill="CCEEFF"/>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580" w:type="dxa"/>
            <w:vAlign w:val="bottom"/>
            <w:shd w:val="clear" w:color="auto" w:fill="CCEEFF"/>
          </w:tcPr>
          <w:p>
            <w:pPr>
              <w:jc w:val="right"/>
              <w:ind w:right="263"/>
              <w:spacing w:after="0" w:line="10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2</w:t>
            </w:r>
          </w:p>
        </w:tc>
        <w:tc>
          <w:tcPr>
            <w:tcW w:w="1140" w:type="dxa"/>
            <w:vAlign w:val="bottom"/>
            <w:shd w:val="clear" w:color="auto" w:fill="CCEEFF"/>
          </w:tcPr>
          <w:p>
            <w:pPr>
              <w:jc w:val="center"/>
              <w:ind w:right="103"/>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560" w:type="dxa"/>
            <w:vAlign w:val="bottom"/>
            <w:shd w:val="clear" w:color="auto" w:fill="CCEEFF"/>
          </w:tcPr>
          <w:p>
            <w:pPr>
              <w:ind w:left="280"/>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160" w:type="dxa"/>
            <w:vAlign w:val="bottom"/>
            <w:shd w:val="clear" w:color="auto" w:fill="CCEEFF"/>
          </w:tcPr>
          <w:p>
            <w:pPr>
              <w:ind w:left="720"/>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1"/>
                <w:szCs w:val="11"/>
                <w:color w:val="auto"/>
              </w:rPr>
              <w:t>Requested an increase of $11.6 million to rate base, which reflects approximately $1.5 million annual increase in current</w:t>
            </w:r>
          </w:p>
        </w:tc>
      </w:tr>
      <w:tr>
        <w:trPr>
          <w:trHeight w:val="117"/>
        </w:trPr>
        <w:tc>
          <w:tcPr>
            <w:tcW w:w="1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4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r>
      <w:tr>
        <w:trPr>
          <w:trHeight w:val="113"/>
        </w:trPr>
        <w:tc>
          <w:tcPr>
            <w:tcW w:w="1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04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a change in (over)/under recovery variance of $1.9 million. The OUCC will file testimony on June 3, 2025. Indiana South</w:t>
            </w:r>
          </w:p>
        </w:tc>
      </w:tr>
      <w:tr>
        <w:trPr>
          <w:trHeight w:val="159"/>
        </w:trPr>
        <w:tc>
          <w:tcPr>
            <w:tcW w:w="1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rebuttal is due June 17, 2025. The hearing is scheduled for June 30, 2025.</w:t>
            </w:r>
          </w:p>
        </w:tc>
      </w:tr>
      <w:tr>
        <w:trPr>
          <w:trHeight w:val="154"/>
        </w:trPr>
        <w:tc>
          <w:tcPr>
            <w:tcW w:w="1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0" w:type="dxa"/>
            <w:vAlign w:val="bottom"/>
            <w:tcBorders>
              <w:bottom w:val="single" w:sz="8" w:color="auto"/>
            </w:tcBorders>
            <w:gridSpan w:val="2"/>
          </w:tcPr>
          <w:p>
            <w:pPr>
              <w:jc w:val="center"/>
              <w:ind w:right="402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r>
      <w:tr>
        <w:trPr>
          <w:trHeight w:val="106"/>
        </w:trPr>
        <w:tc>
          <w:tcPr>
            <w:tcW w:w="1200" w:type="dxa"/>
            <w:vAlign w:val="bottom"/>
            <w:shd w:val="clear" w:color="auto" w:fill="CCEEFF"/>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580" w:type="dxa"/>
            <w:vAlign w:val="bottom"/>
            <w:shd w:val="clear" w:color="auto" w:fill="CCEEFF"/>
          </w:tcPr>
          <w:p>
            <w:pPr>
              <w:jc w:val="right"/>
              <w:ind w:right="263"/>
              <w:spacing w:after="0" w:line="10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140" w:type="dxa"/>
            <w:vAlign w:val="bottom"/>
            <w:shd w:val="clear" w:color="auto" w:fill="CCEEFF"/>
          </w:tcPr>
          <w:p>
            <w:pPr>
              <w:jc w:val="center"/>
              <w:ind w:right="103"/>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560" w:type="dxa"/>
            <w:vAlign w:val="bottom"/>
            <w:shd w:val="clear" w:color="auto" w:fill="CCEEFF"/>
          </w:tcPr>
          <w:p>
            <w:pPr>
              <w:ind w:left="280"/>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160" w:type="dxa"/>
            <w:vAlign w:val="bottom"/>
            <w:shd w:val="clear" w:color="auto" w:fill="CCEEFF"/>
          </w:tcPr>
          <w:p>
            <w:pPr>
              <w:ind w:left="720"/>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1"/>
                <w:szCs w:val="11"/>
                <w:color w:val="auto"/>
              </w:rPr>
              <w:t>Requested an increase of $94.9 million to rate base, which reflects approximately $8.6 million annual increase in current</w:t>
            </w:r>
          </w:p>
        </w:tc>
      </w:tr>
      <w:tr>
        <w:trPr>
          <w:trHeight w:val="117"/>
        </w:trPr>
        <w:tc>
          <w:tcPr>
            <w:tcW w:w="1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4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r>
      <w:tr>
        <w:trPr>
          <w:trHeight w:val="113"/>
        </w:trPr>
        <w:tc>
          <w:tcPr>
            <w:tcW w:w="1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04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a change in (over)/under recovery variance of $5 million. The OUCC will file testimony on June 3, 2025. Indiana North rebuttal</w:t>
            </w:r>
          </w:p>
        </w:tc>
      </w:tr>
      <w:tr>
        <w:trPr>
          <w:trHeight w:val="159"/>
        </w:trPr>
        <w:tc>
          <w:tcPr>
            <w:tcW w:w="1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is due June 17, 2025. The hearing is scheduled for June 30, 2025.</w:t>
            </w:r>
          </w:p>
        </w:tc>
      </w:tr>
      <w:tr>
        <w:trPr>
          <w:trHeight w:val="154"/>
        </w:trPr>
        <w:tc>
          <w:tcPr>
            <w:tcW w:w="1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0" w:type="dxa"/>
            <w:vAlign w:val="bottom"/>
            <w:tcBorders>
              <w:bottom w:val="single" w:sz="8" w:color="auto"/>
            </w:tcBorders>
            <w:gridSpan w:val="2"/>
          </w:tcPr>
          <w:p>
            <w:pPr>
              <w:jc w:val="center"/>
              <w:ind w:right="4023"/>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r>
      <w:tr>
        <w:trPr>
          <w:trHeight w:val="155"/>
        </w:trPr>
        <w:tc>
          <w:tcPr>
            <w:tcW w:w="12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Rate Case</w:t>
            </w:r>
          </w:p>
        </w:tc>
        <w:tc>
          <w:tcPr>
            <w:tcW w:w="5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100</w:t>
            </w:r>
          </w:p>
        </w:tc>
        <w:tc>
          <w:tcPr>
            <w:tcW w:w="1140" w:type="dxa"/>
            <w:vAlign w:val="bottom"/>
            <w:shd w:val="clear" w:color="auto" w:fill="CCEEFF"/>
          </w:tcPr>
          <w:p>
            <w:pPr>
              <w:jc w:val="center"/>
              <w:ind w:right="103"/>
              <w:spacing w:after="0"/>
              <w:rPr>
                <w:sz w:val="20"/>
                <w:szCs w:val="20"/>
                <w:color w:val="auto"/>
              </w:rPr>
            </w:pPr>
            <w:r>
              <w:rPr>
                <w:rFonts w:ascii="Times New Roman" w:cs="Times New Roman" w:eastAsia="Times New Roman" w:hAnsi="Times New Roman"/>
                <w:sz w:val="11"/>
                <w:szCs w:val="11"/>
                <w:color w:val="auto"/>
              </w:rPr>
              <w:t>October 2024</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TBD</w:t>
            </w: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Ohio Gas Rate Case.</w:t>
            </w:r>
          </w:p>
        </w:tc>
      </w:tr>
    </w:tbl>
    <w:p>
      <w:pPr>
        <w:spacing w:after="0" w:line="60" w:lineRule="exact"/>
        <w:rPr>
          <w:sz w:val="20"/>
          <w:szCs w:val="20"/>
          <w:color w:val="auto"/>
        </w:rPr>
      </w:pPr>
    </w:p>
    <w:p>
      <w:pPr>
        <w:ind w:left="500" w:hanging="240"/>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proposed increases (decreases) when effective date and/or approval date is not yet determined. Approved rates could differ materially from proposed rates.</w:t>
      </w:r>
    </w:p>
    <w:p>
      <w:pPr>
        <w:spacing w:after="0" w:line="200" w:lineRule="exact"/>
        <w:rPr>
          <w:rFonts w:ascii="Times New Roman" w:cs="Times New Roman" w:eastAsia="Times New Roman" w:hAnsi="Times New Roman"/>
          <w:sz w:val="14"/>
          <w:szCs w:val="14"/>
          <w:color w:val="auto"/>
        </w:rPr>
      </w:pPr>
    </w:p>
    <w:p>
      <w:pPr>
        <w:spacing w:after="0" w:line="339"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Tariffs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2025, the U.S. government has announced and, in certain cases, rescinded, multiple tariffs on several foreign jurisdictions and imports into the United States. For example, in March 2025, the U.S. government imposed a 25% tariff on steel imports, and 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or other measures taken by foreign jurisdictions, which may in turn lead to additional tariffs imposed or measures taken by the United States. Additionally, the announcement and rescission of tariffs on foreign jurisdictions has increased uncertainty regarding the ultimate effect of the tariffs on economic conditions. Current uncertainties about tariffs and their effects on trading relationships may affect the Registrants’ ability to access the capital markets, contribute to inflation in the markets in which the Registrants operate, increase commodity cost volatility, impact availability of goods and materials, or otherwise negatively impact the global supply chain. The Registrants are continuing to monitor the economic effects of such announcements and developments, as well as the Registrants’ ability to mitigate their related impacts, but costs and other effects associated with the tariffs remain uncertain.</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Greenhouse Gas and Climate-Related Regulation and Compliance (CenterPoint Energy)</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There has been increasing attention at the local, state and international levels to the issue of climate risk. There has been a recent shift, however, in climate policy at the federal level in the United States. On January 20, 2025, President Trump signed an executive order to withdraw the United States from the Paris Agreement, which will take effect on January 27, 2026. Additionally, in January 2025, President Trump signed a series of executive orders that, among other things, (i) call upon the EPA to submit a report on the continuing applicability of its endangerment finding for GHGs under the Clean Air Act and issue guidance on the “social cost of carbon” to consider whether such metric should be eliminated, (ii) direct federal executive departments and agencies to initiate a regulatory freeze for certain rules that have not taken effect, pending review by the newly appointed agency head, (iii) temporarily halt certain federal government agencies from issuing approvals, permits and loans for wind projects pending the completion of certain assessments and reviews and (iv) pause the disbursement of funds appropriated through the IRA and the Infrastructure Investments and Jobs Act. In response to the series of executive orders, on March 12, 2025, the EPA announced 31 regulatory actions, including the reconsideration of certain regulations and standards under the Clean Air Act and other air-related rules such as the 2009 endangerment finding authorizing the EPA to regulate GHG emissions under the Clean Air Act, the mandatory GHG Reporting Program, GHG emissions limits for the oil and gas sector adopted by the prior administration, and the rules regulating GHG emissions from new gas-fired combustion turbines and existing coal, oil and gas-fired steam generating units. On March 14, 2025, President Trump signed a Joint Resolution of Disapproval under the Congressional Review Act to prohibit the IRA’s waste methane emissions charge rules, which were finalized in November 2024, from taking effect.</w:t>
      </w:r>
    </w:p>
    <w:p>
      <w:pPr>
        <w:spacing w:after="0" w:line="1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6, 2024, the SEC adopted final rules that require the Registrants to disclose certain climate-related information in registration statements and annual reports. Litigation challenging the rules was filed by multiple parties in multiple jurisdictions, which was consolidated and assigned to the U.S. Court of Appeals for the Eighth Circuit. On April 4, 2024, the SEC announced it was voluntarily delaying the implementation of the climate disclosure rules while the U.S. Court of Appeals considered the litigation, and on March 27, 2025, the SEC voted to end the defense of the rules in the litigation.</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CenterPoint Energy’s net zero emissions goals are aligned with Indiana Electric’s generation transition plan and are expected to position Indiana Electric to comply with anticipated future regulatory requirements related to GHG emissions reductions. Houston Electric, in contrast to some electric utilities including Indiana Electric, does not generate electricity, other than through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natural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third-party suppliers, vendors and partners may also be impacted by climate-related laws and regulations, which could impact CenterPoint Energy’s business by, among other things, causing permitting and construction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delays, project cancellations or increased project costs passed on to CenterPoint Energy. Conversely, regulatory actions that effectively promote the consumption of natural gas because of its lower emissions characteristics relative to other fossil fuels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Compliance costs and other effects associated with climate risk, reductions in GHG emissions and obtaining renewable energy sources remain uncertain. Although the amount of compliance costs remains uncertain, any new climate-related regulation or legislation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and GHG emissions reduction goals, CenterPoint Energy expects to purchase carbon credits in the future; however, CenterPoint Energy does not currently expect the number of credits, or cost for those credits, to be material.</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Risk Trends and Uncertainties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Recent changes in the U.S. presidential administration and significant expected increases in electric demand, as announced by organizations such as ERCOT and MISO, have shifted the energy landscape in the United States. Since taking office, President Trump has issued a series of executive orders and presidential memoranda that seek to increase investment in fossil fuel infrastructure, including by directing all heads of federal agencies to identify and begin the processes to suspend, revise or rescind all agency actions that are determined to be unduly burdensome on the identification, development or use of domestic energy resources, with particular attention to oil, natural gas, hydropower, biofuels, critical mineral and nuclear energy resources.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uncertain, including with respect to impacts on the regulatory framework relating to the development of, and consequently the availability of, alternative energy sources (such as private solar,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will affect consumers’ and companies’ energy use, adoption of alternative energy sources or decisions to expand their facilities, including natural gas facilities.</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Nevertheless, as alternative energy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continued evolution of investor sentiment related to the use of fossil fuels has had, and may continue to have, significant impacts on CenterPoint Energy’s electric generation and natural gas businesses. For example, because Indiana Electric currently relies on coal for a portion of its generating capacity, certain financial institutions choose not to participate in CenterPoint Energy’s financing arrangements. Conversely, demand for the Registrants’ services may increase as a result of customer adoption of alternative energy sources and responses to climate risk. For example, the expected expansion of energy export facilities, including hydrogen facilities, and electrification of industrial processes and transport and logistics, among others, in our service territories could lead to an increase in demand for electricity, resulting in increased usage of CenterPoint Energy’s systems and services. Any negative opinions with respect to CenterPoint Energy’s environmental practices or its ability to meet the challenges posed by climate risk formed by regulators, customers, investors, legislators or other stakeholders could harm its reputation.</w:t>
      </w:r>
    </w:p>
    <w:p>
      <w:pPr>
        <w:spacing w:after="0" w:line="34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626 MWs of the 700-1,000 MWs of solar generation and 200 MWs of the 300 MWs of wind generation identified within Indiana Electric’s 2019/2020 IRP through a combination of BTAs and PPAs. Additionally, as reflected in its 10-year capital plan announced in September 2021, CenterPoint Energy anticipates spending over $3 billion in energy investments and enablement, which may be used to support, among other things, renewable energy generation. CenterPoint Energy believes its planned investments in renewable energy generation, natural-gas fired electric generating units and corresponding planned reductions in its GHG emissions support efforts to provide its customers with lower-cost, lower-emissions energy options while supporting the Company’s GHG emissions reduction goals. Indiana Electric’s 2022/2023 IRP, which was submitted to the IURC in May 2023, was conducted to identify an appropriate generation resource portfolio to satisfy the needs of its customers and comply with environmental regulations. The proposed preferred portfolio under the 2022/2023 IRP was the second evolution to the generation transition plan to move away from coal-fired generation to a more cost-effective and lower-emission portfolio of resources. Indiana Electric’s 2022/2023 IRP proposed preferred portfolio called for the conversion of its last remaining coal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unit, F.B. Culley Unit 3, to natural gas and to add a significant amount of additional renewable resources through 2033. Indiana Electric has since received approval for a PPA for 147 MWs of wind generation consistent with the preferred portfolio identified in the 2022/2023 IRP. Additionally, in February 2025, Indiana Electric launched its 2025 IRP process to set its long-term strategy for electric generation and power needs for its customers. The conversion of F.B. Culley Unit 3 to natural gas has been paused and will be reevaluated in the 2025 IRP process. For more information regarding CenterPoint Energy’s net zero and GHG emissions reduction goals and the risks associated with them, see “Risk Factors — Risk Factors Affecting Regulatory, Environmental and Legal Risks — CenterPoint Energy is subject to operational and financial risks...” in Part I, Item 1A of the Registrants’ combined 2024 Form 10-K.</w:t>
      </w:r>
    </w:p>
    <w:p>
      <w:pPr>
        <w:spacing w:after="0" w:line="16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To the extent climate risk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risk is more frequent and more severe weather events, such as hurricanes, tornadoes, floods, microbursts, severe winter weather conditions, including ice storms, wildfires, thunderstorms, high winds, hail, derecho events, or extreme temperatures, including such storms as the February 2021 Winter Storm Event, the May 2024 Storm Events and Hurricane Beryl. Since many of the Registrants’ facilities are located along or near the Texas Gulf Coast, increased or more severe weather events could increase costs to repair damaged facilities and restore service to customers. CenterPoint Energy’s current 10-year capital plan includes capital expenditures to maintain reliability and safety and increase resiliency of its systems as climate risk may result in more frequent significant weather events.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Additionally, the May 2024 Storm Events and Hurricane Beryl caused significant damage to Houston Electric’s electric delivery system and resulted in electric service interruptions peaking at an estimated 922,000 customers and more than 2.1 million customers, respectively.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9 to the Interim Condensed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March 31, 2025. As of April 21, 2025, the Registrants had the following revolving credit facilities and utilization of such facilities: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rPr>
              <w:t>Amount Utilized as of April 21, 2025</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80" w:type="dxa"/>
            <w:vAlign w:val="bottom"/>
          </w:tcPr>
          <w:p>
            <w:pPr>
              <w:spacing w:after="0"/>
              <w:rPr>
                <w:sz w:val="9"/>
                <w:szCs w:val="9"/>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Commercial Paper</w:t>
            </w:r>
          </w:p>
        </w:tc>
        <w:tc>
          <w:tcPr>
            <w:tcW w:w="100" w:type="dxa"/>
            <w:vAlign w:val="bottom"/>
          </w:tcPr>
          <w:p>
            <w:pPr>
              <w:spacing w:after="0"/>
              <w:rPr>
                <w:sz w:val="9"/>
                <w:szCs w:val="9"/>
                <w:color w:val="auto"/>
              </w:rPr>
            </w:pPr>
          </w:p>
        </w:tc>
        <w:tc>
          <w:tcPr>
            <w:tcW w:w="134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2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3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36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4"/>
                <w:szCs w:val="14"/>
                <w:color w:val="auto"/>
              </w:rPr>
            </w:pP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borrowers are currently in compliance with the various business and financial covenants in the four revolving credit facilities.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detailed information about the Registrants’ debt transactions to date in 2025, see Note 9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2025, see Note 9 to the Interim Condensed Financial Statements.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for information related to shares of Common Stock sold pursuant to the Equity Distribution Agreement in 2025, see Note 15 and Note 16 to the Interim Condensed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Temporary Investments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April 21, 2025, the Registrants had no temporary investments.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April 21, 2025:</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 Average Interest Rate</w:t>
            </w:r>
          </w:p>
        </w:tc>
        <w:tc>
          <w:tcPr>
            <w:tcW w:w="260" w:type="dxa"/>
            <w:vAlign w:val="bottom"/>
          </w:tcPr>
          <w:p>
            <w:pPr>
              <w:spacing w:after="0"/>
              <w:rPr>
                <w:sz w:val="14"/>
                <w:szCs w:val="14"/>
                <w:color w:val="auto"/>
              </w:rPr>
            </w:pP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480" w:type="dxa"/>
            <w:vAlign w:val="bottom"/>
          </w:tcPr>
          <w:p>
            <w:pPr>
              <w:spacing w:after="0"/>
              <w:rPr>
                <w:sz w:val="14"/>
                <w:szCs w:val="14"/>
                <w:color w:val="auto"/>
              </w:rPr>
            </w:pPr>
          </w:p>
        </w:tc>
        <w:tc>
          <w:tcPr>
            <w:tcW w:w="13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CERC (1)</w:t>
            </w:r>
          </w:p>
        </w:tc>
      </w:tr>
      <w:tr>
        <w:trPr>
          <w:trHeight w:val="161"/>
        </w:trPr>
        <w:tc>
          <w:tcPr>
            <w:tcW w:w="55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Borders>
              <w:top w:val="single" w:sz="8" w:color="auto"/>
            </w:tcBorders>
          </w:tcPr>
          <w:p>
            <w:pPr>
              <w:spacing w:after="0"/>
              <w:rPr>
                <w:sz w:val="14"/>
                <w:szCs w:val="14"/>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w:t>
            </w:r>
          </w:p>
        </w:tc>
        <w:tc>
          <w:tcPr>
            <w:tcW w:w="17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4.62%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(94)</w:t>
            </w: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w:t>
            </w: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Includes a portion of the proceeds from the sale of CERC Corp.’s Louisiana and Mississippi natural gas LDC businesses.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credit facilities is based on each respective borrower’s credit ratings. As of April 21, 2025, Moody’s, S&amp;P and Fitch had assigned the following credit ratings to the borrowers: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70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70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64"/>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366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Borrower/Instrument</w:t>
            </w:r>
          </w:p>
        </w:tc>
        <w:tc>
          <w:tcPr>
            <w:tcW w:w="660" w:type="dxa"/>
            <w:vAlign w:val="bottom"/>
            <w:tcBorders>
              <w:top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5"/>
              </w:rPr>
              <w:t>Rating</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 (1)</w:t>
            </w:r>
          </w:p>
        </w:tc>
        <w:tc>
          <w:tcPr>
            <w:tcW w:w="100" w:type="dxa"/>
            <w:vAlign w:val="bottom"/>
          </w:tcPr>
          <w:p>
            <w:pPr>
              <w:spacing w:after="0"/>
              <w:rPr>
                <w:sz w:val="14"/>
                <w:szCs w:val="14"/>
                <w:color w:val="auto"/>
              </w:rPr>
            </w:pPr>
          </w:p>
        </w:tc>
        <w:tc>
          <w:tcPr>
            <w:tcW w:w="700" w:type="dxa"/>
            <w:vAlign w:val="bottom"/>
            <w:tcBorders>
              <w:top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Outlook (2)</w:t>
            </w:r>
          </w:p>
        </w:tc>
        <w:tc>
          <w:tcPr>
            <w:tcW w:w="80" w:type="dxa"/>
            <w:vAlign w:val="bottom"/>
          </w:tcPr>
          <w:p>
            <w:pPr>
              <w:spacing w:after="0"/>
              <w:rPr>
                <w:sz w:val="14"/>
                <w:szCs w:val="14"/>
                <w:color w:val="auto"/>
              </w:rPr>
            </w:pPr>
          </w:p>
        </w:tc>
        <w:tc>
          <w:tcPr>
            <w:tcW w:w="700" w:type="dxa"/>
            <w:vAlign w:val="bottom"/>
            <w:tcBorders>
              <w:top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5"/>
              </w:rPr>
              <w:t>Rating</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 (3)</w:t>
            </w:r>
          </w:p>
        </w:tc>
      </w:tr>
      <w:tr>
        <w:trPr>
          <w:trHeight w:val="162"/>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0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Senior Unsecured Debt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Baa2</w:t>
            </w: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9"/>
              </w:rPr>
              <w:t>BBB</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BBB</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r>
      <w:tr>
        <w:trPr>
          <w:trHeight w:val="16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Vectren Corp. Issuer Rating</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r>
        <w:trPr>
          <w:trHeight w:val="17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SIGECO Senior Secured Debt</w:t>
            </w:r>
          </w:p>
        </w:tc>
        <w:tc>
          <w:tcPr>
            <w:tcW w:w="6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A1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Stable</w:t>
            </w:r>
          </w:p>
        </w:tc>
        <w:tc>
          <w:tcPr>
            <w:tcW w:w="7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r>
        <w:trPr>
          <w:trHeight w:val="16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Senior Secured Debt</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A2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84"/>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r>
      <w:tr>
        <w:trPr>
          <w:trHeight w:val="17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 Corp. Senior Unsecured Debt</w:t>
            </w:r>
          </w:p>
        </w:tc>
        <w:tc>
          <w:tcPr>
            <w:tcW w:w="6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A3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Stable</w:t>
            </w:r>
          </w:p>
        </w:tc>
        <w:tc>
          <w:tcPr>
            <w:tcW w:w="7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87"/>
              </w:rPr>
              <w:t>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r>
      <w:tr>
        <w:trPr>
          <w:trHeight w:val="16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 Gas Senior Unsecured Debt</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bl>
    <w:p>
      <w:pPr>
        <w:spacing w:after="0" w:line="64"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March 31, 2025,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$314 million as of March 31, 2025. The amount of collateral will depend on seasonal variations in transportation levels.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March 31, 2025, deferred taxes of approximately $806 million would have been payable in 2025. If all the ZENS-Related Securities had been sold on March 31, 2025, capital gains taxes of approximately $99 million would have been payable in 2025 based on 2025 tax rates in effect. For additional information about ZENS, see Note 8 to the Interim Condensed Financial Statements.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efficiently finance a portion of its increased capital expenditures in the future, subject to the considerations listed above. For further information, see Note 3 to the Interim Condensed Financial Statements.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The transaction closed on March 31, 2025. On March 7, 2025, SIGECO acquired 100% of the equity interests in Posey Solar, which is constructing a 191 MW solar array in Posey County, Indiana, for approximately $357 million. For further information, see Note 3 to the Interim Condensed Financial Statements.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3" w:lineRule="exact"/>
        <w:rPr>
          <w:sz w:val="20"/>
          <w:szCs w:val="20"/>
          <w:color w:val="auto"/>
        </w:rPr>
      </w:pPr>
    </w:p>
    <w:p>
      <w:pPr>
        <w:ind w:left="52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hanging="260"/>
        <w:spacing w:after="0" w:line="24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certain goods, materials or services due to tariffs or trade restrictions imposed by the U.S. government, the imposition of retaliatory tariffs or other measures, and any effect on trading relationships between the United States and other countries;</w:t>
      </w:r>
    </w:p>
    <w:p>
      <w:pPr>
        <w:ind w:left="520" w:right="40" w:hanging="260"/>
        <w:spacing w:after="0" w:line="24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executive or regulatory actions at the federal, state and local levels, including such actions in response to the May 2024 Storm Events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 and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hanging="260"/>
        <w:spacing w:after="0" w:line="28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various other risks identified in “Risk Factors” in </w:t>
      </w:r>
      <w:hyperlink r:id="rId101">
        <w:r>
          <w:rPr>
            <w:rFonts w:ascii="Times New Roman" w:cs="Times New Roman" w:eastAsia="Times New Roman" w:hAnsi="Times New Roman"/>
            <w:sz w:val="14"/>
            <w:szCs w:val="14"/>
            <w:u w:val="single" w:color="auto"/>
            <w:color w:val="0000FF"/>
          </w:rPr>
          <w:t>Part I, Item 1A of the Registrants’ combined 2024 Form 10-K</w:t>
        </w:r>
      </w:hyperlink>
      <w:r>
        <w:rPr>
          <w:rFonts w:ascii="Times New Roman" w:cs="Times New Roman" w:eastAsia="Times New Roman" w:hAnsi="Times New Roman"/>
          <w:sz w:val="14"/>
          <w:szCs w:val="14"/>
          <w:color w:val="auto"/>
        </w:rPr>
        <w:t>, which are incorporated herein by reference, in Part II, Item 1A of this combined Form 10-Q, and in other reports that the Registrants file from time to time with the SEC.</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The accounting estimates described below require the Registrants to make assumptions about matters that are highly uncertain at the time the estimate is made.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critical accounting policies that we deemed the most material in nature were reported in our combined 2024 Form 10-K. There has been no material changes with regard to these critical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57" w:lineRule="exact"/>
        <w:rPr>
          <w:sz w:val="20"/>
          <w:szCs w:val="20"/>
          <w:color w:val="auto"/>
        </w:rPr>
      </w:pPr>
    </w:p>
    <w:p>
      <w:pPr>
        <w:jc w:val="both"/>
        <w:ind w:firstLine="127"/>
        <w:spacing w:after="0" w:line="287" w:lineRule="auto"/>
        <w:rPr>
          <w:sz w:val="20"/>
          <w:szCs w:val="20"/>
          <w:color w:val="auto"/>
        </w:rPr>
      </w:pPr>
      <w:r>
        <w:rPr>
          <w:rFonts w:ascii="Times New Roman" w:cs="Times New Roman" w:eastAsia="Times New Roman" w:hAnsi="Times New Roman"/>
          <w:sz w:val="14"/>
          <w:szCs w:val="14"/>
          <w:color w:val="auto"/>
        </w:rPr>
        <w:t>Information regarding the Registrants’ quantitative and qualitative disclosures about market risk are disclosed in Part II, Item 7A of our combined 2024 Form 10-K. Except as described below, there have been no material changes in those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March 31, 2025,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floating rate obligations aggregated $2.1 billion and $1.5 billion as of March 31, 2025 and December 31, 2024, respectively. If the floating interest rates were to increase by 100 basis points from March 31, 2025 rates, CenterPoint Energy’s combined interest expense would increase by approximately $21 million annually.</w:t>
      </w:r>
    </w:p>
    <w:p>
      <w:pPr>
        <w:spacing w:after="0" w:line="13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As of March 31, 2025 and December 31, 2024, CenterPoint Energy had outstanding fixed-rate debt (excluding indexed debt securities) aggregating $20.3 billion and $19.7 billion, respectively, in principal amount and having a fair value of $19.2 billion and $18.4 billion, respectively. Because these instruments are fixed-rate, they do not expose CenterPoint Energy to the risk of loss in earnings due to changes in market interest rates. However, the fair value of these instruments would increase by approximately $792 million if interest rates were to decline by 10% from levels at March 31, 2025. In general, such an increase in fair value would impact earnings and cash flows only if CenterPoint Energy were to reacquire all or a portion of these instruments in the open market prior to their maturity.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ZENS obligation is bifurcated into a debt component and a derivative component. The debt component of $2 million as of March 31, 2025 was a fixed-rate obligation and, therefore, did not expose CenterPoint Energy to the risk of loss in earnings due to changes in market interest rates. However, the fair value of the debt component would increase by less than $1 million if interest rates were to decline by 10% from levels at March 31, 2025. Changes in the fair value of the derivative component, a $698 million recorded liability at March 31, 2025,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2025 levels, the fair value of the derivative component liability would decrease by $1 million, which would be recorded as a gain on indexed debt securities in CenterPoint Energy’s Condensed Statements of Consolidated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2025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March 31, 2025 that has materially affected, or is reasonably likely to materially affect, the Registrants’ internal controls over financial reporting.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jc w:val="both"/>
        <w:ind w:firstLine="255"/>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01">
        <w:r>
          <w:rPr>
            <w:rFonts w:ascii="Times New Roman" w:cs="Times New Roman" w:eastAsia="Times New Roman" w:hAnsi="Times New Roman"/>
            <w:sz w:val="14"/>
            <w:szCs w:val="14"/>
            <w:u w:val="single" w:color="auto"/>
            <w:color w:val="0000FF"/>
          </w:rPr>
          <w:t>Business — Regulation” and “— Environmental Matters</w:t>
        </w:r>
      </w:hyperlink>
      <w:r>
        <w:rPr>
          <w:rFonts w:ascii="Times New Roman" w:cs="Times New Roman" w:eastAsia="Times New Roman" w:hAnsi="Times New Roman"/>
          <w:sz w:val="14"/>
          <w:szCs w:val="14"/>
          <w:color w:val="auto"/>
        </w:rPr>
        <w:t>” in Part I, Item 1 and “</w:t>
      </w:r>
      <w:hyperlink r:id="rId101">
        <w:r>
          <w:rPr>
            <w:rFonts w:ascii="Times New Roman" w:cs="Times New Roman" w:eastAsia="Times New Roman" w:hAnsi="Times New Roman"/>
            <w:sz w:val="14"/>
            <w:szCs w:val="14"/>
            <w:u w:val="single" w:color="auto"/>
            <w:color w:val="0000FF"/>
          </w:rPr>
          <w:t>Legal Proceedings</w:t>
        </w:r>
      </w:hyperlink>
      <w:r>
        <w:rPr>
          <w:rFonts w:ascii="Times New Roman" w:cs="Times New Roman" w:eastAsia="Times New Roman" w:hAnsi="Times New Roman"/>
          <w:sz w:val="14"/>
          <w:szCs w:val="14"/>
          <w:color w:val="auto"/>
        </w:rPr>
        <w:t>” in Part I, Item 3 of the Registrants’ combined 2024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the Registrants’ combined 2024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25"/>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25"/>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80" w:type="dxa"/>
            <w:vAlign w:val="bottom"/>
            <w:tcBorders>
              <w:top w:val="single" w:sz="8" w:color="auto"/>
            </w:tcBorders>
            <w:gridSpan w:val="29"/>
          </w:tcPr>
          <w:p>
            <w:pPr>
              <w:spacing w:after="0" w:line="102"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Asset Purchase Agreement, dated February 19, 2024, among</w:t>
              </w:r>
            </w:hyperlink>
          </w:p>
        </w:tc>
        <w:tc>
          <w:tcPr>
            <w:tcW w:w="4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tcBorders>
              <w:top w:val="single" w:sz="8" w:color="0000FF"/>
            </w:tcBorders>
            <w:gridSpan w:val="24"/>
          </w:tcPr>
          <w:p>
            <w:pPr>
              <w:spacing w:after="0" w:line="96"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CenterPoint Energy Resources Corp. and Delta Utilities No.</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February 19,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LA, LLC, Delta Utilities S. LA, LLC, Delta Utilities MS,</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LLC, and Delta Shared Services Co., LLC</w:t>
              </w:r>
            </w:hyperlink>
          </w:p>
        </w:tc>
        <w:tc>
          <w:tcPr>
            <w:tcW w:w="700" w:type="dxa"/>
            <w:vAlign w:val="bottom"/>
            <w:tcBorders>
              <w:top w:val="single" w:sz="8" w:color="0000FF"/>
            </w:tcBorders>
            <w:gridSpan w:val="9"/>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Restated Articles of Incorporation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dated July 24, 2008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0"/>
          </w:tcPr>
          <w:p>
            <w:pPr>
              <w:spacing w:after="0" w:line="119" w:lineRule="exact"/>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Restated Certificate of Formation of Houston Electric</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0"/>
          </w:tcPr>
          <w:p>
            <w:pPr>
              <w:spacing w:after="0" w:line="119" w:lineRule="exact"/>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Certificate of Incorporation of RERC Corp.</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3(a)(1)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Certificate of Amendment changing the name to Reliant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FF"/>
              <w:bottom w:val="single" w:sz="8" w:color="0000FF"/>
            </w:tcBorders>
            <w:gridSpan w:val="5"/>
          </w:tcPr>
          <w:p>
            <w:pPr>
              <w:spacing w:after="0" w:line="96"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Energy Resources Corp.</w:t>
              </w:r>
            </w:hyperlink>
          </w:p>
        </w:tc>
        <w:tc>
          <w:tcPr>
            <w:tcW w:w="1420" w:type="dxa"/>
            <w:vAlign w:val="bottom"/>
            <w:tcBorders>
              <w:top w:val="single" w:sz="8" w:color="0000FF"/>
            </w:tcBorders>
            <w:gridSpan w:val="9"/>
          </w:tcPr>
          <w:p>
            <w:pPr>
              <w:spacing w:after="0"/>
              <w:rPr>
                <w:sz w:val="8"/>
                <w:szCs w:val="8"/>
                <w:color w:val="auto"/>
              </w:rPr>
            </w:pPr>
          </w:p>
        </w:tc>
        <w:tc>
          <w:tcPr>
            <w:tcW w:w="6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December 31, 1998</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Certificate of Amendment changing the name to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10-Q for the quarter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3(a)(4)</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FF"/>
              <w:bottom w:val="single" w:sz="8" w:color="0000FF"/>
            </w:tcBorders>
            <w:gridSpan w:val="5"/>
          </w:tcPr>
          <w:p>
            <w:pPr>
              <w:spacing w:after="0" w:line="96"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Energy Resources Corp.</w:t>
              </w:r>
            </w:hyperlink>
          </w:p>
        </w:tc>
        <w:tc>
          <w:tcPr>
            <w:tcW w:w="1680" w:type="dxa"/>
            <w:vAlign w:val="bottom"/>
            <w:tcBorders>
              <w:top w:val="single" w:sz="8" w:color="0000FF"/>
            </w:tcBorders>
            <w:gridSpan w:val="2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June 30, 2003</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Fourth Amended and Restated Bylaws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3(h)</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3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20" w:type="dxa"/>
            <w:vAlign w:val="bottom"/>
            <w:gridSpan w:val="2"/>
          </w:tcPr>
          <w:p>
            <w:pPr>
              <w:spacing w:after="0" w:line="89" w:lineRule="exact"/>
              <w:rPr>
                <w:sz w:val="20"/>
                <w:szCs w:val="20"/>
                <w:color w:val="auto"/>
              </w:rPr>
            </w:pPr>
            <w:r>
              <w:rPr>
                <w:rFonts w:ascii="Times New Roman" w:cs="Times New Roman" w:eastAsia="Times New Roman" w:hAnsi="Times New Roman"/>
                <w:sz w:val="10"/>
                <w:szCs w:val="10"/>
                <w:color w:val="auto"/>
              </w:rPr>
              <w:t>for the year ended December 31,</w:t>
            </w: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0"/>
          </w:tcPr>
          <w:p>
            <w:pPr>
              <w:spacing w:after="0" w:line="125"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Amended and Restated Limited Liability Company</w:t>
              </w:r>
            </w:hyperlink>
          </w:p>
        </w:tc>
        <w:tc>
          <w:tcPr>
            <w:tcW w:w="172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top w:val="single" w:sz="8" w:color="0000FF"/>
              <w:bottom w:val="single" w:sz="8" w:color="0000FF"/>
            </w:tcBorders>
            <w:gridSpan w:val="6"/>
          </w:tcPr>
          <w:p>
            <w:pPr>
              <w:spacing w:after="0" w:line="96"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Agreement of Houston Electric</w:t>
              </w:r>
            </w:hyperlink>
          </w:p>
        </w:tc>
        <w:tc>
          <w:tcPr>
            <w:tcW w:w="920" w:type="dxa"/>
            <w:vAlign w:val="bottom"/>
            <w:tcBorders>
              <w:top w:val="single" w:sz="8" w:color="0000FF"/>
            </w:tcBorders>
            <w:gridSpan w:val="5"/>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Bylaws of RERC Corp.</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3(b)</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0"/>
          </w:tcPr>
          <w:p>
            <w:pPr>
              <w:spacing w:after="0" w:line="119"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Statement of Resolutions Deleting Shares Designated Series</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color w:val="auto"/>
              </w:rPr>
              <w:t>3(c)</w:t>
            </w: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tcBorders>
              <w:top w:val="single" w:sz="8" w:color="0000FF"/>
            </w:tcBorders>
            <w:gridSpan w:val="23"/>
          </w:tcPr>
          <w:p>
            <w:pPr>
              <w:spacing w:after="0" w:line="96"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A Preferred Stock of CenterPoint Energy</w:t>
              </w:r>
            </w:hyperlink>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2011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bottom w:val="single" w:sz="8" w:color="0000FF"/>
            </w:tcBorders>
            <w:gridSpan w:val="20"/>
          </w:tcPr>
          <w:p>
            <w:pPr>
              <w:spacing w:after="0" w:line="119"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General Mortgage Indenture, dated as of October 10, 2002,</w:t>
              </w:r>
            </w:hyperlink>
          </w:p>
        </w:tc>
        <w:tc>
          <w:tcPr>
            <w:tcW w:w="240" w:type="dxa"/>
            <w:vAlign w:val="bottom"/>
            <w:gridSpan w:val="10"/>
          </w:tcPr>
          <w:p>
            <w:pPr>
              <w:spacing w:after="0"/>
              <w:rPr>
                <w:sz w:val="10"/>
                <w:szCs w:val="10"/>
                <w:color w:val="auto"/>
              </w:rPr>
            </w:pPr>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color w:val="auto"/>
              </w:rPr>
              <w:t>4(j)(1)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0"/>
          </w:tcPr>
          <w:p>
            <w:pPr>
              <w:spacing w:after="0" w:line="96"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between Houston Electric and The Bank of New York Mellon</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September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tcBorders>
              <w:top w:val="single" w:sz="8" w:color="0000FF"/>
            </w:tcBorders>
            <w:gridSpan w:val="28"/>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Trust Company, National Association (successor in trust to</w:t>
              </w:r>
            </w:hyperlink>
          </w:p>
        </w:tc>
        <w:tc>
          <w:tcPr>
            <w:tcW w:w="60" w:type="dxa"/>
            <w:vAlign w:val="bottom"/>
            <w:gridSpan w:val="2"/>
          </w:tcPr>
          <w:p>
            <w:pPr>
              <w:spacing w:after="0"/>
              <w:rPr>
                <w:sz w:val="8"/>
                <w:szCs w:val="8"/>
                <w:color w:val="auto"/>
              </w:rPr>
            </w:pPr>
          </w:p>
        </w:tc>
        <w:tc>
          <w:tcPr>
            <w:tcW w:w="16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JPMorgan Chase Bank)</w:t>
              </w:r>
            </w:hyperlink>
          </w:p>
        </w:tc>
        <w:tc>
          <w:tcPr>
            <w:tcW w:w="1560" w:type="dxa"/>
            <w:vAlign w:val="bottom"/>
            <w:tcBorders>
              <w:top w:val="single" w:sz="8" w:color="0000FF"/>
            </w:tcBorders>
            <w:gridSpan w:val="15"/>
          </w:tcPr>
          <w:p>
            <w:pPr>
              <w:spacing w:after="0"/>
              <w:rPr>
                <w:sz w:val="8"/>
                <w:szCs w:val="8"/>
                <w:color w:val="auto"/>
              </w:rPr>
            </w:pPr>
          </w:p>
        </w:tc>
        <w:tc>
          <w:tcPr>
            <w:tcW w:w="60" w:type="dxa"/>
            <w:vAlign w:val="bottom"/>
            <w:gridSpan w:val="2"/>
          </w:tcPr>
          <w:p>
            <w:pPr>
              <w:spacing w:after="0"/>
              <w:rPr>
                <w:sz w:val="8"/>
                <w:szCs w:val="8"/>
                <w:color w:val="auto"/>
              </w:rPr>
            </w:pPr>
          </w:p>
        </w:tc>
        <w:tc>
          <w:tcPr>
            <w:tcW w:w="1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Ninth Supplemental Indenture, dated as of November 12,</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4(e)(10)</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tcBorders>
              <w:top w:val="single" w:sz="8" w:color="0000FF"/>
            </w:tcBorders>
            <w:gridSpan w:val="16"/>
          </w:tcPr>
          <w:p>
            <w:pPr>
              <w:spacing w:after="0" w:line="96"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2002, to Exhibit 4.2</w:t>
              </w:r>
            </w:hyperlink>
          </w:p>
        </w:tc>
        <w:tc>
          <w:tcPr>
            <w:tcW w:w="40" w:type="dxa"/>
            <w:vAlign w:val="bottom"/>
            <w:gridSpan w:val="2"/>
          </w:tcPr>
          <w:p>
            <w:pPr>
              <w:spacing w:after="0"/>
              <w:rPr>
                <w:sz w:val="8"/>
                <w:szCs w:val="8"/>
                <w:color w:val="auto"/>
              </w:rPr>
            </w:pPr>
          </w:p>
        </w:tc>
        <w:tc>
          <w:tcPr>
            <w:tcW w:w="8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0"/>
          </w:tcPr>
          <w:p>
            <w:pPr>
              <w:spacing w:after="0" w:line="119"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Twentieth Supplemental Indenture, dated as of December 9,</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tcBorders>
            <w:gridSpan w:val="21"/>
          </w:tcPr>
          <w:p>
            <w:pPr>
              <w:spacing w:after="0" w:line="96"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2008, to Exhibit 4.2</w:t>
              </w:r>
            </w:hyperlink>
          </w:p>
        </w:tc>
        <w:tc>
          <w:tcPr>
            <w:tcW w:w="1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January 6, 2009</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Thirty-Seventh Supplemental Indenture, dated as of February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3"/>
          </w:tcPr>
          <w:p>
            <w:pPr>
              <w:spacing w:after="0" w:line="96"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27, 2025, to Exhibit 4.1</w:t>
              </w:r>
            </w:hyperlink>
          </w:p>
        </w:tc>
        <w:tc>
          <w:tcPr>
            <w:tcW w:w="1760" w:type="dxa"/>
            <w:vAlign w:val="bottom"/>
            <w:tcBorders>
              <w:top w:val="single" w:sz="8" w:color="0000FF"/>
            </w:tcBorders>
            <w:gridSpan w:val="24"/>
          </w:tcPr>
          <w:p>
            <w:pPr>
              <w:spacing w:after="0"/>
              <w:rPr>
                <w:sz w:val="8"/>
                <w:szCs w:val="8"/>
                <w:color w:val="auto"/>
              </w:rPr>
            </w:pPr>
          </w:p>
        </w:tc>
        <w:tc>
          <w:tcPr>
            <w:tcW w:w="80" w:type="dxa"/>
            <w:vAlign w:val="bottom"/>
            <w:gridSpan w:val="3"/>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February 26,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†4.5</w:t>
            </w:r>
          </w:p>
        </w:tc>
        <w:tc>
          <w:tcPr>
            <w:tcW w:w="20" w:type="dxa"/>
            <w:vAlign w:val="bottom"/>
          </w:tcPr>
          <w:p>
            <w:pPr>
              <w:spacing w:after="0"/>
              <w:rPr>
                <w:sz w:val="12"/>
                <w:szCs w:val="12"/>
                <w:color w:val="auto"/>
              </w:rPr>
            </w:pP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1"/>
                <w:szCs w:val="11"/>
                <w:color w:val="0000FF"/>
              </w:rPr>
              <w:t>Officer’s Certificate, dated as of February 27, 2025</w:t>
            </w:r>
          </w:p>
        </w:tc>
        <w:tc>
          <w:tcPr>
            <w:tcW w:w="600" w:type="dxa"/>
            <w:vAlign w:val="bottom"/>
            <w:gridSpan w:val="20"/>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30"/>
          </w:tcPr>
          <w:p>
            <w:pPr>
              <w:spacing w:after="0"/>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Fourth Supplemental Indenture dated as of January 31, 2025,</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4(g)(5)</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20" w:type="dxa"/>
            <w:vAlign w:val="bottom"/>
            <w:tcBorders>
              <w:top w:val="single" w:sz="8" w:color="0000FF"/>
            </w:tcBorders>
            <w:gridSpan w:val="26"/>
          </w:tcPr>
          <w:p>
            <w:pPr>
              <w:spacing w:after="0" w:line="96"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between Southern Indiana Gas and Electric Company and</w:t>
              </w:r>
            </w:hyperlink>
          </w:p>
        </w:tc>
        <w:tc>
          <w:tcPr>
            <w:tcW w:w="100" w:type="dxa"/>
            <w:vAlign w:val="bottom"/>
            <w:gridSpan w:val="4"/>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tcBorders>
              <w:top w:val="single" w:sz="8" w:color="0000FF"/>
              <w:bottom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Deutsche Bank Trust Company Americas, as Trustee</w:t>
              </w:r>
            </w:hyperlink>
          </w:p>
        </w:tc>
        <w:tc>
          <w:tcPr>
            <w:tcW w:w="240" w:type="dxa"/>
            <w:vAlign w:val="bottom"/>
            <w:tcBorders>
              <w:top w:val="single" w:sz="8" w:color="0000FF"/>
            </w:tcBorders>
            <w:gridSpan w:val="6"/>
          </w:tcPr>
          <w:p>
            <w:pPr>
              <w:spacing w:after="0"/>
              <w:rPr>
                <w:sz w:val="8"/>
                <w:szCs w:val="8"/>
                <w:color w:val="auto"/>
              </w:rPr>
            </w:pPr>
          </w:p>
        </w:tc>
        <w:tc>
          <w:tcPr>
            <w:tcW w:w="280" w:type="dxa"/>
            <w:vAlign w:val="bottom"/>
            <w:gridSpan w:val="12"/>
          </w:tcPr>
          <w:p>
            <w:pPr>
              <w:spacing w:after="0"/>
              <w:rPr>
                <w:sz w:val="8"/>
                <w:szCs w:val="8"/>
                <w:color w:val="auto"/>
              </w:rPr>
            </w:pPr>
          </w:p>
        </w:tc>
        <w:tc>
          <w:tcPr>
            <w:tcW w:w="16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gridSpan w:val="19"/>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19"/>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gridSpan w:val="21"/>
          </w:tcPr>
          <w:p>
            <w:pPr>
              <w:spacing w:after="0" w:line="102"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Extension Agreement to Second Amended and Restated</w:t>
              </w:r>
            </w:hyperlink>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Borders>
              <w:top w:val="single" w:sz="8" w:color="0000FF"/>
            </w:tcBorders>
            <w:gridSpan w:val="12"/>
          </w:tcPr>
          <w:p>
            <w:pPr>
              <w:spacing w:after="0" w:line="96"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Credit Agreement, dated as of January 29, 2025 among</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January 29,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tcBorders>
            <w:gridSpan w:val="11"/>
          </w:tcPr>
          <w:p>
            <w:pPr>
              <w:spacing w:after="0" w:line="97"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CenterPoint Energy, Inc., JPMorgan Chase Bank, N.A.,</w:t>
              </w:r>
            </w:hyperlink>
          </w:p>
        </w:tc>
        <w:tc>
          <w:tcPr>
            <w:tcW w:w="420" w:type="dxa"/>
            <w:vAlign w:val="bottom"/>
            <w:gridSpan w:val="11"/>
          </w:tcPr>
          <w:p>
            <w:pPr>
              <w:ind w:left="40"/>
              <w:spacing w:after="0" w:line="97"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as</w:t>
              </w:r>
            </w:hyperlink>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tcBorders>
              <w:top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administrative agent, and the banks party thereto</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22"/>
          </w:tcPr>
          <w:p>
            <w:pPr>
              <w:spacing w:after="0"/>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Extension Agreement to Second Amended and Restated</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bottom w:val="single" w:sz="8" w:color="0000FF"/>
            </w:tcBorders>
            <w:gridSpan w:val="11"/>
          </w:tcPr>
          <w:p>
            <w:pPr>
              <w:spacing w:after="0" w:line="96"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Credit Agreement, dated as of January 29, 2025 among</w:t>
              </w:r>
            </w:hyperlink>
          </w:p>
        </w:tc>
        <w:tc>
          <w:tcPr>
            <w:tcW w:w="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January 29,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22"/>
          </w:tcPr>
          <w:p>
            <w:pPr>
              <w:spacing w:after="0" w:line="97"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CenterPoint Energy Houston Electric, LLC, Mizuho Bank,</w:t>
              </w:r>
            </w:hyperlink>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tcBorders>
              <w:top w:val="single" w:sz="8" w:color="0000FF"/>
              <w:bottom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Ltd., as administrative agent, and the banks party thereto</w:t>
              </w:r>
            </w:hyperlink>
          </w:p>
        </w:tc>
        <w:tc>
          <w:tcPr>
            <w:tcW w:w="80" w:type="dxa"/>
            <w:vAlign w:val="bottom"/>
            <w:tcBorders>
              <w:top w:val="single" w:sz="8" w:color="0000FF"/>
            </w:tcBorders>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22"/>
          </w:tcPr>
          <w:p>
            <w:pPr>
              <w:spacing w:after="0"/>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Extension Agreement to Second Amended and Restated</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Borders>
              <w:top w:val="single" w:sz="8" w:color="0000FF"/>
            </w:tcBorders>
            <w:gridSpan w:val="12"/>
          </w:tcPr>
          <w:p>
            <w:pPr>
              <w:spacing w:after="0" w:line="96"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Credit Agreement, dated as of January 29, 2025 among</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January 29,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bottom w:val="single" w:sz="8" w:color="0000FF"/>
            </w:tcBorders>
            <w:gridSpan w:val="11"/>
          </w:tcPr>
          <w:p>
            <w:pPr>
              <w:spacing w:after="0" w:line="97" w:lineRule="exact"/>
              <w:rPr>
                <w:rFonts w:ascii="Times New Roman" w:cs="Times New Roman" w:eastAsia="Times New Roman" w:hAnsi="Times New Roman"/>
                <w:sz w:val="11"/>
                <w:szCs w:val="11"/>
                <w:color w:val="0000FF"/>
                <w:w w:val="98"/>
              </w:rPr>
            </w:pPr>
            <w:hyperlink r:id="rId120">
              <w:r>
                <w:rPr>
                  <w:rFonts w:ascii="Times New Roman" w:cs="Times New Roman" w:eastAsia="Times New Roman" w:hAnsi="Times New Roman"/>
                  <w:sz w:val="11"/>
                  <w:szCs w:val="11"/>
                  <w:color w:val="0000FF"/>
                  <w:w w:val="98"/>
                </w:rPr>
                <w:t>CenterPoint Energy Resources Corp., Wells Fargo Bank,</w:t>
              </w:r>
            </w:hyperlink>
          </w:p>
        </w:tc>
        <w:tc>
          <w:tcPr>
            <w:tcW w:w="60" w:type="dxa"/>
            <w:vAlign w:val="bottom"/>
            <w:tcBorders>
              <w:bottom w:val="single" w:sz="8" w:color="0000FF"/>
            </w:tcBorders>
            <w:gridSpan w:val="2"/>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22"/>
          </w:tcPr>
          <w:p>
            <w:pPr>
              <w:spacing w:after="0" w:line="97"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National Association, as administrative agent, and the banks</w:t>
              </w:r>
            </w:hyperlink>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FF"/>
              <w:bottom w:val="single" w:sz="8" w:color="0000FF"/>
            </w:tcBorders>
            <w:gridSpan w:val="2"/>
          </w:tcPr>
          <w:p>
            <w:pPr>
              <w:spacing w:after="0" w:line="86" w:lineRule="exact"/>
              <w:rPr>
                <w:rFonts w:ascii="Times New Roman" w:cs="Times New Roman" w:eastAsia="Times New Roman" w:hAnsi="Times New Roman"/>
                <w:sz w:val="9"/>
                <w:szCs w:val="9"/>
                <w:color w:val="0000FF"/>
              </w:rPr>
            </w:pPr>
            <w:hyperlink r:id="rId120">
              <w:r>
                <w:rPr>
                  <w:rFonts w:ascii="Times New Roman" w:cs="Times New Roman" w:eastAsia="Times New Roman" w:hAnsi="Times New Roman"/>
                  <w:sz w:val="9"/>
                  <w:szCs w:val="9"/>
                  <w:color w:val="0000FF"/>
                </w:rPr>
                <w:t>party thereto</w:t>
              </w:r>
            </w:hyperlink>
          </w:p>
        </w:tc>
        <w:tc>
          <w:tcPr>
            <w:tcW w:w="2160" w:type="dxa"/>
            <w:vAlign w:val="bottom"/>
            <w:tcBorders>
              <w:top w:val="single" w:sz="8" w:color="0000FF"/>
            </w:tcBorders>
            <w:gridSpan w:val="18"/>
          </w:tcPr>
          <w:p>
            <w:pPr>
              <w:spacing w:after="0"/>
              <w:rPr>
                <w:sz w:val="7"/>
                <w:szCs w:val="7"/>
                <w:color w:val="auto"/>
              </w:rPr>
            </w:pPr>
          </w:p>
        </w:tc>
        <w:tc>
          <w:tcPr>
            <w:tcW w:w="180" w:type="dxa"/>
            <w:vAlign w:val="bottom"/>
            <w:gridSpan w:val="2"/>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22"/>
          </w:tcPr>
          <w:p>
            <w:pPr>
              <w:spacing w:after="0"/>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Extension Agreement to Credit Agreement, dated as of</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720" w:type="dxa"/>
            <w:vAlign w:val="bottom"/>
            <w:gridSpan w:val="2"/>
            <w:vMerge w:val="restart"/>
          </w:tcPr>
          <w:p>
            <w:pPr>
              <w:spacing w:after="0" w:line="117" w:lineRule="exact"/>
              <w:rPr>
                <w:sz w:val="20"/>
                <w:szCs w:val="20"/>
                <w:color w:val="auto"/>
              </w:rPr>
            </w:pPr>
            <w:r>
              <w:rPr>
                <w:rFonts w:ascii="Times New Roman" w:cs="Times New Roman" w:eastAsia="Times New Roman" w:hAnsi="Times New Roman"/>
                <w:sz w:val="11"/>
                <w:szCs w:val="11"/>
                <w:color w:val="auto"/>
              </w:rPr>
              <w:t>dated January 29, 2025</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22"/>
          </w:tcPr>
          <w:p>
            <w:pPr>
              <w:spacing w:after="0" w:line="96"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January 29, 2025 among Southern Indiana Gas and Electric</w:t>
              </w:r>
            </w:hyperlink>
          </w:p>
        </w:tc>
        <w:tc>
          <w:tcPr>
            <w:tcW w:w="17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Company, Wells Fargo Bank, National Association, as</w:t>
              </w:r>
            </w:hyperlink>
          </w:p>
        </w:tc>
        <w:tc>
          <w:tcPr>
            <w:tcW w:w="20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tcBorders>
              <w:top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administrative agent, and the banks party thereto</w:t>
              </w:r>
            </w:hyperlink>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4"/>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22"/>
          </w:tcPr>
          <w:p>
            <w:pPr>
              <w:spacing w:after="0"/>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Second Amendment to Amended and Restated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10(m)(2)</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tcBorders>
              <w:top w:val="single" w:sz="8" w:color="0000FF"/>
            </w:tcBorders>
            <w:gridSpan w:val="17"/>
          </w:tcPr>
          <w:p>
            <w:pPr>
              <w:spacing w:after="0" w:line="96"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Energy Stock Plan for Outside Directors, dated as of</w:t>
              </w:r>
            </w:hyperlink>
          </w:p>
        </w:tc>
        <w:tc>
          <w:tcPr>
            <w:tcW w:w="20" w:type="dxa"/>
            <w:vAlign w:val="bottom"/>
          </w:tcPr>
          <w:p>
            <w:pPr>
              <w:spacing w:after="0"/>
              <w:rPr>
                <w:sz w:val="8"/>
                <w:szCs w:val="8"/>
                <w:color w:val="auto"/>
              </w:rPr>
            </w:pPr>
          </w:p>
        </w:tc>
        <w:tc>
          <w:tcPr>
            <w:tcW w:w="220" w:type="dxa"/>
            <w:vAlign w:val="bottom"/>
            <w:gridSpan w:val="4"/>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February 14, 2025</w:t>
              </w:r>
            </w:hyperlink>
          </w:p>
        </w:tc>
        <w:tc>
          <w:tcPr>
            <w:tcW w:w="1540" w:type="dxa"/>
            <w:vAlign w:val="bottom"/>
            <w:tcBorders>
              <w:top w:val="single" w:sz="8" w:color="0000FF"/>
            </w:tcBorders>
            <w:gridSpan w:val="6"/>
          </w:tcPr>
          <w:p>
            <w:pPr>
              <w:spacing w:after="0"/>
              <w:rPr>
                <w:sz w:val="8"/>
                <w:szCs w:val="8"/>
                <w:color w:val="auto"/>
              </w:rPr>
            </w:pPr>
          </w:p>
        </w:tc>
        <w:tc>
          <w:tcPr>
            <w:tcW w:w="1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4"/>
          </w:tcPr>
          <w:p>
            <w:pPr>
              <w:spacing w:after="0"/>
              <w:rPr>
                <w:sz w:val="8"/>
                <w:szCs w:val="8"/>
                <w:color w:val="auto"/>
              </w:rPr>
            </w:pPr>
          </w:p>
        </w:tc>
        <w:tc>
          <w:tcPr>
            <w:tcW w:w="16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†31.1.1</w:t>
            </w:r>
          </w:p>
        </w:tc>
        <w:tc>
          <w:tcPr>
            <w:tcW w:w="20" w:type="dxa"/>
            <w:vAlign w:val="bottom"/>
          </w:tcPr>
          <w:p>
            <w:pPr>
              <w:spacing w:after="0"/>
              <w:rPr>
                <w:sz w:val="12"/>
                <w:szCs w:val="12"/>
                <w:color w:val="auto"/>
              </w:rPr>
            </w:pPr>
          </w:p>
        </w:tc>
        <w:tc>
          <w:tcPr>
            <w:tcW w:w="2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1"/>
                <w:szCs w:val="11"/>
                <w:color w:val="0000FF"/>
              </w:rPr>
              <w:t>Rule 13a-14(a)/15d-14(a) Certification of Jason P. Wells</w:t>
            </w:r>
          </w:p>
        </w:tc>
        <w:tc>
          <w:tcPr>
            <w:tcW w:w="360" w:type="dxa"/>
            <w:vAlign w:val="bottom"/>
            <w:gridSpan w:val="9"/>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†31.1.2</w:t>
            </w:r>
          </w:p>
        </w:tc>
        <w:tc>
          <w:tcPr>
            <w:tcW w:w="20" w:type="dxa"/>
            <w:vAlign w:val="bottom"/>
          </w:tcPr>
          <w:p>
            <w:pPr>
              <w:spacing w:after="0"/>
              <w:rPr>
                <w:sz w:val="12"/>
                <w:szCs w:val="12"/>
                <w:color w:val="auto"/>
              </w:rPr>
            </w:pPr>
          </w:p>
        </w:tc>
        <w:tc>
          <w:tcPr>
            <w:tcW w:w="26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1"/>
                <w:szCs w:val="11"/>
                <w:color w:val="0000FF"/>
              </w:rPr>
              <w:t>Rule 13a-14(a)/15d-14(a) Certification of Darin M. Carroll</w:t>
            </w:r>
          </w:p>
        </w:tc>
        <w:tc>
          <w:tcPr>
            <w:tcW w:w="240" w:type="dxa"/>
            <w:vAlign w:val="bottom"/>
            <w:gridSpan w:val="5"/>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†31.1.3</w:t>
            </w:r>
          </w:p>
        </w:tc>
        <w:tc>
          <w:tcPr>
            <w:tcW w:w="20" w:type="dxa"/>
            <w:vAlign w:val="bottom"/>
          </w:tcPr>
          <w:p>
            <w:pPr>
              <w:spacing w:after="0"/>
              <w:rPr>
                <w:sz w:val="12"/>
                <w:szCs w:val="12"/>
                <w:color w:val="auto"/>
              </w:rPr>
            </w:pPr>
          </w:p>
        </w:tc>
        <w:tc>
          <w:tcPr>
            <w:tcW w:w="2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Richard C. Leger</w:t>
            </w:r>
          </w:p>
        </w:tc>
        <w:tc>
          <w:tcPr>
            <w:tcW w:w="220" w:type="dxa"/>
            <w:vAlign w:val="bottom"/>
            <w:gridSpan w:val="4"/>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4"/>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8"/>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†31.2.2</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4"/>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8"/>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†31.2.3</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4"/>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8"/>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†32.1.1</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Jason P. Wells</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†32.1.2</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Darin M. Carroll</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†32.1.3</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Richard C. Leger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†32.2.1</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†32.2.2</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†32.2.3</w:t>
            </w: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†101.INS</w:t>
            </w:r>
          </w:p>
        </w:tc>
        <w:tc>
          <w:tcPr>
            <w:tcW w:w="20" w:type="dxa"/>
            <w:vAlign w:val="bottom"/>
          </w:tcPr>
          <w:p>
            <w:pPr>
              <w:spacing w:after="0"/>
              <w:rPr>
                <w:sz w:val="11"/>
                <w:szCs w:val="11"/>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gridSpan w:val="22"/>
          </w:tcPr>
          <w:p>
            <w:pPr>
              <w:spacing w:after="0" w:line="110" w:lineRule="exact"/>
              <w:rPr>
                <w:sz w:val="20"/>
                <w:szCs w:val="20"/>
                <w:color w:val="auto"/>
              </w:rPr>
            </w:pPr>
            <w:r>
              <w:rPr>
                <w:rFonts w:ascii="Times New Roman" w:cs="Times New Roman" w:eastAsia="Times New Roman" w:hAnsi="Times New Roman"/>
                <w:sz w:val="11"/>
                <w:szCs w:val="11"/>
                <w:color w:val="auto"/>
              </w:rPr>
              <w:t>does not appear in the Interactive Data File because its XBRL</w:t>
            </w: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tags are embedded within the Inline XBRL 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†101.SCH</w:t>
            </w:r>
          </w:p>
        </w:tc>
        <w:tc>
          <w:tcPr>
            <w:tcW w:w="20" w:type="dxa"/>
            <w:vAlign w:val="bottom"/>
          </w:tcPr>
          <w:p>
            <w:pPr>
              <w:spacing w:after="0"/>
              <w:rPr>
                <w:sz w:val="13"/>
                <w:szCs w:val="13"/>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5"/>
        </w:trPr>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†101.CAL</w:t>
            </w:r>
          </w:p>
        </w:tc>
        <w:tc>
          <w:tcPr>
            <w:tcW w:w="20" w:type="dxa"/>
            <w:vAlign w:val="bottom"/>
          </w:tcPr>
          <w:p>
            <w:pPr>
              <w:spacing w:after="0"/>
              <w:rPr>
                <w:sz w:val="10"/>
                <w:szCs w:val="10"/>
                <w:color w:val="auto"/>
              </w:rPr>
            </w:pPr>
          </w:p>
        </w:tc>
        <w:tc>
          <w:tcPr>
            <w:tcW w:w="2920" w:type="dxa"/>
            <w:vAlign w:val="bottom"/>
            <w:gridSpan w:val="22"/>
          </w:tcPr>
          <w:p>
            <w:pPr>
              <w:spacing w:after="0" w:line="125" w:lineRule="exact"/>
              <w:rPr>
                <w:sz w:val="20"/>
                <w:szCs w:val="20"/>
                <w:color w:val="auto"/>
              </w:rPr>
            </w:pPr>
            <w:r>
              <w:rPr>
                <w:rFonts w:ascii="Times New Roman" w:cs="Times New Roman" w:eastAsia="Times New Roman" w:hAnsi="Times New Roman"/>
                <w:sz w:val="11"/>
                <w:szCs w:val="11"/>
                <w:color w:val="auto"/>
              </w:rPr>
              <w:t>Inline XBRL Taxonomy Extension Calculation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†101.DEF</w:t>
            </w:r>
          </w:p>
        </w:tc>
        <w:tc>
          <w:tcPr>
            <w:tcW w:w="20" w:type="dxa"/>
            <w:vAlign w:val="bottom"/>
          </w:tcPr>
          <w:p>
            <w:pPr>
              <w:spacing w:after="0"/>
              <w:rPr>
                <w:sz w:val="10"/>
                <w:szCs w:val="10"/>
                <w:color w:val="auto"/>
              </w:rPr>
            </w:pPr>
          </w:p>
        </w:tc>
        <w:tc>
          <w:tcPr>
            <w:tcW w:w="2920" w:type="dxa"/>
            <w:vAlign w:val="bottom"/>
            <w:gridSpan w:val="22"/>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Definition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†101.LAB</w:t>
            </w:r>
          </w:p>
        </w:tc>
        <w:tc>
          <w:tcPr>
            <w:tcW w:w="20" w:type="dxa"/>
            <w:vAlign w:val="bottom"/>
          </w:tcPr>
          <w:p>
            <w:pPr>
              <w:spacing w:after="0"/>
              <w:rPr>
                <w:sz w:val="10"/>
                <w:szCs w:val="10"/>
                <w:color w:val="auto"/>
              </w:rPr>
            </w:pPr>
          </w:p>
        </w:tc>
        <w:tc>
          <w:tcPr>
            <w:tcW w:w="2920" w:type="dxa"/>
            <w:vAlign w:val="bottom"/>
            <w:gridSpan w:val="22"/>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Labels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9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940" w:type="dxa"/>
            <w:vAlign w:val="bottom"/>
            <w:gridSpan w:val="2"/>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†101.PRE</w:t>
            </w:r>
          </w:p>
        </w:tc>
        <w:tc>
          <w:tcPr>
            <w:tcW w:w="80" w:type="dxa"/>
            <w:vAlign w:val="bottom"/>
          </w:tcPr>
          <w:p>
            <w:pPr>
              <w:spacing w:after="0"/>
              <w:rPr>
                <w:sz w:val="8"/>
                <w:szCs w:val="8"/>
                <w:color w:val="auto"/>
              </w:rPr>
            </w:pPr>
          </w:p>
        </w:tc>
        <w:tc>
          <w:tcPr>
            <w:tcW w:w="2840" w:type="dxa"/>
            <w:vAlign w:val="bottom"/>
            <w:tcBorders>
              <w:top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Inline XBRL Taxonomy Extension Presentation Linkbase</w:t>
            </w:r>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w w:val="99"/>
              </w:rPr>
              <w:t>†104</w:t>
            </w:r>
          </w:p>
        </w:tc>
        <w:tc>
          <w:tcPr>
            <w:tcW w:w="29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Cover Page Interactive Data File (formatted as Inline XBRL</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contained in Exhibit 101)</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right="560" w:hanging="202"/>
        <w:spacing w:after="0" w:line="255" w:lineRule="auto"/>
        <w:tabs>
          <w:tab w:leader="none" w:pos="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each registrant has duly caused this report to be signed on its behalf by the undersigned thereunto duly authorized.</w:t>
      </w:r>
    </w:p>
    <w:p>
      <w:pPr>
        <w:spacing w:after="0" w:line="23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1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355" w:lineRule="exact"/>
        <w:rPr>
          <w:sz w:val="20"/>
          <w:szCs w:val="20"/>
          <w:color w:val="auto"/>
        </w:rPr>
      </w:pPr>
    </w:p>
    <w:tbl>
      <w:tblPr>
        <w:tblLayout w:type="fixed"/>
        <w:tblInd w:w="492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8"/>
              </w:rPr>
              <w:t>By:</w:t>
            </w:r>
          </w:p>
        </w:tc>
        <w:tc>
          <w:tcPr>
            <w:tcW w:w="6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Kristie L. Colvin</w:t>
            </w:r>
          </w:p>
        </w:tc>
      </w:tr>
      <w:tr>
        <w:trPr>
          <w:trHeight w:val="167"/>
        </w:trPr>
        <w:tc>
          <w:tcPr>
            <w:tcW w:w="200" w:type="dxa"/>
            <w:vAlign w:val="bottom"/>
          </w:tcPr>
          <w:p>
            <w:pPr>
              <w:spacing w:after="0"/>
              <w:rPr>
                <w:sz w:val="14"/>
                <w:szCs w:val="14"/>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Kristie L. Colvin</w:t>
            </w:r>
          </w:p>
        </w:tc>
      </w:tr>
      <w:tr>
        <w:trPr>
          <w:trHeight w:val="180"/>
        </w:trPr>
        <w:tc>
          <w:tcPr>
            <w:tcW w:w="200" w:type="dxa"/>
            <w:vAlign w:val="bottom"/>
          </w:tcPr>
          <w:p>
            <w:pPr>
              <w:spacing w:after="0"/>
              <w:rPr>
                <w:sz w:val="15"/>
                <w:szCs w:val="15"/>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84"/>
        </w:trPr>
        <w:tc>
          <w:tcPr>
            <w:tcW w:w="200" w:type="dxa"/>
            <w:vAlign w:val="bottom"/>
          </w:tcPr>
          <w:p>
            <w:pPr>
              <w:spacing w:after="0"/>
              <w:rPr>
                <w:sz w:val="16"/>
                <w:szCs w:val="16"/>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Darin M. Carroll, certify that:</w:t>
      </w:r>
    </w:p>
    <w:p>
      <w:pPr>
        <w:spacing w:after="0" w:line="179" w:lineRule="exact"/>
        <w:rPr>
          <w:sz w:val="20"/>
          <w:szCs w:val="20"/>
          <w:color w:val="auto"/>
        </w:rPr>
      </w:pP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Darin M. Carroll</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C. Leger, certify that:</w:t>
      </w:r>
    </w:p>
    <w:p>
      <w:pPr>
        <w:spacing w:after="0" w:line="179" w:lineRule="exact"/>
        <w:rPr>
          <w:sz w:val="20"/>
          <w:szCs w:val="20"/>
          <w:color w:val="auto"/>
        </w:rPr>
      </w:pPr>
    </w:p>
    <w:p>
      <w:pPr>
        <w:ind w:left="1000" w:hanging="486"/>
        <w:spacing w:after="0"/>
        <w:tabs>
          <w:tab w:leader="none" w:pos="10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right="240" w:firstLine="514"/>
        <w:spacing w:after="0" w:line="287" w:lineRule="auto"/>
        <w:tabs>
          <w:tab w:leader="none" w:pos="100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320" w:firstLine="514"/>
        <w:spacing w:after="0" w:line="287" w:lineRule="auto"/>
        <w:tabs>
          <w:tab w:leader="none" w:pos="100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right="360" w:hanging="506"/>
        <w:spacing w:after="0" w:line="270"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right="240" w:firstLine="514"/>
        <w:spacing w:after="0" w:line="287" w:lineRule="auto"/>
        <w:tabs>
          <w:tab w:leader="none" w:pos="100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right="520" w:hanging="506"/>
        <w:spacing w:after="0" w:line="287" w:lineRule="auto"/>
        <w:tabs>
          <w:tab w:leader="none" w:pos="101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right="740" w:firstLine="514"/>
        <w:spacing w:after="0" w:line="540" w:lineRule="auto"/>
        <w:tabs>
          <w:tab w:leader="none" w:pos="101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 April 24, 2025</w:t>
      </w:r>
    </w:p>
    <w:p>
      <w:pPr>
        <w:spacing w:after="0" w:line="8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Richard C. Leger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right="240" w:firstLine="514"/>
        <w:spacing w:after="0" w:line="287" w:lineRule="auto"/>
        <w:tabs>
          <w:tab w:leader="none" w:pos="100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320" w:firstLine="514"/>
        <w:spacing w:after="0" w:line="287" w:lineRule="auto"/>
        <w:tabs>
          <w:tab w:leader="none" w:pos="100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right="360" w:hanging="506"/>
        <w:spacing w:after="0" w:line="270"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right="240" w:firstLine="514"/>
        <w:spacing w:after="0" w:line="287" w:lineRule="auto"/>
        <w:tabs>
          <w:tab w:leader="none" w:pos="100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right="520" w:hanging="506"/>
        <w:spacing w:after="0" w:line="287" w:lineRule="auto"/>
        <w:tabs>
          <w:tab w:leader="none" w:pos="101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right="740" w:firstLine="514"/>
        <w:spacing w:after="0" w:line="540" w:lineRule="auto"/>
        <w:tabs>
          <w:tab w:leader="none" w:pos="101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 April 24, 2025</w:t>
      </w:r>
    </w:p>
    <w:p>
      <w:pPr>
        <w:spacing w:after="0" w:line="8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14605</wp:posOffset>
            </wp:positionV>
            <wp:extent cx="230441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March 31, 2025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p>
      <w:pPr>
        <w:sectPr>
          <w:pgSz w:w="11900" w:h="16838" w:orient="portrait"/>
          <w:cols w:equalWidth="0" w:num="1">
            <w:col w:w="11280"/>
          </w:cols>
          <w:pgMar w:left="300" w:top="729"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March 31, 2025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Darin M. Carroll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p>
      <w:pPr>
        <w:sectPr>
          <w:pgSz w:w="11900" w:h="16838" w:orient="portrait"/>
          <w:cols w:equalWidth="0" w:num="1">
            <w:col w:w="11280"/>
          </w:cols>
          <w:pgMar w:left="300" w:top="729"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March 31, 2025 (the “Report”), as filed with the Securities and Exchange Commission on the date hereof, I, Richard C. Leger,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Richard C. Leger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p>
      <w:pPr>
        <w:sectPr>
          <w:pgSz w:w="11900" w:h="16838" w:orient="portrait"/>
          <w:cols w:equalWidth="0" w:num="1">
            <w:col w:w="11280"/>
          </w:cols>
          <w:pgMar w:left="300" w:top="729"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March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p>
      <w:pPr>
        <w:sectPr>
          <w:pgSz w:w="11900" w:h="16838" w:orient="portrait"/>
          <w:cols w:equalWidth="0" w:num="1">
            <w:col w:w="11280"/>
          </w:cols>
          <w:pgMar w:left="300" w:top="729"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March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p>
      <w:pPr>
        <w:sectPr>
          <w:pgSz w:w="11900" w:h="16838" w:orient="portrait"/>
          <w:cols w:equalWidth="0" w:num="1">
            <w:col w:w="11280"/>
          </w:cols>
          <w:pgMar w:left="300" w:top="730"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March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24, 2025</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lvl w:ilvl="1">
      <w:lvlJc w:val="left"/>
      <w:lvlText w:val="(%2)"/>
      <w:numFmt w:val="decimal"/>
      <w:start w:val="1"/>
    </w:lvl>
  </w:abstractNum>
  <w:abstractNum w:abstractNumId="9">
    <w:nsid w:val="153EA438"/>
    <w:multiLevelType w:val="hybridMultilevel"/>
    <w:lvl w:ilvl="0">
      <w:lvlJc w:val="left"/>
      <w:lvlText w:val="(%1)"/>
      <w:numFmt w:val="decimal"/>
      <w:start w:val="5"/>
    </w:lvl>
    <w:lvl w:ilvl="1">
      <w:lvlJc w:val="left"/>
      <w:lvlText w:val="%2"/>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3"/>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1"/>
    </w:lvl>
    <w:lvl w:ilvl="1">
      <w:lvlJc w:val="left"/>
      <w:lvlText w:val="(%2)"/>
      <w:numFmt w:val="decimal"/>
      <w:start w:val="1"/>
    </w:lvl>
  </w:abstractNum>
  <w:abstractNum w:abstractNumId="15">
    <w:nsid w:val="725A06FB"/>
    <w:multiLevelType w:val="hybridMultilevel"/>
    <w:lvl w:ilvl="0">
      <w:lvlJc w:val="left"/>
      <w:lvlText w:val="(%1)"/>
      <w:numFmt w:val="decimal"/>
      <w:start w:val="8"/>
    </w:lvl>
    <w:lvl w:ilvl="1">
      <w:lvlJc w:val="left"/>
      <w:lvlText w:val="%2"/>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10"/>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lowerLetter"/>
      <w:start w:val="4"/>
    </w:lvl>
  </w:abstractNum>
  <w:abstractNum w:abstractNumId="22">
    <w:nsid w:val="38437FDB"/>
    <w:multiLevelType w:val="hybridMultilevel"/>
    <w:lvl w:ilvl="0">
      <w:lvlJc w:val="left"/>
      <w:lvlText w:val="(%1)"/>
      <w:numFmt w:val="lowerRoman"/>
      <w:start w:val="1"/>
    </w:lvl>
  </w:abstractNum>
  <w:abstractNum w:abstractNumId="23">
    <w:nsid w:val="7644A45C"/>
    <w:multiLevelType w:val="hybridMultilevel"/>
    <w:lvl w:ilvl="0">
      <w:lvlJc w:val="left"/>
      <w:lvlText w:val="(%1)"/>
      <w:numFmt w:val="decimal"/>
      <w:start w:val="12"/>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lvl w:ilvl="1">
      <w:lvlJc w:val="left"/>
      <w:lvlText w:val="(%2)"/>
      <w:numFmt w:val="decimal"/>
      <w:start w:val="1"/>
    </w:lvl>
  </w:abstractNum>
  <w:abstractNum w:abstractNumId="29">
    <w:nsid w:val="1BA026FA"/>
    <w:multiLevelType w:val="hybridMultilevel"/>
    <w:lvl w:ilvl="0">
      <w:lvlJc w:val="left"/>
      <w:lvlText w:val="(%1)"/>
      <w:numFmt w:val="decimal"/>
      <w:start w:val="14"/>
    </w:lvl>
    <w:lvl w:ilvl="1">
      <w:lvlJc w:val="left"/>
      <w:lvlText w:val="%2"/>
      <w:numFmt w:val="decimal"/>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lvl w:ilvl="1">
      <w:lvlJc w:val="left"/>
      <w:lvlText w:val="(%2)"/>
      <w:numFmt w:val="decimal"/>
      <w:start w:val="1"/>
    </w:lvl>
  </w:abstractNum>
  <w:abstractNum w:abstractNumId="33">
    <w:nsid w:val="70C6A529"/>
    <w:multiLevelType w:val="hybridMultilevel"/>
    <w:lvl w:ilvl="0">
      <w:lvlJc w:val="left"/>
      <w:lvlText w:val="(%1)"/>
      <w:numFmt w:val="decimal"/>
      <w:start w:val="16"/>
    </w:lvl>
    <w:lvl w:ilvl="1">
      <w:lvlJc w:val="left"/>
      <w:lvlText w:val="%2"/>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emdash "/>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decimal"/>
      <w:start w:val="5"/>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decimal"/>
      <w:start w:val="5"/>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5"/>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decimal"/>
      <w:start w:val="5"/>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5"/>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17"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01" Type="http://schemas.openxmlformats.org/officeDocument/2006/relationships/hyperlink" Target="https://www.sec.gov/ix?doc=/Archives/edgar/data/0001130310/000113031025000040/cnp-20241231.htm" TargetMode="External"/><Relationship Id="rId104" Type="http://schemas.openxmlformats.org/officeDocument/2006/relationships/hyperlink" Target="https://www.sec.gov/ix?doc=/Archives/edgar/data/0001130310/000119312524039277/d794478d8k.htm" TargetMode="External"/><Relationship Id="rId105" Type="http://schemas.openxmlformats.org/officeDocument/2006/relationships/hyperlink" Target="https://www.sec.gov/Archives/edgar/data/1130310/000113031008000004/ex3-2.htm" TargetMode="External"/><Relationship Id="rId106" Type="http://schemas.openxmlformats.org/officeDocument/2006/relationships/hyperlink" Target="https://www.sec.gov/Archives/edgar/data/48732/000113031011000048/ex3-1.htm" TargetMode="External"/><Relationship Id="rId107" Type="http://schemas.openxmlformats.org/officeDocument/2006/relationships/hyperlink" Target="https://www.sec.gov/Archives/edgar/data/1042773/0000950129-98-001585.txt" TargetMode="External"/><Relationship Id="rId108" Type="http://schemas.openxmlformats.org/officeDocument/2006/relationships/hyperlink" Target="https://www.sec.gov/Archives/edgar/data/48732/0000950129-99-001059.txt" TargetMode="External"/><Relationship Id="rId109" Type="http://schemas.openxmlformats.org/officeDocument/2006/relationships/hyperlink" Target="https://www.sec.gov/Archives/edgar/data/1042773/000095012903004183/h07971exv3wa4.txt" TargetMode="External"/><Relationship Id="rId110" Type="http://schemas.openxmlformats.org/officeDocument/2006/relationships/hyperlink" Target="https://www.sec.gov/Archives/edgar/data/1130310/000113031024000010/exhibit3hfourthamendedan.htm" TargetMode="External"/><Relationship Id="rId111" Type="http://schemas.openxmlformats.org/officeDocument/2006/relationships/hyperlink" Target="https://www.sec.gov/Archives/edgar/data/48732/000113031011000048/ex3-2.htm" TargetMode="External"/><Relationship Id="rId112" Type="http://schemas.openxmlformats.org/officeDocument/2006/relationships/hyperlink" Target="https://www.sec.gov/Archives/edgar/data/1130310/000113031012000011/exhibit3c.htm" TargetMode="External"/><Relationship Id="rId113" Type="http://schemas.openxmlformats.org/officeDocument/2006/relationships/hyperlink" Target="https://www.sec.gov/ix?doc=/Archives/edgar/data/48732/000119312524048049/d773950d8k.htm" TargetMode="External"/><Relationship Id="rId114" Type="http://schemas.openxmlformats.org/officeDocument/2006/relationships/hyperlink" Target="https://www.sec.gov/Archives/edgar/data/1130310/000095012903001299/h03755exv4we10.txt" TargetMode="External"/><Relationship Id="rId115" Type="http://schemas.openxmlformats.org/officeDocument/2006/relationships/hyperlink" Target="https://www.sec.gov/Archives/edgar/data/48732/000119312525035253/d927512dex44.htm" TargetMode="External"/><Relationship Id="rId116" Type="http://schemas.openxmlformats.org/officeDocument/2006/relationships/hyperlink" Target="https://www.sec.gov/Archives/edgar/data/48732/000113031025000040/a4g5-fourthsupplementali.htm" TargetMode="External"/><Relationship Id="rId118" Type="http://schemas.openxmlformats.org/officeDocument/2006/relationships/hyperlink" Target="https://www.sec.gov/Archives/edgar/data/1130310/000113031025000013/exhibit101cnpextensionagre.htm" TargetMode="External"/><Relationship Id="rId119" Type="http://schemas.openxmlformats.org/officeDocument/2006/relationships/hyperlink" Target="https://www.sec.gov/Archives/edgar/data/1130310/000113031025000013/exhibit102ceheextensionagr.htm" TargetMode="External"/><Relationship Id="rId120" Type="http://schemas.openxmlformats.org/officeDocument/2006/relationships/hyperlink" Target="https://www.sec.gov/Archives/edgar/data/1130310/000113031025000013/exhibit103cercextensionagr.htm" TargetMode="External"/><Relationship Id="rId121" Type="http://schemas.openxmlformats.org/officeDocument/2006/relationships/hyperlink" Target="https://www.sec.gov/Archives/edgar/data/1130310/000113031025000013/exhibit104sigecoextensiona.htm" TargetMode="External"/><Relationship Id="rId122" Type="http://schemas.openxmlformats.org/officeDocument/2006/relationships/hyperlink" Target="https://www.sec.gov/Archives/edgar/data/48732/000113031025000040/exhibit10m2-second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2025-04-24T05:15:27Z</dcterms:created>
  <dcterms:modified xsi:type="dcterms:W3CDTF">2025-04-24T05:15:27Z</dcterms:modified>
</cp:coreProperties>
</file>